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7A" w:rsidRPr="00E24D80" w:rsidRDefault="00D36C7A" w:rsidP="00E24D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16"/>
          <w:szCs w:val="16"/>
          <w:lang w:val="es-ES"/>
        </w:rPr>
      </w:pPr>
      <w:r w:rsidRPr="00E24D80">
        <w:rPr>
          <w:rFonts w:ascii="Times New Roman" w:eastAsia="Calibri" w:hAnsi="Times New Roman" w:cs="Times New Roman"/>
          <w:b/>
          <w:noProof/>
          <w:sz w:val="16"/>
          <w:szCs w:val="16"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-871220</wp:posOffset>
            </wp:positionV>
            <wp:extent cx="7787640" cy="10591800"/>
            <wp:effectExtent l="19050" t="0" r="3810" b="0"/>
            <wp:wrapNone/>
            <wp:docPr id="2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A39" w:rsidRPr="00E24D80">
        <w:rPr>
          <w:rFonts w:ascii="Times New Roman" w:eastAsia="Calibri" w:hAnsi="Times New Roman" w:cs="Times New Roman"/>
          <w:b/>
          <w:noProof/>
          <w:sz w:val="16"/>
          <w:szCs w:val="16"/>
          <w:lang w:val="es-ES"/>
        </w:rPr>
        <w:t xml:space="preserve"> </w:t>
      </w:r>
      <w:r w:rsidR="00E24D80" w:rsidRPr="00E24D80">
        <w:rPr>
          <w:rFonts w:ascii="Times New Roman" w:eastAsia="Calibri" w:hAnsi="Times New Roman" w:cs="Times New Roman"/>
          <w:b/>
          <w:noProof/>
          <w:sz w:val="16"/>
          <w:szCs w:val="16"/>
          <w:lang w:val="es-ES"/>
        </w:rPr>
        <w:t>Boletin</w:t>
      </w:r>
      <w:r w:rsidR="00B74AAD">
        <w:rPr>
          <w:rFonts w:ascii="Times New Roman" w:eastAsia="Calibri" w:hAnsi="Times New Roman" w:cs="Times New Roman"/>
          <w:b/>
          <w:noProof/>
          <w:sz w:val="16"/>
          <w:szCs w:val="16"/>
          <w:lang w:val="es-ES"/>
        </w:rPr>
        <w:t xml:space="preserve"> No 29 </w:t>
      </w:r>
      <w:r w:rsidR="00E24D80" w:rsidRPr="00E24D80">
        <w:rPr>
          <w:rFonts w:ascii="Times New Roman" w:eastAsia="Calibri" w:hAnsi="Times New Roman" w:cs="Times New Roman"/>
          <w:b/>
          <w:noProof/>
          <w:sz w:val="16"/>
          <w:szCs w:val="16"/>
          <w:lang w:val="es-ES"/>
        </w:rPr>
        <w:t xml:space="preserve"> del 8 de junio del 2011</w:t>
      </w:r>
    </w:p>
    <w:p w:rsidR="00E24D80" w:rsidRPr="00E24D80" w:rsidRDefault="00C60CA3" w:rsidP="00E24D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16"/>
          <w:szCs w:val="16"/>
          <w:lang w:val="es-ES"/>
        </w:rPr>
      </w:pPr>
      <w:hyperlink r:id="rId7" w:history="1">
        <w:r w:rsidR="00E24D80" w:rsidRPr="00E24D80">
          <w:rPr>
            <w:rFonts w:ascii="Times New Roman" w:eastAsia="Calibri" w:hAnsi="Times New Roman" w:cs="Times New Roman"/>
            <w:b/>
            <w:noProof/>
            <w:sz w:val="16"/>
            <w:szCs w:val="16"/>
            <w:lang w:val="es-ES"/>
          </w:rPr>
          <w:t>www.recope.com</w:t>
        </w:r>
      </w:hyperlink>
    </w:p>
    <w:p w:rsidR="00E24D80" w:rsidRDefault="00E24D80" w:rsidP="00E24D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16"/>
          <w:szCs w:val="16"/>
          <w:lang w:val="es-ES"/>
        </w:rPr>
      </w:pPr>
      <w:r w:rsidRPr="00E24D80">
        <w:rPr>
          <w:rFonts w:ascii="Times New Roman" w:eastAsia="Calibri" w:hAnsi="Times New Roman" w:cs="Times New Roman"/>
          <w:b/>
          <w:noProof/>
          <w:sz w:val="16"/>
          <w:szCs w:val="16"/>
          <w:lang w:val="es-ES"/>
        </w:rPr>
        <w:t>Departamento de Comunicación</w:t>
      </w:r>
    </w:p>
    <w:p w:rsidR="00E24D80" w:rsidRDefault="00E24D80" w:rsidP="00E24D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16"/>
          <w:szCs w:val="16"/>
          <w:lang w:val="es-ES"/>
        </w:rPr>
      </w:pPr>
    </w:p>
    <w:p w:rsidR="00E24D80" w:rsidRPr="00E24D80" w:rsidRDefault="00E24D80" w:rsidP="00E24D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36"/>
          <w:szCs w:val="36"/>
          <w:lang w:val="es-ES"/>
        </w:rPr>
      </w:pPr>
      <w:r w:rsidRPr="00E24D80">
        <w:rPr>
          <w:rFonts w:ascii="Times New Roman" w:eastAsia="Calibri" w:hAnsi="Times New Roman" w:cs="Times New Roman"/>
          <w:b/>
          <w:noProof/>
          <w:sz w:val="36"/>
          <w:szCs w:val="36"/>
          <w:lang w:val="es-ES"/>
        </w:rPr>
        <w:t>China rei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val="es-ES"/>
        </w:rPr>
        <w:t>tera respaldo al proyecto de n</w:t>
      </w:r>
      <w:r w:rsidRPr="00E24D80">
        <w:rPr>
          <w:rFonts w:ascii="Times New Roman" w:eastAsia="Calibri" w:hAnsi="Times New Roman" w:cs="Times New Roman"/>
          <w:b/>
          <w:noProof/>
          <w:sz w:val="36"/>
          <w:szCs w:val="36"/>
          <w:lang w:val="es-ES"/>
        </w:rPr>
        <w:t>ueva refinería</w:t>
      </w:r>
    </w:p>
    <w:p w:rsidR="00E24D80" w:rsidRPr="00E24D80" w:rsidRDefault="00E24D80" w:rsidP="00E24D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16"/>
          <w:szCs w:val="16"/>
          <w:lang w:val="es-ES"/>
        </w:rPr>
      </w:pPr>
    </w:p>
    <w:p w:rsidR="00FF5415" w:rsidRPr="00B74AAD" w:rsidRDefault="00D36C7A" w:rsidP="00D36C7A">
      <w:pPr>
        <w:jc w:val="both"/>
        <w:rPr>
          <w:rFonts w:ascii="Times New Roman" w:hAnsi="Times New Roman"/>
        </w:rPr>
      </w:pPr>
      <w:r w:rsidRPr="00B74AAD">
        <w:rPr>
          <w:rFonts w:ascii="Times New Roman" w:hAnsi="Times New Roman"/>
        </w:rPr>
        <w:t>Representantes del Gobierno de China y el Gobierno de Costa Rica firmaron este 8 de junio</w:t>
      </w:r>
      <w:r w:rsidR="00E24D80" w:rsidRPr="00B74AAD">
        <w:rPr>
          <w:rFonts w:ascii="Times New Roman" w:hAnsi="Times New Roman"/>
        </w:rPr>
        <w:t>,</w:t>
      </w:r>
      <w:r w:rsidRPr="00B74AAD">
        <w:rPr>
          <w:rFonts w:ascii="Times New Roman" w:hAnsi="Times New Roman"/>
        </w:rPr>
        <w:t xml:space="preserve"> </w:t>
      </w:r>
      <w:r w:rsidR="00FF5415" w:rsidRPr="00B74AAD">
        <w:rPr>
          <w:rFonts w:ascii="Times New Roman" w:hAnsi="Times New Roman"/>
        </w:rPr>
        <w:t xml:space="preserve"> un memorándum de entendimiento mediante el cual</w:t>
      </w:r>
      <w:r w:rsidRPr="00B74AAD">
        <w:rPr>
          <w:rFonts w:ascii="Times New Roman" w:hAnsi="Times New Roman"/>
        </w:rPr>
        <w:t xml:space="preserve"> </w:t>
      </w:r>
      <w:r w:rsidR="00FF5415" w:rsidRPr="00B74AAD">
        <w:rPr>
          <w:rFonts w:ascii="Times New Roman" w:hAnsi="Times New Roman"/>
        </w:rPr>
        <w:t xml:space="preserve"> apoyan el procedimiento para la búsqueda del financiamiento del proyecto de ampliación y modernización de la Refinería.    </w:t>
      </w:r>
    </w:p>
    <w:p w:rsidR="00E24D80" w:rsidRPr="00B74AAD" w:rsidRDefault="00E24D80" w:rsidP="00E24D80">
      <w:pPr>
        <w:jc w:val="both"/>
        <w:rPr>
          <w:rFonts w:ascii="Times New Roman" w:eastAsia="Calibri" w:hAnsi="Times New Roman" w:cs="Times New Roman"/>
        </w:rPr>
      </w:pPr>
      <w:r w:rsidRPr="00B74AAD">
        <w:rPr>
          <w:rFonts w:ascii="Times New Roman" w:eastAsia="Calibri" w:hAnsi="Times New Roman" w:cs="Times New Roman"/>
        </w:rPr>
        <w:t>El acto oficial se r</w:t>
      </w:r>
      <w:r w:rsidR="00360EA7" w:rsidRPr="00B74AAD">
        <w:rPr>
          <w:rFonts w:ascii="Times New Roman" w:eastAsia="Calibri" w:hAnsi="Times New Roman" w:cs="Times New Roman"/>
        </w:rPr>
        <w:t>ealizó en la Casa Presidencial,</w:t>
      </w:r>
      <w:r w:rsidRPr="00B74AAD">
        <w:rPr>
          <w:rFonts w:ascii="Times New Roman" w:eastAsia="Calibri" w:hAnsi="Times New Roman" w:cs="Times New Roman"/>
        </w:rPr>
        <w:t xml:space="preserve"> con la rúbrica respectiva de</w:t>
      </w:r>
      <w:r w:rsidR="00646FB6" w:rsidRPr="00B74AAD">
        <w:rPr>
          <w:rFonts w:ascii="Times New Roman" w:eastAsia="Calibri" w:hAnsi="Times New Roman" w:cs="Times New Roman"/>
        </w:rPr>
        <w:t xml:space="preserve"> </w:t>
      </w:r>
      <w:r w:rsidRPr="00B74AAD">
        <w:rPr>
          <w:rFonts w:ascii="Times New Roman" w:eastAsia="Calibri" w:hAnsi="Times New Roman" w:cs="Times New Roman"/>
        </w:rPr>
        <w:t>l</w:t>
      </w:r>
      <w:r w:rsidR="00646FB6" w:rsidRPr="00B74AAD">
        <w:rPr>
          <w:rFonts w:ascii="Times New Roman" w:eastAsia="Calibri" w:hAnsi="Times New Roman" w:cs="Times New Roman"/>
        </w:rPr>
        <w:t xml:space="preserve">a </w:t>
      </w:r>
      <w:r w:rsidRPr="00B74AAD">
        <w:rPr>
          <w:rFonts w:ascii="Times New Roman" w:hAnsi="Times New Roman"/>
        </w:rPr>
        <w:t>delegad</w:t>
      </w:r>
      <w:r w:rsidR="00B74AAD" w:rsidRPr="00B74AAD">
        <w:rPr>
          <w:rFonts w:ascii="Times New Roman" w:hAnsi="Times New Roman"/>
        </w:rPr>
        <w:t>o</w:t>
      </w:r>
      <w:r w:rsidRPr="00B74AAD">
        <w:rPr>
          <w:rFonts w:ascii="Times New Roman" w:hAnsi="Times New Roman"/>
        </w:rPr>
        <w:t xml:space="preserve"> de China </w:t>
      </w:r>
      <w:proofErr w:type="spellStart"/>
      <w:r w:rsidRPr="00B74AAD">
        <w:rPr>
          <w:rFonts w:ascii="Times New Roman" w:hAnsi="Times New Roman"/>
        </w:rPr>
        <w:t>Dedvelopment</w:t>
      </w:r>
      <w:proofErr w:type="spellEnd"/>
      <w:r w:rsidRPr="00B74AAD">
        <w:rPr>
          <w:rFonts w:ascii="Times New Roman" w:hAnsi="Times New Roman"/>
        </w:rPr>
        <w:t xml:space="preserve"> Bank </w:t>
      </w:r>
      <w:proofErr w:type="spellStart"/>
      <w:r w:rsidRPr="00B74AAD">
        <w:rPr>
          <w:rFonts w:ascii="Times New Roman" w:hAnsi="Times New Roman"/>
        </w:rPr>
        <w:t>Corporation</w:t>
      </w:r>
      <w:proofErr w:type="spellEnd"/>
      <w:r w:rsidRPr="00B74AAD">
        <w:rPr>
          <w:rFonts w:ascii="Times New Roman" w:hAnsi="Times New Roman"/>
        </w:rPr>
        <w:t xml:space="preserve"> (</w:t>
      </w:r>
      <w:r w:rsidRPr="00B74AAD">
        <w:rPr>
          <w:rFonts w:ascii="Times New Roman" w:eastAsia="Calibri" w:hAnsi="Times New Roman" w:cs="Times New Roman"/>
        </w:rPr>
        <w:t>CDB</w:t>
      </w:r>
      <w:r w:rsidRPr="00B74AAD">
        <w:rPr>
          <w:rFonts w:ascii="Times New Roman" w:hAnsi="Times New Roman"/>
        </w:rPr>
        <w:t>)</w:t>
      </w:r>
      <w:r w:rsidR="00763492" w:rsidRPr="00B74AAD">
        <w:rPr>
          <w:rFonts w:ascii="Times New Roman" w:hAnsi="Times New Roman"/>
        </w:rPr>
        <w:t xml:space="preserve"> </w:t>
      </w:r>
      <w:r w:rsidR="00B74AAD" w:rsidRPr="00B74AAD">
        <w:rPr>
          <w:rFonts w:ascii="Times New Roman" w:hAnsi="Times New Roman"/>
        </w:rPr>
        <w:t xml:space="preserve">Mr. </w:t>
      </w:r>
      <w:proofErr w:type="spellStart"/>
      <w:r w:rsidR="00B74AAD" w:rsidRPr="00B74AAD">
        <w:rPr>
          <w:rFonts w:ascii="Times New Roman" w:hAnsi="Times New Roman"/>
        </w:rPr>
        <w:t>Guo</w:t>
      </w:r>
      <w:proofErr w:type="spellEnd"/>
      <w:r w:rsidR="00B74AAD" w:rsidRPr="00B74AAD">
        <w:rPr>
          <w:rFonts w:ascii="Times New Roman" w:hAnsi="Times New Roman"/>
        </w:rPr>
        <w:t xml:space="preserve"> </w:t>
      </w:r>
      <w:proofErr w:type="spellStart"/>
      <w:r w:rsidR="00B74AAD" w:rsidRPr="00B74AAD">
        <w:rPr>
          <w:rFonts w:ascii="Times New Roman" w:hAnsi="Times New Roman"/>
        </w:rPr>
        <w:t>Lin</w:t>
      </w:r>
      <w:proofErr w:type="spellEnd"/>
      <w:r w:rsidR="00B74AAD" w:rsidRPr="00B74AAD">
        <w:rPr>
          <w:rFonts w:ascii="Times New Roman" w:hAnsi="Times New Roman"/>
        </w:rPr>
        <w:t xml:space="preserve">, la representante de CNPCI </w:t>
      </w:r>
      <w:r w:rsidR="00763492" w:rsidRPr="00B74AAD">
        <w:rPr>
          <w:rFonts w:ascii="Times New Roman" w:hAnsi="Times New Roman"/>
        </w:rPr>
        <w:t xml:space="preserve">Madame </w:t>
      </w:r>
      <w:proofErr w:type="spellStart"/>
      <w:r w:rsidR="00763492" w:rsidRPr="00B74AAD">
        <w:rPr>
          <w:rFonts w:ascii="Times New Roman" w:hAnsi="Times New Roman"/>
        </w:rPr>
        <w:t>Wu</w:t>
      </w:r>
      <w:proofErr w:type="spellEnd"/>
      <w:r w:rsidR="00763492" w:rsidRPr="00B74AAD">
        <w:rPr>
          <w:rFonts w:ascii="Times New Roman" w:hAnsi="Times New Roman"/>
        </w:rPr>
        <w:t xml:space="preserve"> </w:t>
      </w:r>
      <w:proofErr w:type="spellStart"/>
      <w:r w:rsidR="00763492" w:rsidRPr="00B74AAD">
        <w:rPr>
          <w:rFonts w:ascii="Times New Roman" w:hAnsi="Times New Roman"/>
        </w:rPr>
        <w:t>Yam</w:t>
      </w:r>
      <w:proofErr w:type="spellEnd"/>
      <w:r w:rsidRPr="00B74AAD">
        <w:rPr>
          <w:rFonts w:ascii="Times New Roman" w:eastAsia="Calibri" w:hAnsi="Times New Roman" w:cs="Times New Roman"/>
        </w:rPr>
        <w:t>,</w:t>
      </w:r>
      <w:r w:rsidR="009A3E35" w:rsidRPr="00B74AAD">
        <w:rPr>
          <w:rFonts w:ascii="Times New Roman" w:eastAsia="Calibri" w:hAnsi="Times New Roman" w:cs="Times New Roman"/>
        </w:rPr>
        <w:t xml:space="preserve"> , </w:t>
      </w:r>
      <w:r w:rsidRPr="00B74AAD">
        <w:rPr>
          <w:rFonts w:ascii="Times New Roman" w:eastAsia="Calibri" w:hAnsi="Times New Roman" w:cs="Times New Roman"/>
        </w:rPr>
        <w:t xml:space="preserve">el Presidente y Gerente General de SORESCO, Mr. Wang </w:t>
      </w:r>
      <w:proofErr w:type="spellStart"/>
      <w:r w:rsidRPr="00B74AAD">
        <w:rPr>
          <w:rFonts w:ascii="Times New Roman" w:eastAsia="Calibri" w:hAnsi="Times New Roman" w:cs="Times New Roman"/>
        </w:rPr>
        <w:t>Xingui</w:t>
      </w:r>
      <w:proofErr w:type="spellEnd"/>
      <w:r w:rsidRPr="00B74AAD">
        <w:rPr>
          <w:rFonts w:ascii="Times New Roman" w:eastAsia="Calibri" w:hAnsi="Times New Roman" w:cs="Times New Roman"/>
        </w:rPr>
        <w:t xml:space="preserve"> y</w:t>
      </w:r>
      <w:r w:rsidR="009A3E35" w:rsidRPr="00B74AAD">
        <w:rPr>
          <w:rFonts w:ascii="Times New Roman" w:hAnsi="Times New Roman"/>
        </w:rPr>
        <w:t xml:space="preserve"> el Gerente General de RECOPE Ing. Jorge Rojas Montero</w:t>
      </w:r>
      <w:r w:rsidRPr="00B74AAD">
        <w:rPr>
          <w:rFonts w:ascii="Times New Roman" w:eastAsia="Calibri" w:hAnsi="Times New Roman" w:cs="Times New Roman"/>
        </w:rPr>
        <w:t>.  El acuerdo fue firmado en presencia de</w:t>
      </w:r>
      <w:r w:rsidR="009A3E35" w:rsidRPr="00B74AAD">
        <w:rPr>
          <w:rFonts w:ascii="Times New Roman" w:hAnsi="Times New Roman"/>
        </w:rPr>
        <w:t xml:space="preserve"> la Presidenta de la República, Laura Chinchilla</w:t>
      </w:r>
      <w:r w:rsidRPr="00B74AAD">
        <w:rPr>
          <w:rFonts w:ascii="Times New Roman" w:eastAsia="Calibri" w:hAnsi="Times New Roman" w:cs="Times New Roman"/>
        </w:rPr>
        <w:t xml:space="preserve">, quien fungió como testigo de honor. </w:t>
      </w:r>
    </w:p>
    <w:p w:rsidR="00FF5415" w:rsidRPr="00B74AAD" w:rsidRDefault="00FF5415" w:rsidP="00E24D80">
      <w:pPr>
        <w:jc w:val="both"/>
        <w:rPr>
          <w:rFonts w:ascii="Times New Roman" w:hAnsi="Times New Roman"/>
        </w:rPr>
      </w:pPr>
      <w:r w:rsidRPr="00B74AAD">
        <w:rPr>
          <w:rFonts w:ascii="Times New Roman" w:hAnsi="Times New Roman"/>
        </w:rPr>
        <w:t>Las partes han acordado firmar la Carta de Entendimiento para reafirmar su compromiso con el Proyecto de Construcción de la Nueva Refinería y para establecer su posición actual al respecto.</w:t>
      </w:r>
    </w:p>
    <w:p w:rsidR="00E24D80" w:rsidRPr="00B74AAD" w:rsidRDefault="00E24D80" w:rsidP="00E24D80">
      <w:pPr>
        <w:jc w:val="both"/>
        <w:rPr>
          <w:rFonts w:ascii="Times New Roman" w:eastAsia="Calibri" w:hAnsi="Times New Roman" w:cs="Times New Roman"/>
        </w:rPr>
      </w:pPr>
      <w:r w:rsidRPr="00B74AAD">
        <w:rPr>
          <w:rFonts w:ascii="Times New Roman" w:eastAsia="Calibri" w:hAnsi="Times New Roman" w:cs="Times New Roman"/>
        </w:rPr>
        <w:t>CDB es una entidad financiera que se encuentra bajo la supervisión del Consejo de Estado (</w:t>
      </w:r>
      <w:proofErr w:type="spellStart"/>
      <w:r w:rsidRPr="00B74AAD">
        <w:rPr>
          <w:rFonts w:ascii="Times New Roman" w:eastAsia="Calibri" w:hAnsi="Times New Roman" w:cs="Times New Roman"/>
        </w:rPr>
        <w:t>State</w:t>
      </w:r>
      <w:proofErr w:type="spellEnd"/>
      <w:r w:rsidRPr="00B74AAD">
        <w:rPr>
          <w:rFonts w:ascii="Times New Roman" w:eastAsia="Calibri" w:hAnsi="Times New Roman" w:cs="Times New Roman"/>
        </w:rPr>
        <w:t xml:space="preserve"> Council) de la República Popular China, responsable de coadyuvar en el desarrollo de las políticas macroeconómicas del gobierno central y levantar el financiamiento de grandes proyectos de infraestructura. </w:t>
      </w:r>
    </w:p>
    <w:p w:rsidR="00E24D80" w:rsidRPr="00B74AAD" w:rsidRDefault="00E24D80" w:rsidP="00E24D80">
      <w:pPr>
        <w:jc w:val="both"/>
        <w:rPr>
          <w:rFonts w:ascii="Times New Roman" w:eastAsia="Calibri" w:hAnsi="Times New Roman" w:cs="Times New Roman"/>
        </w:rPr>
      </w:pPr>
      <w:r w:rsidRPr="00B74AAD">
        <w:rPr>
          <w:rFonts w:ascii="Times New Roman" w:eastAsia="Calibri" w:hAnsi="Times New Roman" w:cs="Times New Roman"/>
        </w:rPr>
        <w:t>Debe recordarse que con el Proyecto se construirá una refinería de alta conversión, con una capacidad de producción de 60.000 barriles por día; el cual requiere una inversión de aproximadamente US$1.240 millones.   De dicho monto, CDB deberá estructurar un financiamiento que se encuentra entre los US$800-US$900 millones. La diferencia – US$ 300-US$ 400 millones estará constituido por el aporte de capital accionario de RECOPE y CNPCI en proporciones iguales.</w:t>
      </w:r>
    </w:p>
    <w:p w:rsidR="00E24D80" w:rsidRPr="00B74AAD" w:rsidRDefault="00E24D80" w:rsidP="00E24D80">
      <w:pPr>
        <w:jc w:val="both"/>
        <w:rPr>
          <w:rFonts w:ascii="Times New Roman" w:eastAsia="Calibri" w:hAnsi="Times New Roman" w:cs="Times New Roman"/>
        </w:rPr>
      </w:pPr>
      <w:r w:rsidRPr="00B74AAD">
        <w:rPr>
          <w:rFonts w:ascii="Times New Roman" w:eastAsia="Calibri" w:hAnsi="Times New Roman" w:cs="Times New Roman"/>
        </w:rPr>
        <w:t>Dado que la responsable de desarrollar el proyecto es SORESCO (empresa conjunta de RECOPE y CNPCI), el financiamiento se le otorga  a ésta; es decir, el contrato de préstamo será firmado entre CDB y SORESCO, sin que medien garantías directas de RECOPE y CNPCI para el pago de la deuda, durante el plazo de operación de la refinería.</w:t>
      </w:r>
    </w:p>
    <w:p w:rsidR="00E24D80" w:rsidRPr="00B74AAD" w:rsidRDefault="00E24D80" w:rsidP="00E24D80">
      <w:pPr>
        <w:jc w:val="both"/>
        <w:rPr>
          <w:rFonts w:ascii="Times New Roman" w:eastAsia="Calibri" w:hAnsi="Times New Roman" w:cs="Times New Roman"/>
        </w:rPr>
      </w:pPr>
      <w:r w:rsidRPr="00B74AAD">
        <w:rPr>
          <w:rFonts w:ascii="Times New Roman" w:eastAsia="Calibri" w:hAnsi="Times New Roman" w:cs="Times New Roman"/>
        </w:rPr>
        <w:t>La refinería será operada por RECOPE, quien pagará un arrendamiento a SORESCO, el cual servirá para la cancelación del préstamo que estructure CDB.</w:t>
      </w:r>
    </w:p>
    <w:p w:rsidR="00E24D80" w:rsidRDefault="00E24D80" w:rsidP="00646FB6">
      <w:pPr>
        <w:jc w:val="both"/>
        <w:rPr>
          <w:rFonts w:ascii="Times New Roman" w:eastAsia="Calibri" w:hAnsi="Times New Roman" w:cs="Times New Roman"/>
        </w:rPr>
      </w:pPr>
      <w:r w:rsidRPr="00B74AAD">
        <w:rPr>
          <w:rFonts w:ascii="Times New Roman" w:eastAsia="Calibri" w:hAnsi="Times New Roman" w:cs="Times New Roman"/>
        </w:rPr>
        <w:t>Aparte de la inversión  realizada por SORESCO (US$1.240 millones), RECOPE debe invertir en el mejoramiento de algunas unidades existentes y que se integrarán al Proyecto, así como en la construcción de los tanques de almacenamiento de crudo. Esta inversión es del orden de los US$150 millones y se buscará que la misma sea financiada por CDB, si las condiciones que se lleguen a ofrecer resultan las más convenientes para R</w:t>
      </w:r>
      <w:r w:rsidR="00646FB6" w:rsidRPr="00B74AAD">
        <w:rPr>
          <w:rFonts w:ascii="Times New Roman" w:eastAsia="Calibri" w:hAnsi="Times New Roman" w:cs="Times New Roman"/>
        </w:rPr>
        <w:t>ECOPE</w:t>
      </w:r>
    </w:p>
    <w:p w:rsidR="00F236E4" w:rsidRDefault="00F236E4" w:rsidP="00646FB6">
      <w:pPr>
        <w:jc w:val="both"/>
        <w:rPr>
          <w:rFonts w:ascii="Times New Roman" w:eastAsia="Calibri" w:hAnsi="Times New Roman" w:cs="Times New Roman"/>
        </w:rPr>
      </w:pPr>
    </w:p>
    <w:p w:rsidR="00F236E4" w:rsidRDefault="00F236E4" w:rsidP="00646FB6">
      <w:pPr>
        <w:jc w:val="both"/>
        <w:rPr>
          <w:rFonts w:ascii="Times New Roman" w:eastAsia="Calibri" w:hAnsi="Times New Roman" w:cs="Times New Roman"/>
        </w:rPr>
      </w:pPr>
    </w:p>
    <w:p w:rsidR="00F236E4" w:rsidRDefault="00F236E4" w:rsidP="00646FB6">
      <w:pPr>
        <w:jc w:val="both"/>
        <w:rPr>
          <w:rFonts w:ascii="Times New Roman" w:eastAsia="Calibri" w:hAnsi="Times New Roman" w:cs="Times New Roman"/>
        </w:rPr>
      </w:pPr>
    </w:p>
    <w:p w:rsidR="00F236E4" w:rsidRDefault="00F236E4" w:rsidP="00646FB6">
      <w:pPr>
        <w:jc w:val="both"/>
        <w:rPr>
          <w:rFonts w:ascii="Times New Roman" w:hAnsi="Times New Roman"/>
          <w:noProof/>
          <w:lang w:eastAsia="es-CR"/>
        </w:rPr>
      </w:pPr>
      <w:r>
        <w:rPr>
          <w:rFonts w:ascii="Times New Roman" w:hAnsi="Times New Roman"/>
          <w:noProof/>
          <w:lang w:eastAsia="es-C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-871220</wp:posOffset>
            </wp:positionV>
            <wp:extent cx="7787640" cy="10591800"/>
            <wp:effectExtent l="19050" t="0" r="3810" b="0"/>
            <wp:wrapNone/>
            <wp:docPr id="1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es-CR"/>
        </w:rPr>
        <w:drawing>
          <wp:inline distT="0" distB="0" distL="0" distR="0">
            <wp:extent cx="3250955" cy="2438400"/>
            <wp:effectExtent l="19050" t="0" r="6595" b="0"/>
            <wp:docPr id="3" name="2 Imagen" descr="DSC0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78.JPG"/>
                    <pic:cNvPicPr/>
                  </pic:nvPicPr>
                  <pic:blipFill>
                    <a:blip r:embed="rId8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357" cy="243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E4" w:rsidRDefault="00F236E4" w:rsidP="00646FB6">
      <w:pPr>
        <w:jc w:val="both"/>
        <w:rPr>
          <w:rFonts w:ascii="Times New Roman" w:hAnsi="Times New Roman"/>
          <w:lang w:val="es-MX"/>
        </w:rPr>
      </w:pPr>
      <w:r w:rsidRPr="00F236E4">
        <w:rPr>
          <w:rFonts w:ascii="Times New Roman" w:hAnsi="Times New Roman"/>
          <w:noProof/>
          <w:lang w:eastAsia="es-CR"/>
        </w:rPr>
        <w:drawing>
          <wp:inline distT="0" distB="0" distL="0" distR="0">
            <wp:extent cx="3251200" cy="2438585"/>
            <wp:effectExtent l="19050" t="0" r="6350" b="0"/>
            <wp:docPr id="5" name="3 Imagen" descr="DSC0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82.JPG"/>
                    <pic:cNvPicPr/>
                  </pic:nvPicPr>
                  <pic:blipFill>
                    <a:blip r:embed="rId9" cstate="print">
                      <a:lum bright="3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997" cy="244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E4" w:rsidRPr="00B74AAD" w:rsidRDefault="00F236E4" w:rsidP="00646FB6">
      <w:pPr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  <w:lang w:eastAsia="es-CR"/>
        </w:rPr>
        <w:drawing>
          <wp:inline distT="0" distB="0" distL="0" distR="0">
            <wp:extent cx="3305175" cy="2479068"/>
            <wp:effectExtent l="19050" t="0" r="9525" b="0"/>
            <wp:docPr id="6" name="5 Imagen" descr="DSC0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84.JPG"/>
                    <pic:cNvPicPr/>
                  </pic:nvPicPr>
                  <pic:blipFill>
                    <a:blip r:embed="rId10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702" cy="24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6E4" w:rsidRPr="00B74AAD" w:rsidSect="00893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7B" w:rsidRDefault="00F0357B" w:rsidP="00FF5415">
      <w:pPr>
        <w:spacing w:after="0" w:line="240" w:lineRule="auto"/>
      </w:pPr>
      <w:r>
        <w:separator/>
      </w:r>
    </w:p>
  </w:endnote>
  <w:endnote w:type="continuationSeparator" w:id="0">
    <w:p w:rsidR="00F0357B" w:rsidRDefault="00F0357B" w:rsidP="00FF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7B" w:rsidRDefault="00F0357B" w:rsidP="00FF5415">
      <w:pPr>
        <w:spacing w:after="0" w:line="240" w:lineRule="auto"/>
      </w:pPr>
      <w:r>
        <w:separator/>
      </w:r>
    </w:p>
  </w:footnote>
  <w:footnote w:type="continuationSeparator" w:id="0">
    <w:p w:rsidR="00F0357B" w:rsidRDefault="00F0357B" w:rsidP="00FF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A39"/>
    <w:rsid w:val="00083A3B"/>
    <w:rsid w:val="000D199B"/>
    <w:rsid w:val="001E366E"/>
    <w:rsid w:val="00360EA7"/>
    <w:rsid w:val="00646FB6"/>
    <w:rsid w:val="006A4961"/>
    <w:rsid w:val="00763492"/>
    <w:rsid w:val="008325B4"/>
    <w:rsid w:val="00893823"/>
    <w:rsid w:val="009A3E35"/>
    <w:rsid w:val="00AC2048"/>
    <w:rsid w:val="00B74AAD"/>
    <w:rsid w:val="00B822DA"/>
    <w:rsid w:val="00C60CA3"/>
    <w:rsid w:val="00D36C7A"/>
    <w:rsid w:val="00D74A39"/>
    <w:rsid w:val="00E24D80"/>
    <w:rsid w:val="00F0357B"/>
    <w:rsid w:val="00F236E4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5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5415"/>
  </w:style>
  <w:style w:type="paragraph" w:styleId="Piedepgina">
    <w:name w:val="footer"/>
    <w:basedOn w:val="Normal"/>
    <w:link w:val="PiedepginaCar"/>
    <w:uiPriority w:val="99"/>
    <w:semiHidden/>
    <w:unhideWhenUsed/>
    <w:rsid w:val="00FF5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5415"/>
  </w:style>
  <w:style w:type="character" w:styleId="Hipervnculo">
    <w:name w:val="Hyperlink"/>
    <w:basedOn w:val="Fuentedeprrafopredeter"/>
    <w:uiPriority w:val="99"/>
    <w:unhideWhenUsed/>
    <w:rsid w:val="00E24D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recop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shionny-pm</dc:creator>
  <cp:lastModifiedBy>basilio-qc</cp:lastModifiedBy>
  <cp:revision>2</cp:revision>
  <cp:lastPrinted>2012-06-08T13:46:00Z</cp:lastPrinted>
  <dcterms:created xsi:type="dcterms:W3CDTF">2012-06-08T20:14:00Z</dcterms:created>
  <dcterms:modified xsi:type="dcterms:W3CDTF">2012-06-08T20:14:00Z</dcterms:modified>
</cp:coreProperties>
</file>