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20F" w:rsidRPr="001F27B5" w:rsidRDefault="0056720F" w:rsidP="0056720F">
      <w:pPr>
        <w:pStyle w:val="NormalWeb"/>
        <w:spacing w:before="0" w:beforeAutospacing="0" w:after="0" w:afterAutospacing="0"/>
        <w:jc w:val="both"/>
        <w:rPr>
          <w:sz w:val="16"/>
          <w:szCs w:val="16"/>
          <w:lang w:val="es-ES_tradnl"/>
        </w:rPr>
      </w:pPr>
      <w:r w:rsidRPr="001F27B5">
        <w:rPr>
          <w:sz w:val="16"/>
          <w:szCs w:val="16"/>
          <w:lang w:val="es-ES_tradnl"/>
        </w:rPr>
        <w:t xml:space="preserve">Boletín </w:t>
      </w:r>
      <w:r w:rsidR="002D13F1" w:rsidRPr="001F27B5">
        <w:rPr>
          <w:sz w:val="16"/>
          <w:szCs w:val="16"/>
          <w:lang w:val="es-ES_tradnl"/>
        </w:rPr>
        <w:t>No</w:t>
      </w:r>
      <w:r w:rsidR="00592A09">
        <w:rPr>
          <w:sz w:val="16"/>
          <w:szCs w:val="16"/>
          <w:lang w:val="es-ES_tradnl"/>
        </w:rPr>
        <w:t xml:space="preserve"> 4</w:t>
      </w:r>
      <w:r w:rsidR="002D13F1" w:rsidRPr="001F27B5">
        <w:rPr>
          <w:sz w:val="16"/>
          <w:szCs w:val="16"/>
          <w:lang w:val="es-ES_tradnl"/>
        </w:rPr>
        <w:t xml:space="preserve"> </w:t>
      </w:r>
      <w:r w:rsidRPr="001F27B5">
        <w:rPr>
          <w:sz w:val="16"/>
          <w:szCs w:val="16"/>
          <w:lang w:val="es-ES_tradnl"/>
        </w:rPr>
        <w:t xml:space="preserve"> del </w:t>
      </w:r>
      <w:r w:rsidR="00592A09">
        <w:rPr>
          <w:sz w:val="16"/>
          <w:szCs w:val="16"/>
          <w:lang w:val="es-ES_tradnl"/>
        </w:rPr>
        <w:t>10</w:t>
      </w:r>
      <w:r w:rsidRPr="001F27B5">
        <w:rPr>
          <w:sz w:val="16"/>
          <w:szCs w:val="16"/>
          <w:lang w:val="es-ES_tradnl"/>
        </w:rPr>
        <w:t xml:space="preserve"> </w:t>
      </w:r>
      <w:r w:rsidR="002D13F1" w:rsidRPr="001F27B5">
        <w:rPr>
          <w:sz w:val="16"/>
          <w:szCs w:val="16"/>
          <w:lang w:val="es-ES_tradnl"/>
        </w:rPr>
        <w:t xml:space="preserve"> de enero del  2012</w:t>
      </w:r>
    </w:p>
    <w:p w:rsidR="0056720F" w:rsidRPr="001F27B5" w:rsidRDefault="004B5D0B" w:rsidP="0056720F">
      <w:pPr>
        <w:spacing w:after="0" w:line="240" w:lineRule="auto"/>
        <w:rPr>
          <w:rFonts w:ascii="Times New Roman" w:hAnsi="Times New Roman" w:cs="Times New Roman"/>
          <w:sz w:val="16"/>
          <w:szCs w:val="16"/>
          <w:lang w:val="es-ES_tradnl"/>
        </w:rPr>
      </w:pPr>
      <w:hyperlink r:id="rId6" w:history="1">
        <w:r w:rsidR="0056720F" w:rsidRPr="001F27B5">
          <w:rPr>
            <w:rFonts w:ascii="Times New Roman" w:hAnsi="Times New Roman" w:cs="Times New Roman"/>
            <w:sz w:val="16"/>
            <w:szCs w:val="16"/>
            <w:lang w:val="es-ES_tradnl"/>
          </w:rPr>
          <w:t>www.recope.go.cr</w:t>
        </w:r>
      </w:hyperlink>
    </w:p>
    <w:p w:rsidR="0056720F" w:rsidRDefault="0056720F" w:rsidP="0056720F">
      <w:pPr>
        <w:spacing w:after="0" w:line="240" w:lineRule="auto"/>
        <w:rPr>
          <w:rFonts w:ascii="Times New Roman" w:hAnsi="Times New Roman" w:cs="Times New Roman"/>
          <w:sz w:val="16"/>
          <w:szCs w:val="16"/>
          <w:lang w:val="es-ES_tradnl"/>
        </w:rPr>
      </w:pPr>
      <w:r w:rsidRPr="001F27B5">
        <w:rPr>
          <w:rFonts w:ascii="Times New Roman" w:hAnsi="Times New Roman" w:cs="Times New Roman"/>
          <w:sz w:val="16"/>
          <w:szCs w:val="16"/>
          <w:lang w:val="es-ES_tradnl"/>
        </w:rPr>
        <w:t>Departamento de Comunicación</w:t>
      </w:r>
    </w:p>
    <w:p w:rsidR="001F27B5" w:rsidRPr="001F27B5" w:rsidRDefault="001F27B5" w:rsidP="0056720F">
      <w:pPr>
        <w:spacing w:after="0" w:line="240" w:lineRule="auto"/>
        <w:rPr>
          <w:rFonts w:ascii="Times New Roman" w:hAnsi="Times New Roman" w:cs="Times New Roman"/>
          <w:sz w:val="16"/>
          <w:szCs w:val="16"/>
          <w:lang w:val="es-ES_tradnl"/>
        </w:rPr>
      </w:pPr>
    </w:p>
    <w:p w:rsidR="001F27B5" w:rsidRPr="001F27B5" w:rsidRDefault="001F27B5" w:rsidP="0056720F">
      <w:pPr>
        <w:spacing w:after="0" w:line="240" w:lineRule="auto"/>
        <w:rPr>
          <w:rFonts w:ascii="Times New Roman" w:hAnsi="Times New Roman" w:cs="Times New Roman"/>
          <w:b/>
          <w:sz w:val="28"/>
          <w:szCs w:val="28"/>
          <w:lang w:val="es-ES_tradnl"/>
        </w:rPr>
      </w:pPr>
      <w:r w:rsidRPr="001F27B5">
        <w:rPr>
          <w:rFonts w:ascii="Times New Roman" w:hAnsi="Times New Roman" w:cs="Times New Roman"/>
          <w:b/>
          <w:sz w:val="28"/>
          <w:szCs w:val="28"/>
          <w:lang w:val="es-ES_tradnl"/>
        </w:rPr>
        <w:t xml:space="preserve">Según datos preliminares </w:t>
      </w:r>
    </w:p>
    <w:p w:rsidR="006532D0" w:rsidRPr="00A23315" w:rsidRDefault="006532D0" w:rsidP="006532D0">
      <w:pPr>
        <w:spacing w:after="0" w:line="240" w:lineRule="auto"/>
        <w:rPr>
          <w:rFonts w:ascii="Times New Roman" w:eastAsia="Times New Roman" w:hAnsi="Times New Roman" w:cs="Times New Roman"/>
          <w:b/>
          <w:bCs/>
          <w:color w:val="1F3345"/>
          <w:sz w:val="44"/>
          <w:szCs w:val="44"/>
          <w:lang w:eastAsia="es-ES"/>
        </w:rPr>
      </w:pPr>
      <w:r w:rsidRPr="00A23315">
        <w:rPr>
          <w:rFonts w:ascii="Times New Roman" w:eastAsia="Times New Roman" w:hAnsi="Times New Roman" w:cs="Times New Roman"/>
          <w:b/>
          <w:bCs/>
          <w:color w:val="1F3345"/>
          <w:sz w:val="44"/>
          <w:szCs w:val="44"/>
          <w:lang w:eastAsia="es-ES"/>
        </w:rPr>
        <w:t>Factura petrolera de la región</w:t>
      </w:r>
    </w:p>
    <w:p w:rsidR="006532D0" w:rsidRPr="00A23315" w:rsidRDefault="006532D0" w:rsidP="006532D0">
      <w:pPr>
        <w:spacing w:after="0" w:line="240" w:lineRule="auto"/>
        <w:rPr>
          <w:rFonts w:ascii="Times New Roman" w:eastAsia="Times New Roman" w:hAnsi="Times New Roman" w:cs="Times New Roman"/>
          <w:b/>
          <w:bCs/>
          <w:color w:val="1F3345"/>
          <w:sz w:val="44"/>
          <w:szCs w:val="44"/>
          <w:lang w:eastAsia="es-ES"/>
        </w:rPr>
      </w:pPr>
      <w:r w:rsidRPr="00A23315">
        <w:rPr>
          <w:rFonts w:ascii="Times New Roman" w:eastAsia="Times New Roman" w:hAnsi="Times New Roman" w:cs="Times New Roman"/>
          <w:b/>
          <w:bCs/>
          <w:color w:val="1F3345"/>
          <w:sz w:val="44"/>
          <w:szCs w:val="44"/>
          <w:lang w:eastAsia="es-ES"/>
        </w:rPr>
        <w:t xml:space="preserve"> supera los $ </w:t>
      </w:r>
      <w:r w:rsidR="00514A8E">
        <w:rPr>
          <w:rFonts w:ascii="Times New Roman" w:eastAsia="Times New Roman" w:hAnsi="Times New Roman" w:cs="Times New Roman"/>
          <w:b/>
          <w:bCs/>
          <w:color w:val="1F3345"/>
          <w:sz w:val="44"/>
          <w:szCs w:val="44"/>
          <w:lang w:eastAsia="es-ES"/>
        </w:rPr>
        <w:t>8</w:t>
      </w:r>
      <w:r w:rsidR="002C10BA">
        <w:rPr>
          <w:rFonts w:ascii="Times New Roman" w:eastAsia="Times New Roman" w:hAnsi="Times New Roman" w:cs="Times New Roman"/>
          <w:b/>
          <w:bCs/>
          <w:color w:val="1F3345"/>
          <w:sz w:val="44"/>
          <w:szCs w:val="44"/>
          <w:lang w:eastAsia="es-ES"/>
        </w:rPr>
        <w:t>6</w:t>
      </w:r>
      <w:r w:rsidRPr="00A23315">
        <w:rPr>
          <w:rFonts w:ascii="Times New Roman" w:eastAsia="Times New Roman" w:hAnsi="Times New Roman" w:cs="Times New Roman"/>
          <w:b/>
          <w:bCs/>
          <w:color w:val="1F3345"/>
          <w:sz w:val="44"/>
          <w:szCs w:val="44"/>
          <w:lang w:eastAsia="es-ES"/>
        </w:rPr>
        <w:t xml:space="preserve">00 millones </w:t>
      </w:r>
    </w:p>
    <w:p w:rsidR="006532D0" w:rsidRDefault="006532D0" w:rsidP="006532D0">
      <w:pPr>
        <w:spacing w:after="150" w:line="312" w:lineRule="auto"/>
        <w:jc w:val="both"/>
        <w:rPr>
          <w:rFonts w:ascii="Trebuchet MS" w:eastAsia="Times New Roman" w:hAnsi="Trebuchet MS" w:cs="Times New Roman"/>
          <w:b/>
          <w:bCs/>
          <w:color w:val="1F3345"/>
          <w:sz w:val="21"/>
          <w:lang w:eastAsia="es-ES"/>
        </w:rPr>
      </w:pPr>
    </w:p>
    <w:p w:rsidR="00AF007F" w:rsidRPr="006F6F56" w:rsidRDefault="001F27B5" w:rsidP="00AF007F">
      <w:pPr>
        <w:spacing w:after="0" w:line="240" w:lineRule="auto"/>
        <w:jc w:val="both"/>
        <w:rPr>
          <w:rFonts w:ascii="Times New Roman" w:eastAsia="Times New Roman" w:hAnsi="Times New Roman" w:cs="Times New Roman"/>
          <w:bCs/>
          <w:color w:val="1F3345"/>
          <w:sz w:val="24"/>
          <w:szCs w:val="24"/>
          <w:lang w:eastAsia="es-ES"/>
        </w:rPr>
      </w:pPr>
      <w:r>
        <w:rPr>
          <w:rFonts w:ascii="Times New Roman" w:eastAsia="Times New Roman" w:hAnsi="Times New Roman" w:cs="Times New Roman"/>
          <w:bCs/>
          <w:color w:val="1F3345"/>
          <w:sz w:val="24"/>
          <w:szCs w:val="24"/>
          <w:lang w:eastAsia="es-ES"/>
        </w:rPr>
        <w:t>Cifras preliminares en los</w:t>
      </w:r>
      <w:r w:rsidR="006532D0" w:rsidRPr="006F6F56">
        <w:rPr>
          <w:rFonts w:ascii="Times New Roman" w:eastAsia="Times New Roman" w:hAnsi="Times New Roman" w:cs="Times New Roman"/>
          <w:bCs/>
          <w:color w:val="1F3345"/>
          <w:sz w:val="24"/>
          <w:szCs w:val="24"/>
          <w:lang w:eastAsia="es-ES"/>
        </w:rPr>
        <w:t xml:space="preserve"> diferentes países de Centro América revelan que </w:t>
      </w:r>
      <w:r w:rsidR="00B10C82" w:rsidRPr="006F6F56">
        <w:rPr>
          <w:rFonts w:ascii="Times New Roman" w:eastAsia="Times New Roman" w:hAnsi="Times New Roman" w:cs="Times New Roman"/>
          <w:bCs/>
          <w:color w:val="1F3345"/>
          <w:sz w:val="24"/>
          <w:szCs w:val="24"/>
          <w:lang w:eastAsia="es-ES"/>
        </w:rPr>
        <w:t>la factura petrolera de la región</w:t>
      </w:r>
      <w:r w:rsidR="00683918" w:rsidRPr="006F6F56">
        <w:rPr>
          <w:rFonts w:ascii="Times New Roman" w:eastAsia="Times New Roman" w:hAnsi="Times New Roman" w:cs="Times New Roman"/>
          <w:bCs/>
          <w:color w:val="1F3345"/>
          <w:sz w:val="24"/>
          <w:szCs w:val="24"/>
          <w:lang w:eastAsia="es-ES"/>
        </w:rPr>
        <w:t xml:space="preserve"> correspondiente al 2011, </w:t>
      </w:r>
      <w:r w:rsidR="00B10C82" w:rsidRPr="006F6F56">
        <w:rPr>
          <w:rFonts w:ascii="Times New Roman" w:eastAsia="Times New Roman" w:hAnsi="Times New Roman" w:cs="Times New Roman"/>
          <w:bCs/>
          <w:color w:val="1F3345"/>
          <w:sz w:val="24"/>
          <w:szCs w:val="24"/>
          <w:lang w:eastAsia="es-ES"/>
        </w:rPr>
        <w:t xml:space="preserve"> </w:t>
      </w:r>
      <w:r w:rsidR="00A4557D">
        <w:rPr>
          <w:rFonts w:ascii="Times New Roman" w:eastAsia="Times New Roman" w:hAnsi="Times New Roman" w:cs="Times New Roman"/>
          <w:bCs/>
          <w:color w:val="1F3345"/>
          <w:sz w:val="24"/>
          <w:szCs w:val="24"/>
          <w:lang w:eastAsia="es-ES"/>
        </w:rPr>
        <w:t>ascendió a</w:t>
      </w:r>
      <w:r w:rsidR="00683918" w:rsidRPr="006F6F56">
        <w:rPr>
          <w:rFonts w:ascii="Times New Roman" w:eastAsia="Times New Roman" w:hAnsi="Times New Roman" w:cs="Times New Roman"/>
          <w:bCs/>
          <w:color w:val="1F3345"/>
          <w:sz w:val="24"/>
          <w:szCs w:val="24"/>
          <w:lang w:eastAsia="es-ES"/>
        </w:rPr>
        <w:t xml:space="preserve"> los $ </w:t>
      </w:r>
      <w:r w:rsidR="00514A8E">
        <w:rPr>
          <w:rFonts w:ascii="Times New Roman" w:eastAsia="Times New Roman" w:hAnsi="Times New Roman" w:cs="Times New Roman"/>
          <w:bCs/>
          <w:color w:val="1F3345"/>
          <w:sz w:val="24"/>
          <w:szCs w:val="24"/>
          <w:lang w:eastAsia="es-ES"/>
        </w:rPr>
        <w:t>8.647</w:t>
      </w:r>
      <w:r w:rsidR="00683918" w:rsidRPr="006F6F56">
        <w:rPr>
          <w:rFonts w:ascii="Times New Roman" w:eastAsia="Times New Roman" w:hAnsi="Times New Roman" w:cs="Times New Roman"/>
          <w:bCs/>
          <w:color w:val="1F3345"/>
          <w:sz w:val="24"/>
          <w:szCs w:val="24"/>
          <w:lang w:eastAsia="es-ES"/>
        </w:rPr>
        <w:t xml:space="preserve"> millones que en conjunto  representa el desembolso de divisas realizado por Guatemala, Honduras, El Salvador, Nicaragua y Costa Rica a lo largo del año pasado por la importación de petróleo y  sus derivados.</w:t>
      </w:r>
    </w:p>
    <w:p w:rsidR="00AF007F" w:rsidRPr="006F6F56" w:rsidRDefault="00AF007F" w:rsidP="00AF007F">
      <w:pPr>
        <w:spacing w:after="0" w:line="240" w:lineRule="auto"/>
        <w:jc w:val="both"/>
        <w:rPr>
          <w:rFonts w:ascii="Times New Roman" w:eastAsia="Times New Roman" w:hAnsi="Times New Roman" w:cs="Times New Roman"/>
          <w:bCs/>
          <w:color w:val="1F3345"/>
          <w:sz w:val="24"/>
          <w:szCs w:val="24"/>
          <w:lang w:eastAsia="es-ES"/>
        </w:rPr>
      </w:pPr>
    </w:p>
    <w:p w:rsidR="006532D0" w:rsidRPr="00467930" w:rsidRDefault="006532D0" w:rsidP="00B24BE1">
      <w:pPr>
        <w:spacing w:after="0" w:line="240" w:lineRule="auto"/>
        <w:jc w:val="both"/>
        <w:rPr>
          <w:rFonts w:ascii="Times New Roman" w:eastAsia="Times New Roman" w:hAnsi="Times New Roman" w:cs="Times New Roman"/>
          <w:bCs/>
          <w:color w:val="1F3345"/>
          <w:sz w:val="24"/>
          <w:szCs w:val="24"/>
          <w:lang w:eastAsia="es-ES"/>
        </w:rPr>
      </w:pPr>
      <w:r w:rsidRPr="00467930">
        <w:rPr>
          <w:rFonts w:ascii="Times New Roman" w:eastAsia="Times New Roman" w:hAnsi="Times New Roman" w:cs="Times New Roman"/>
          <w:bCs/>
          <w:color w:val="1F3345"/>
          <w:sz w:val="24"/>
          <w:szCs w:val="24"/>
          <w:lang w:eastAsia="es-ES"/>
        </w:rPr>
        <w:t>Según las estadísticas de la Dirección General de Hidrocarburos (DGH) del Ministerio de Energía y Minas (MEM)</w:t>
      </w:r>
      <w:r w:rsidR="00AF007F" w:rsidRPr="006F6F56">
        <w:rPr>
          <w:rFonts w:ascii="Times New Roman" w:eastAsia="Times New Roman" w:hAnsi="Times New Roman" w:cs="Times New Roman"/>
          <w:bCs/>
          <w:color w:val="1F3345"/>
          <w:sz w:val="24"/>
          <w:szCs w:val="24"/>
          <w:lang w:eastAsia="es-ES"/>
        </w:rPr>
        <w:t xml:space="preserve"> de Guatemala</w:t>
      </w:r>
      <w:r w:rsidRPr="00467930">
        <w:rPr>
          <w:rFonts w:ascii="Times New Roman" w:eastAsia="Times New Roman" w:hAnsi="Times New Roman" w:cs="Times New Roman"/>
          <w:bCs/>
          <w:color w:val="1F3345"/>
          <w:sz w:val="24"/>
          <w:szCs w:val="24"/>
          <w:lang w:eastAsia="es-ES"/>
        </w:rPr>
        <w:t>, el volumen total de las importaciones</w:t>
      </w:r>
      <w:r w:rsidR="00B24BE1" w:rsidRPr="006F6F56">
        <w:rPr>
          <w:rFonts w:ascii="Times New Roman" w:eastAsia="Times New Roman" w:hAnsi="Times New Roman" w:cs="Times New Roman"/>
          <w:bCs/>
          <w:color w:val="1F3345"/>
          <w:sz w:val="24"/>
          <w:szCs w:val="24"/>
          <w:lang w:eastAsia="es-ES"/>
        </w:rPr>
        <w:t xml:space="preserve"> hasta octubre,</w:t>
      </w:r>
      <w:r w:rsidRPr="00467930">
        <w:rPr>
          <w:rFonts w:ascii="Times New Roman" w:eastAsia="Times New Roman" w:hAnsi="Times New Roman" w:cs="Times New Roman"/>
          <w:bCs/>
          <w:color w:val="1F3345"/>
          <w:sz w:val="24"/>
          <w:szCs w:val="24"/>
          <w:lang w:eastAsia="es-ES"/>
        </w:rPr>
        <w:t xml:space="preserve"> ascendió a </w:t>
      </w:r>
      <w:r w:rsidR="00B24BE1" w:rsidRPr="00467930">
        <w:rPr>
          <w:rFonts w:ascii="Times New Roman" w:eastAsia="Times New Roman" w:hAnsi="Times New Roman" w:cs="Times New Roman"/>
          <w:bCs/>
          <w:color w:val="1F3345"/>
          <w:sz w:val="24"/>
          <w:szCs w:val="24"/>
          <w:lang w:eastAsia="es-ES"/>
        </w:rPr>
        <w:t xml:space="preserve">los </w:t>
      </w:r>
      <w:r w:rsidR="00B24BE1" w:rsidRPr="006F6F56">
        <w:rPr>
          <w:rFonts w:ascii="Times New Roman" w:eastAsia="Times New Roman" w:hAnsi="Times New Roman" w:cs="Times New Roman"/>
          <w:bCs/>
          <w:color w:val="1F3345"/>
          <w:sz w:val="24"/>
          <w:szCs w:val="24"/>
          <w:lang w:eastAsia="es-ES"/>
        </w:rPr>
        <w:t xml:space="preserve">$2.516 millones . </w:t>
      </w:r>
      <w:r w:rsidRPr="00467930">
        <w:rPr>
          <w:rFonts w:ascii="Times New Roman" w:eastAsia="Times New Roman" w:hAnsi="Times New Roman" w:cs="Times New Roman"/>
          <w:bCs/>
          <w:color w:val="1F3345"/>
          <w:sz w:val="24"/>
          <w:szCs w:val="24"/>
          <w:lang w:eastAsia="es-ES"/>
        </w:rPr>
        <w:t>El precio promedio del barril de petróleo durante el 2011 fue de US$94.80.</w:t>
      </w:r>
    </w:p>
    <w:p w:rsidR="006532D0" w:rsidRPr="00467930" w:rsidRDefault="006532D0" w:rsidP="00B24BE1">
      <w:pPr>
        <w:spacing w:after="0" w:line="240" w:lineRule="auto"/>
        <w:jc w:val="both"/>
        <w:rPr>
          <w:rFonts w:ascii="Times New Roman" w:eastAsia="Times New Roman" w:hAnsi="Times New Roman" w:cs="Times New Roman"/>
          <w:color w:val="1F3345"/>
          <w:sz w:val="24"/>
          <w:szCs w:val="24"/>
          <w:lang w:eastAsia="es-ES"/>
        </w:rPr>
      </w:pPr>
    </w:p>
    <w:p w:rsidR="006532D0" w:rsidRPr="00467930" w:rsidRDefault="006532D0" w:rsidP="00B24BE1">
      <w:pPr>
        <w:spacing w:after="0" w:line="240" w:lineRule="auto"/>
        <w:jc w:val="both"/>
        <w:rPr>
          <w:rFonts w:ascii="Times New Roman" w:eastAsia="Times New Roman" w:hAnsi="Times New Roman" w:cs="Times New Roman"/>
          <w:bCs/>
          <w:color w:val="1F3345"/>
          <w:sz w:val="24"/>
          <w:szCs w:val="24"/>
          <w:lang w:eastAsia="es-ES"/>
        </w:rPr>
      </w:pPr>
      <w:r w:rsidRPr="00467930">
        <w:rPr>
          <w:rFonts w:ascii="Times New Roman" w:eastAsia="Times New Roman" w:hAnsi="Times New Roman" w:cs="Times New Roman"/>
          <w:bCs/>
          <w:color w:val="1F3345"/>
          <w:sz w:val="24"/>
          <w:szCs w:val="24"/>
          <w:lang w:eastAsia="es-ES"/>
        </w:rPr>
        <w:t>Luis Ayala, subdirector de la DGH, indicó que el incremento de la factura petrolera está asociado con el comportamiento de precio que el petróleo registró este año, sobre todo por las crisis en el Medio Oriente, Norte de África y la crisis financiera en algu</w:t>
      </w:r>
      <w:r w:rsidR="006F6F56">
        <w:rPr>
          <w:rFonts w:ascii="Times New Roman" w:eastAsia="Times New Roman" w:hAnsi="Times New Roman" w:cs="Times New Roman"/>
          <w:bCs/>
          <w:color w:val="1F3345"/>
          <w:sz w:val="24"/>
          <w:szCs w:val="24"/>
          <w:lang w:eastAsia="es-ES"/>
        </w:rPr>
        <w:t xml:space="preserve">nos países de la Unión Europea, así como por </w:t>
      </w:r>
      <w:r w:rsidRPr="00467930">
        <w:rPr>
          <w:rFonts w:ascii="Times New Roman" w:eastAsia="Times New Roman" w:hAnsi="Times New Roman" w:cs="Times New Roman"/>
          <w:bCs/>
          <w:color w:val="1F3345"/>
          <w:sz w:val="24"/>
          <w:szCs w:val="24"/>
          <w:lang w:eastAsia="es-ES"/>
        </w:rPr>
        <w:t>el consumo que registraron países de economías emergentes, sobre todo de India, China y Rusia.</w:t>
      </w:r>
      <w:r w:rsidR="001F27B5">
        <w:rPr>
          <w:rFonts w:ascii="Times New Roman" w:eastAsia="Times New Roman" w:hAnsi="Times New Roman" w:cs="Times New Roman"/>
          <w:bCs/>
          <w:color w:val="1F3345"/>
          <w:sz w:val="24"/>
          <w:szCs w:val="24"/>
          <w:lang w:eastAsia="es-ES"/>
        </w:rPr>
        <w:t xml:space="preserve"> </w:t>
      </w:r>
      <w:r w:rsidRPr="00467930">
        <w:rPr>
          <w:rFonts w:ascii="Times New Roman" w:eastAsia="Times New Roman" w:hAnsi="Times New Roman" w:cs="Times New Roman"/>
          <w:bCs/>
          <w:color w:val="1F3345"/>
          <w:sz w:val="24"/>
          <w:szCs w:val="24"/>
          <w:lang w:eastAsia="es-ES"/>
        </w:rPr>
        <w:t>Además dijo que persisten los problemas en la industria para refinar los productos del petróleo y los niveles en la producción que inciden en el comportamiento</w:t>
      </w:r>
      <w:r w:rsidR="006F6F56">
        <w:rPr>
          <w:rFonts w:ascii="Times New Roman" w:eastAsia="Times New Roman" w:hAnsi="Times New Roman" w:cs="Times New Roman"/>
          <w:bCs/>
          <w:color w:val="1F3345"/>
          <w:sz w:val="24"/>
          <w:szCs w:val="24"/>
          <w:lang w:eastAsia="es-ES"/>
        </w:rPr>
        <w:t xml:space="preserve"> internacional del mercado</w:t>
      </w:r>
      <w:r w:rsidRPr="00467930">
        <w:rPr>
          <w:rFonts w:ascii="Times New Roman" w:eastAsia="Times New Roman" w:hAnsi="Times New Roman" w:cs="Times New Roman"/>
          <w:bCs/>
          <w:color w:val="1F3345"/>
          <w:sz w:val="24"/>
          <w:szCs w:val="24"/>
          <w:lang w:eastAsia="es-ES"/>
        </w:rPr>
        <w:t xml:space="preserve">. </w:t>
      </w:r>
    </w:p>
    <w:p w:rsidR="006F6F56" w:rsidRDefault="006F6F56" w:rsidP="00B24BE1">
      <w:pPr>
        <w:spacing w:after="0" w:line="240" w:lineRule="auto"/>
        <w:jc w:val="both"/>
        <w:rPr>
          <w:rFonts w:ascii="Times New Roman" w:eastAsia="Times New Roman" w:hAnsi="Times New Roman" w:cs="Times New Roman"/>
          <w:bCs/>
          <w:color w:val="1F3345"/>
          <w:sz w:val="24"/>
          <w:szCs w:val="24"/>
          <w:lang w:eastAsia="es-ES"/>
        </w:rPr>
      </w:pPr>
      <w:r>
        <w:rPr>
          <w:rFonts w:ascii="Times New Roman" w:eastAsia="Times New Roman" w:hAnsi="Times New Roman" w:cs="Times New Roman"/>
          <w:bCs/>
          <w:color w:val="1F3345"/>
          <w:sz w:val="24"/>
          <w:szCs w:val="24"/>
          <w:lang w:eastAsia="es-ES"/>
        </w:rPr>
        <w:t xml:space="preserve"> </w:t>
      </w:r>
      <w:r w:rsidR="006532D0" w:rsidRPr="00467930">
        <w:rPr>
          <w:rFonts w:ascii="Times New Roman" w:eastAsia="Times New Roman" w:hAnsi="Times New Roman" w:cs="Times New Roman"/>
          <w:bCs/>
          <w:color w:val="1F3345"/>
          <w:sz w:val="24"/>
          <w:szCs w:val="24"/>
          <w:lang w:eastAsia="es-ES"/>
        </w:rPr>
        <w:t xml:space="preserve">. </w:t>
      </w:r>
      <w:r w:rsidR="00B24BE1" w:rsidRPr="00B24BE1">
        <w:rPr>
          <w:rFonts w:ascii="Times New Roman" w:eastAsia="Times New Roman" w:hAnsi="Times New Roman" w:cs="Times New Roman"/>
          <w:bCs/>
          <w:color w:val="1F3345"/>
          <w:lang w:eastAsia="es-ES"/>
        </w:rPr>
        <w:t xml:space="preserve"> </w:t>
      </w:r>
    </w:p>
    <w:p w:rsidR="006532D0" w:rsidRPr="006F6F56" w:rsidRDefault="00B24BE1" w:rsidP="00B24BE1">
      <w:pPr>
        <w:spacing w:after="0" w:line="240" w:lineRule="auto"/>
        <w:jc w:val="both"/>
        <w:rPr>
          <w:rFonts w:ascii="Times New Roman" w:eastAsia="Times New Roman" w:hAnsi="Times New Roman" w:cs="Times New Roman"/>
          <w:bCs/>
          <w:color w:val="1F3345"/>
          <w:sz w:val="24"/>
          <w:szCs w:val="24"/>
          <w:lang w:eastAsia="es-ES"/>
        </w:rPr>
      </w:pPr>
      <w:r w:rsidRPr="006F6F56">
        <w:rPr>
          <w:rFonts w:ascii="Times New Roman" w:eastAsia="Times New Roman" w:hAnsi="Times New Roman" w:cs="Times New Roman"/>
          <w:bCs/>
          <w:color w:val="1F3345"/>
          <w:sz w:val="24"/>
          <w:szCs w:val="24"/>
          <w:lang w:eastAsia="es-ES"/>
        </w:rPr>
        <w:t xml:space="preserve">En Honduras la directora de la estatal Comisión Administradora del </w:t>
      </w:r>
      <w:r w:rsidR="00440E24" w:rsidRPr="006F6F56">
        <w:rPr>
          <w:rFonts w:ascii="Times New Roman" w:eastAsia="Times New Roman" w:hAnsi="Times New Roman" w:cs="Times New Roman"/>
          <w:bCs/>
          <w:color w:val="1F3345"/>
          <w:sz w:val="24"/>
          <w:szCs w:val="24"/>
          <w:lang w:eastAsia="es-ES"/>
        </w:rPr>
        <w:t>Petróleo</w:t>
      </w:r>
      <w:r w:rsidRPr="006F6F56">
        <w:rPr>
          <w:rFonts w:ascii="Times New Roman" w:eastAsia="Times New Roman" w:hAnsi="Times New Roman" w:cs="Times New Roman"/>
          <w:bCs/>
          <w:color w:val="1F3345"/>
          <w:sz w:val="24"/>
          <w:szCs w:val="24"/>
          <w:lang w:eastAsia="es-ES"/>
        </w:rPr>
        <w:t xml:space="preserve"> (CAP), Norma Rauda, estimó  que la factura petrolera ascendió  a </w:t>
      </w:r>
      <w:r w:rsidR="006532D0" w:rsidRPr="006F6F56">
        <w:rPr>
          <w:rFonts w:ascii="Times New Roman" w:eastAsia="Times New Roman" w:hAnsi="Times New Roman" w:cs="Times New Roman"/>
          <w:bCs/>
          <w:color w:val="1F3345"/>
          <w:sz w:val="24"/>
          <w:szCs w:val="24"/>
          <w:lang w:eastAsia="es-ES"/>
        </w:rPr>
        <w:t xml:space="preserve">cerca de </w:t>
      </w:r>
      <w:r w:rsidRPr="006F6F56">
        <w:rPr>
          <w:rFonts w:ascii="Times New Roman" w:eastAsia="Times New Roman" w:hAnsi="Times New Roman" w:cs="Times New Roman"/>
          <w:bCs/>
          <w:color w:val="1F3345"/>
          <w:sz w:val="24"/>
          <w:szCs w:val="24"/>
          <w:lang w:eastAsia="es-ES"/>
        </w:rPr>
        <w:t xml:space="preserve"> $ </w:t>
      </w:r>
      <w:r w:rsidR="00440E24">
        <w:rPr>
          <w:rFonts w:ascii="Times New Roman" w:eastAsia="Times New Roman" w:hAnsi="Times New Roman" w:cs="Times New Roman"/>
          <w:bCs/>
          <w:color w:val="1F3345"/>
          <w:sz w:val="24"/>
          <w:szCs w:val="24"/>
          <w:lang w:eastAsia="es-ES"/>
        </w:rPr>
        <w:t>1.</w:t>
      </w:r>
      <w:r w:rsidR="006532D0" w:rsidRPr="006F6F56">
        <w:rPr>
          <w:rFonts w:ascii="Times New Roman" w:eastAsia="Times New Roman" w:hAnsi="Times New Roman" w:cs="Times New Roman"/>
          <w:bCs/>
          <w:color w:val="1F3345"/>
          <w:sz w:val="24"/>
          <w:szCs w:val="24"/>
          <w:lang w:eastAsia="es-ES"/>
        </w:rPr>
        <w:t>450 millones de dólares ascenderá al finalizar el 2011, unos 250 millones de</w:t>
      </w:r>
      <w:r w:rsidRPr="006F6F56">
        <w:rPr>
          <w:rFonts w:ascii="Times New Roman" w:eastAsia="Times New Roman" w:hAnsi="Times New Roman" w:cs="Times New Roman"/>
          <w:bCs/>
          <w:color w:val="1F3345"/>
          <w:sz w:val="24"/>
          <w:szCs w:val="24"/>
          <w:lang w:eastAsia="es-ES"/>
        </w:rPr>
        <w:t xml:space="preserve"> dólares más que el año pasado.</w:t>
      </w:r>
    </w:p>
    <w:p w:rsidR="006F6F56" w:rsidRDefault="006F6F56" w:rsidP="006F6F56">
      <w:pPr>
        <w:spacing w:after="0" w:line="240" w:lineRule="auto"/>
        <w:jc w:val="both"/>
        <w:rPr>
          <w:rFonts w:ascii="Times New Roman" w:eastAsia="Times New Roman" w:hAnsi="Times New Roman" w:cs="Times New Roman"/>
          <w:bCs/>
          <w:color w:val="1F3345"/>
          <w:sz w:val="24"/>
          <w:szCs w:val="24"/>
          <w:lang w:eastAsia="es-ES"/>
        </w:rPr>
      </w:pPr>
    </w:p>
    <w:p w:rsidR="00D66500" w:rsidRPr="003F0C2D" w:rsidRDefault="00B24BE1" w:rsidP="006F6F56">
      <w:pPr>
        <w:spacing w:after="0" w:line="240" w:lineRule="auto"/>
        <w:jc w:val="both"/>
        <w:rPr>
          <w:rFonts w:ascii="Times New Roman" w:eastAsia="Times New Roman" w:hAnsi="Times New Roman" w:cs="Times New Roman"/>
          <w:bCs/>
          <w:color w:val="1F3345"/>
          <w:sz w:val="24"/>
          <w:szCs w:val="24"/>
          <w:lang w:eastAsia="es-ES"/>
        </w:rPr>
      </w:pPr>
      <w:r w:rsidRPr="006F6F56">
        <w:rPr>
          <w:rFonts w:ascii="Times New Roman" w:eastAsia="Times New Roman" w:hAnsi="Times New Roman" w:cs="Times New Roman"/>
          <w:bCs/>
          <w:color w:val="1F3345"/>
          <w:sz w:val="24"/>
          <w:szCs w:val="24"/>
          <w:lang w:eastAsia="es-ES"/>
        </w:rPr>
        <w:t xml:space="preserve">En </w:t>
      </w:r>
      <w:r w:rsidR="006532D0" w:rsidRPr="006F6F56">
        <w:rPr>
          <w:rFonts w:ascii="Times New Roman" w:eastAsia="Times New Roman" w:hAnsi="Times New Roman" w:cs="Times New Roman"/>
          <w:bCs/>
          <w:color w:val="1F3345"/>
          <w:sz w:val="24"/>
          <w:szCs w:val="24"/>
          <w:lang w:eastAsia="es-ES"/>
        </w:rPr>
        <w:t xml:space="preserve">El Salvador  </w:t>
      </w:r>
      <w:r w:rsidRPr="006F6F56">
        <w:rPr>
          <w:rFonts w:ascii="Times New Roman" w:eastAsia="Times New Roman" w:hAnsi="Times New Roman" w:cs="Times New Roman"/>
          <w:bCs/>
          <w:color w:val="1F3345"/>
          <w:sz w:val="24"/>
          <w:szCs w:val="24"/>
          <w:lang w:eastAsia="es-ES"/>
        </w:rPr>
        <w:t>l</w:t>
      </w:r>
      <w:r w:rsidR="006532D0" w:rsidRPr="006F6F56">
        <w:rPr>
          <w:rFonts w:ascii="Times New Roman" w:eastAsia="Times New Roman" w:hAnsi="Times New Roman" w:cs="Times New Roman"/>
          <w:bCs/>
          <w:color w:val="1F3345"/>
          <w:sz w:val="24"/>
          <w:szCs w:val="24"/>
          <w:lang w:eastAsia="es-ES"/>
        </w:rPr>
        <w:t xml:space="preserve">a factura petrolera </w:t>
      </w:r>
      <w:r w:rsidR="00A01F59">
        <w:rPr>
          <w:rFonts w:ascii="Times New Roman" w:eastAsia="Times New Roman" w:hAnsi="Times New Roman" w:cs="Times New Roman"/>
          <w:bCs/>
          <w:color w:val="1F3345"/>
          <w:sz w:val="24"/>
          <w:szCs w:val="24"/>
          <w:lang w:eastAsia="es-ES"/>
        </w:rPr>
        <w:t>estaba calculada en $ 1.</w:t>
      </w:r>
      <w:r w:rsidR="00514A8E">
        <w:rPr>
          <w:rFonts w:ascii="Times New Roman" w:eastAsia="Times New Roman" w:hAnsi="Times New Roman" w:cs="Times New Roman"/>
          <w:bCs/>
          <w:color w:val="1F3345"/>
          <w:sz w:val="24"/>
          <w:szCs w:val="24"/>
          <w:lang w:eastAsia="es-ES"/>
        </w:rPr>
        <w:t xml:space="preserve"> 559 </w:t>
      </w:r>
      <w:r w:rsidR="00A01F59" w:rsidRPr="00A01F59">
        <w:rPr>
          <w:rFonts w:ascii="Times New Roman" w:eastAsia="Times New Roman" w:hAnsi="Times New Roman" w:cs="Times New Roman"/>
          <w:bCs/>
          <w:color w:val="1F3345"/>
          <w:sz w:val="24"/>
          <w:szCs w:val="24"/>
          <w:lang w:eastAsia="es-ES"/>
        </w:rPr>
        <w:t>millones a noviembre de 2011</w:t>
      </w:r>
      <w:r w:rsidR="00514A8E">
        <w:rPr>
          <w:rFonts w:ascii="Times New Roman" w:eastAsia="Times New Roman" w:hAnsi="Times New Roman" w:cs="Times New Roman"/>
          <w:bCs/>
          <w:color w:val="1F3345"/>
          <w:sz w:val="24"/>
          <w:szCs w:val="24"/>
          <w:lang w:eastAsia="es-ES"/>
        </w:rPr>
        <w:t xml:space="preserve">. </w:t>
      </w:r>
      <w:r w:rsidRPr="006F6F56">
        <w:rPr>
          <w:rFonts w:ascii="Times New Roman" w:eastAsia="Times New Roman" w:hAnsi="Times New Roman" w:cs="Times New Roman"/>
          <w:bCs/>
          <w:color w:val="1F3345"/>
          <w:sz w:val="24"/>
          <w:szCs w:val="24"/>
          <w:lang w:eastAsia="es-ES"/>
        </w:rPr>
        <w:t>Por su parte en Nicaragua las autoridades estimaron que la factura petrolera ascendería a</w:t>
      </w:r>
      <w:r w:rsidR="00514A8E">
        <w:rPr>
          <w:rFonts w:ascii="Times New Roman" w:eastAsia="Times New Roman" w:hAnsi="Times New Roman" w:cs="Times New Roman"/>
          <w:bCs/>
          <w:color w:val="1F3345"/>
          <w:sz w:val="24"/>
          <w:szCs w:val="24"/>
          <w:lang w:eastAsia="es-ES"/>
        </w:rPr>
        <w:t xml:space="preserve"> los </w:t>
      </w:r>
      <w:r w:rsidRPr="006F6F56">
        <w:rPr>
          <w:rFonts w:ascii="Times New Roman" w:eastAsia="Times New Roman" w:hAnsi="Times New Roman" w:cs="Times New Roman"/>
          <w:bCs/>
          <w:color w:val="1F3345"/>
          <w:sz w:val="24"/>
          <w:szCs w:val="24"/>
          <w:lang w:eastAsia="es-ES"/>
        </w:rPr>
        <w:t xml:space="preserve"> $ 9</w:t>
      </w:r>
      <w:r w:rsidR="001F27B5">
        <w:rPr>
          <w:rFonts w:ascii="Times New Roman" w:eastAsia="Times New Roman" w:hAnsi="Times New Roman" w:cs="Times New Roman"/>
          <w:bCs/>
          <w:color w:val="1F3345"/>
          <w:sz w:val="24"/>
          <w:szCs w:val="24"/>
          <w:lang w:eastAsia="es-ES"/>
        </w:rPr>
        <w:t>50 millones</w:t>
      </w:r>
      <w:r w:rsidR="0045070B">
        <w:rPr>
          <w:rFonts w:ascii="Times New Roman" w:eastAsia="Times New Roman" w:hAnsi="Times New Roman" w:cs="Times New Roman"/>
          <w:bCs/>
          <w:color w:val="1F3345"/>
          <w:sz w:val="24"/>
          <w:szCs w:val="24"/>
          <w:lang w:eastAsia="es-ES"/>
        </w:rPr>
        <w:t xml:space="preserve"> ; y en</w:t>
      </w:r>
      <w:r w:rsidR="00D66500">
        <w:rPr>
          <w:rFonts w:ascii="Times New Roman" w:eastAsia="Times New Roman" w:hAnsi="Times New Roman" w:cs="Times New Roman"/>
          <w:bCs/>
          <w:color w:val="1F3345"/>
          <w:sz w:val="24"/>
          <w:szCs w:val="24"/>
          <w:lang w:eastAsia="es-ES"/>
        </w:rPr>
        <w:t xml:space="preserve"> </w:t>
      </w:r>
      <w:r w:rsidR="001F27B5">
        <w:rPr>
          <w:rFonts w:ascii="Times New Roman" w:eastAsia="Times New Roman" w:hAnsi="Times New Roman" w:cs="Times New Roman"/>
          <w:bCs/>
          <w:color w:val="1F3345"/>
          <w:sz w:val="24"/>
          <w:szCs w:val="24"/>
          <w:lang w:eastAsia="es-ES"/>
        </w:rPr>
        <w:t xml:space="preserve">Costa Rica </w:t>
      </w:r>
      <w:r w:rsidR="0045070B">
        <w:rPr>
          <w:rFonts w:ascii="Times New Roman" w:eastAsia="Times New Roman" w:hAnsi="Times New Roman" w:cs="Times New Roman"/>
          <w:bCs/>
          <w:color w:val="1F3345"/>
          <w:sz w:val="24"/>
          <w:szCs w:val="24"/>
          <w:lang w:eastAsia="es-ES"/>
        </w:rPr>
        <w:t>se estima que el año pasado se pagaron</w:t>
      </w:r>
      <w:r w:rsidR="003F0C2D">
        <w:rPr>
          <w:rFonts w:ascii="Times New Roman" w:eastAsia="Times New Roman" w:hAnsi="Times New Roman" w:cs="Times New Roman"/>
          <w:bCs/>
          <w:color w:val="1F3345"/>
          <w:sz w:val="24"/>
          <w:szCs w:val="24"/>
          <w:lang w:eastAsia="es-ES"/>
        </w:rPr>
        <w:t xml:space="preserve"> </w:t>
      </w:r>
      <w:r w:rsidR="00A4557D" w:rsidRPr="006F6F56">
        <w:rPr>
          <w:rFonts w:ascii="Times New Roman" w:eastAsia="Times New Roman" w:hAnsi="Times New Roman" w:cs="Times New Roman"/>
          <w:bCs/>
          <w:color w:val="1F3345"/>
          <w:sz w:val="24"/>
          <w:szCs w:val="24"/>
          <w:lang w:eastAsia="es-ES"/>
        </w:rPr>
        <w:t xml:space="preserve">$ </w:t>
      </w:r>
      <w:r w:rsidR="00D66500">
        <w:rPr>
          <w:rFonts w:ascii="Times New Roman" w:eastAsia="Times New Roman" w:hAnsi="Times New Roman" w:cs="Times New Roman"/>
          <w:bCs/>
          <w:color w:val="1F3345"/>
          <w:sz w:val="24"/>
          <w:szCs w:val="24"/>
          <w:lang w:eastAsia="es-ES"/>
        </w:rPr>
        <w:t>2.172 millones por la compr</w:t>
      </w:r>
      <w:r w:rsidR="0045070B">
        <w:rPr>
          <w:rFonts w:ascii="Times New Roman" w:eastAsia="Times New Roman" w:hAnsi="Times New Roman" w:cs="Times New Roman"/>
          <w:bCs/>
          <w:color w:val="1F3345"/>
          <w:sz w:val="24"/>
          <w:szCs w:val="24"/>
          <w:lang w:eastAsia="es-ES"/>
        </w:rPr>
        <w:t>a de 18. 5 millones de barriles.</w:t>
      </w:r>
    </w:p>
    <w:tbl>
      <w:tblPr>
        <w:tblW w:w="1945" w:type="dxa"/>
        <w:tblInd w:w="70" w:type="dxa"/>
        <w:tblCellMar>
          <w:left w:w="70" w:type="dxa"/>
          <w:right w:w="70" w:type="dxa"/>
        </w:tblCellMar>
        <w:tblLook w:val="04A0"/>
      </w:tblPr>
      <w:tblGrid>
        <w:gridCol w:w="1945"/>
      </w:tblGrid>
      <w:tr w:rsidR="00D66500" w:rsidRPr="00A01F59" w:rsidTr="00D66500">
        <w:trPr>
          <w:trHeight w:val="402"/>
        </w:trPr>
        <w:tc>
          <w:tcPr>
            <w:tcW w:w="1945" w:type="dxa"/>
            <w:tcBorders>
              <w:top w:val="nil"/>
              <w:left w:val="nil"/>
              <w:bottom w:val="nil"/>
              <w:right w:val="nil"/>
            </w:tcBorders>
            <w:shd w:val="clear" w:color="auto" w:fill="auto"/>
            <w:noWrap/>
            <w:vAlign w:val="bottom"/>
            <w:hideMark/>
          </w:tcPr>
          <w:p w:rsidR="00D66500" w:rsidRPr="00A01F59" w:rsidRDefault="00D66500" w:rsidP="00D66500">
            <w:pPr>
              <w:spacing w:after="0" w:line="240" w:lineRule="auto"/>
              <w:rPr>
                <w:rFonts w:ascii="Times New Roman" w:eastAsia="Times New Roman" w:hAnsi="Times New Roman" w:cs="Times New Roman"/>
                <w:bCs/>
                <w:color w:val="1F3345"/>
                <w:sz w:val="24"/>
                <w:szCs w:val="24"/>
                <w:lang w:eastAsia="es-ES"/>
              </w:rPr>
            </w:pPr>
            <w:r w:rsidRPr="00A01F59">
              <w:rPr>
                <w:rFonts w:ascii="Times New Roman" w:eastAsia="Times New Roman" w:hAnsi="Times New Roman" w:cs="Times New Roman"/>
                <w:bCs/>
                <w:color w:val="1F3345"/>
                <w:sz w:val="24"/>
                <w:szCs w:val="24"/>
                <w:lang w:eastAsia="es-ES"/>
              </w:rPr>
              <w:drawing>
                <wp:anchor distT="0" distB="0" distL="114300" distR="114300" simplePos="0" relativeHeight="25159731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2"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395" name="Text Box 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59833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3"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396" name="Text Box 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59936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397" name="Text Box 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038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5"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398" name="Text Box 6"/>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140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6" name="Text Box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399" name="Text Box 7"/>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2432"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7" name="Text Box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00" name="Text Box 8"/>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345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 name="Text Box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1" name="Text Box 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448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 name="Text Box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2" name="Text Box 1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550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 name="Text 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3" name="Text Box 1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652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 name="Text Box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4" name="Text Box 1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755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2" name="Text Box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5" name="Text Box 1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857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3" name="Text Box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6" name="Text Box 14"/>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0960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4" name="Text Box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7" name="Text Box 1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062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5" name="Text Box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08" name="Text Box 16"/>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1648"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17" name="Text Box 8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10" name="Text Box 886"/>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2672"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18" name="Text Box 8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1" name="Text Box 887"/>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3696"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19" name="Text Box 8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12" name="Text Box 888"/>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4720"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20" name="Text Box 8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13" name="Text Box 889"/>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5744"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21" name="Text Box 8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14" name="Text Box 890"/>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6768"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2" name="Text Box 8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5" name="Text Box 891"/>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7792"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3" name="Text Box 8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6" name="Text Box 892"/>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8816"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4" name="Text Box 8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7" name="Text Box 893"/>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19840"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5" name="Text Box 8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8" name="Text Box 894"/>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0864"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6" name="Text Box 8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19" name="Text Box 895"/>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1888"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7" name="Text Box 8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0" name="Text Box 896"/>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2912"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8" name="Text Box 8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1" name="Text Box 897"/>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3936"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29" name="Text Box 8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2" name="Text Box 898"/>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4960"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0" name="Text Box 8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3" name="Text Box 899"/>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5984"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31" name="Text Box 9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24" name="Text Box 900"/>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7008"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2" name="Text Box 9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5" name="Text Box 901"/>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8032"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33" name="Text Box 9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26" name="Text Box 902"/>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29056"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34" name="Text Box 9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27" name="Text Box 903"/>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0080" behindDoc="0" locked="0" layoutInCell="1" allowOverlap="1">
                  <wp:simplePos x="0" y="0"/>
                  <wp:positionH relativeFrom="column">
                    <wp:posOffset>0</wp:posOffset>
                  </wp:positionH>
                  <wp:positionV relativeFrom="paragraph">
                    <wp:posOffset>-9525</wp:posOffset>
                  </wp:positionV>
                  <wp:extent cx="114300" cy="304800"/>
                  <wp:effectExtent l="0" t="0" r="0" b="635"/>
                  <wp:wrapNone/>
                  <wp:docPr id="35" name="Text Box 9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285750"/>
                            <a:chOff x="12896850" y="2476500"/>
                            <a:chExt cx="114300" cy="285750"/>
                          </a:xfrm>
                        </a:grpSpPr>
                        <a:sp>
                          <a:nvSpPr>
                            <a:cNvPr id="3428" name="Text Box 904"/>
                            <a:cNvSpPr txBox="1">
                              <a:spLocks noChangeArrowheads="1"/>
                            </a:cNvSpPr>
                          </a:nvSpPr>
                          <a:spPr bwMode="auto">
                            <a:xfrm>
                              <a:off x="12896850" y="247650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1104"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6" name="Text Box 9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29" name="Text Box 905"/>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2128"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7" name="Text Box 9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30" name="Text Box 906"/>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3152"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8" name="Text Box 9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31" name="Text Box 907"/>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4176"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39" name="Text Box 9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32" name="Text Box 908"/>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5200" behindDoc="0" locked="0" layoutInCell="1" allowOverlap="1">
                  <wp:simplePos x="0" y="0"/>
                  <wp:positionH relativeFrom="column">
                    <wp:posOffset>0</wp:posOffset>
                  </wp:positionH>
                  <wp:positionV relativeFrom="paragraph">
                    <wp:posOffset>-9525</wp:posOffset>
                  </wp:positionV>
                  <wp:extent cx="114300" cy="314325"/>
                  <wp:effectExtent l="0" t="635" r="0" b="0"/>
                  <wp:wrapNone/>
                  <wp:docPr id="40" name="Text Box 9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476500"/>
                            <a:ext cx="114300" cy="304800"/>
                            <a:chOff x="12896850" y="2476500"/>
                            <a:chExt cx="114300" cy="304800"/>
                          </a:xfrm>
                        </a:grpSpPr>
                        <a:sp>
                          <a:nvSpPr>
                            <a:cNvPr id="3433" name="Text Box 909"/>
                            <a:cNvSpPr txBox="1">
                              <a:spLocks noChangeArrowheads="1"/>
                            </a:cNvSpPr>
                          </a:nvSpPr>
                          <a:spPr bwMode="auto">
                            <a:xfrm>
                              <a:off x="12896850" y="247650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622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1" name="Text Box 9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49" name="Text Box 927"/>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724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42" name="Text Box 9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50" name="Text Box 928"/>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827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3" name="Text Box 9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1" name="Text Box 92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3929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44" name="Text Box 9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52" name="Text Box 930"/>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0320"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45" name="Text Box 9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53" name="Text Box 931"/>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134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46" name="Text Box 9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54" name="Text Box 932"/>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236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7" name="Text Box 9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5" name="Text Box 93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339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8" name="Text Box 9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6" name="Text Box 934"/>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441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49" name="Text Box 9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7" name="Text Box 93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544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0" name="Text Box 9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8" name="Text Box 936"/>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646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1" name="Text Box 9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59" name="Text Box 937"/>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748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2" name="Text Box 9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0" name="Text Box 938"/>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851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3" name="Text Box 9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1" name="Text Box 93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4953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4" name="Text Box 9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2" name="Text Box 94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056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5" name="Text Box 9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3" name="Text Box 94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158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56" name="Text Box 9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64" name="Text Box 942"/>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260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57" name="Text Box 9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5" name="Text Box 94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3632"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58" name="Text Box 9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66" name="Text Box 94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465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59" name="Text Box 9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67" name="Text Box 945"/>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5680"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60" name="Text Box 9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68" name="Text Box 946"/>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670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1" name="Text Box 9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69" name="Text Box 947"/>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772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2" name="Text Box 9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0" name="Text Box 948"/>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875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3" name="Text Box 9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1" name="Text Box 94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5977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4" name="Text Box 9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2" name="Text Box 95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080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5" name="Text Box 9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3" name="Text Box 95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182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6" name="Text Box 9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4" name="Text Box 95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284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7" name="Text Box 9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5" name="Text Box 95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387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8" name="Text Box 9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76" name="Text Box 954"/>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489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69" name="Text Box 9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91" name="Text Box 96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5920"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70" name="Text Box 9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92" name="Text Box 970"/>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694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1" name="Text Box 9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93" name="Text Box 97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796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72" name="Text Box 9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94" name="Text Box 972"/>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68992"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73" name="Text Box 9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95" name="Text Box 973"/>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001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74" name="Text Box 9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496" name="Text Box 97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104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5" name="Text Box 9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97" name="Text Box 97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206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6" name="Text Box 9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98" name="Text Box 976"/>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308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7" name="Text Box 9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499" name="Text Box 977"/>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411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8" name="Text Box 9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0" name="Text Box 978"/>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513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79" name="Text Box 9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1" name="Text Box 97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616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0" name="Text Box 9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2" name="Text Box 98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718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1" name="Text Box 9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3" name="Text Box 98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820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2" name="Text Box 9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4" name="Text Box 98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7923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3" name="Text Box 9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5" name="Text Box 98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025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84" name="Text Box 9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06" name="Text Box 98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128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5" name="Text Box 9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07" name="Text Box 98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230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86" name="Text Box 9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08" name="Text Box 986"/>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332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87" name="Text Box 9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09" name="Text Box 987"/>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4352"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88" name="Text Box 9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10" name="Text Box 988"/>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537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89" name="Text Box 9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1" name="Text Box 98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640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0" name="Text Box 9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2" name="Text Box 99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742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1" name="Text Box 9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3" name="Text Box 99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844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2" name="Text Box 9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4" name="Text Box 99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8947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3" name="Text Box 9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5" name="Text Box 99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049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4" name="Text Box 9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6" name="Text Box 994"/>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152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5" name="Text Box 9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7" name="Text Box 99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254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6" name="Text Box 9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18" name="Text Box 996"/>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356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7" name="Text Box 10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61" name="Text Box 103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4592"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98" name="Text Box 10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62" name="Text Box 1040"/>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561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99" name="Text Box 10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63" name="Text Box 104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6640"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00" name="Text Box 10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64" name="Text Box 1042"/>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766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01" name="Text Box 10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65" name="Text Box 1043"/>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868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02" name="Text Box 10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66" name="Text Box 104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69971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3" name="Text Box 10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67" name="Text Box 104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073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4" name="Text Box 10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68" name="Text Box 1046"/>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176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5" name="Text Box 10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69" name="Text Box 1047"/>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278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6" name="Text Box 10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0" name="Text Box 1048"/>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380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7" name="Text Box 10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1" name="Text Box 104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483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8" name="Text Box 10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2" name="Text Box 105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585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09" name="Text Box 10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3" name="Text Box 105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688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0" name="Text Box 10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4" name="Text Box 105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790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1" name="Text Box 10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5" name="Text Box 105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8928"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12" name="Text Box 10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76" name="Text Box 1054"/>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0995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3" name="Text Box 10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77" name="Text Box 1055"/>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0976"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14" name="Text Box 10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78" name="Text Box 1056"/>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2000"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15" name="Text Box 10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79" name="Text Box 1057"/>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3024" behindDoc="0" locked="0" layoutInCell="1" allowOverlap="1">
                  <wp:simplePos x="0" y="0"/>
                  <wp:positionH relativeFrom="column">
                    <wp:posOffset>0</wp:posOffset>
                  </wp:positionH>
                  <wp:positionV relativeFrom="paragraph">
                    <wp:posOffset>-247650</wp:posOffset>
                  </wp:positionV>
                  <wp:extent cx="114300" cy="295275"/>
                  <wp:effectExtent l="0" t="0" r="0" b="0"/>
                  <wp:wrapNone/>
                  <wp:docPr id="116" name="Text Box 10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285750"/>
                            <a:chOff x="12896850" y="2228850"/>
                            <a:chExt cx="114300" cy="285750"/>
                          </a:xfrm>
                        </a:grpSpPr>
                        <a:sp>
                          <a:nvSpPr>
                            <a:cNvPr id="3580" name="Text Box 1058"/>
                            <a:cNvSpPr txBox="1">
                              <a:spLocks noChangeArrowheads="1"/>
                            </a:cNvSpPr>
                          </a:nvSpPr>
                          <a:spPr bwMode="auto">
                            <a:xfrm>
                              <a:off x="12896850" y="2228850"/>
                              <a:ext cx="114300" cy="28575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4048"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7" name="Text Box 10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81" name="Text Box 1059"/>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5072"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8" name="Text Box 10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82" name="Text Box 1060"/>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6096"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19" name="Text Box 10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83" name="Text Box 1061"/>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7120"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20" name="Text Box 10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84" name="Text Box 1062"/>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r w:rsidRPr="00A01F59">
              <w:rPr>
                <w:rFonts w:ascii="Times New Roman" w:eastAsia="Times New Roman" w:hAnsi="Times New Roman" w:cs="Times New Roman"/>
                <w:bCs/>
                <w:color w:val="1F3345"/>
                <w:sz w:val="24"/>
                <w:szCs w:val="24"/>
                <w:lang w:eastAsia="es-ES"/>
              </w:rPr>
              <w:drawing>
                <wp:anchor distT="0" distB="0" distL="114300" distR="114300" simplePos="0" relativeHeight="251718144" behindDoc="0" locked="0" layoutInCell="1" allowOverlap="1">
                  <wp:simplePos x="0" y="0"/>
                  <wp:positionH relativeFrom="column">
                    <wp:posOffset>0</wp:posOffset>
                  </wp:positionH>
                  <wp:positionV relativeFrom="paragraph">
                    <wp:posOffset>-247650</wp:posOffset>
                  </wp:positionV>
                  <wp:extent cx="114300" cy="314325"/>
                  <wp:effectExtent l="0" t="0" r="0" b="635"/>
                  <wp:wrapNone/>
                  <wp:docPr id="121" name="Text Box 10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96850" y="2228850"/>
                            <a:ext cx="114300" cy="304800"/>
                            <a:chOff x="12896850" y="2228850"/>
                            <a:chExt cx="114300" cy="304800"/>
                          </a:xfrm>
                        </a:grpSpPr>
                        <a:sp>
                          <a:nvSpPr>
                            <a:cNvPr id="3585" name="Text Box 1063"/>
                            <a:cNvSpPr txBox="1">
                              <a:spLocks noChangeArrowheads="1"/>
                            </a:cNvSpPr>
                          </a:nvSpPr>
                          <a:spPr bwMode="auto">
                            <a:xfrm>
                              <a:off x="12896850" y="2228850"/>
                              <a:ext cx="114300" cy="304800"/>
                            </a:xfrm>
                            <a:prstGeom prst="rect">
                              <a:avLst/>
                            </a:prstGeom>
                            <a:noFill/>
                            <a:ln w="9525">
                              <a:noFill/>
                              <a:miter lim="800000"/>
                              <a:headEnd/>
                              <a:tailEnd/>
                            </a:ln>
                          </a:spPr>
                        </a:sp>
                      </lc:lockedCanvas>
                    </a:graphicData>
                  </a:graphic>
                </wp:anchor>
              </w:drawing>
            </w:r>
          </w:p>
          <w:p w:rsidR="00D66500" w:rsidRPr="00A01F59" w:rsidRDefault="00D66500" w:rsidP="00D66500">
            <w:pPr>
              <w:spacing w:after="0" w:line="240" w:lineRule="auto"/>
              <w:rPr>
                <w:rFonts w:ascii="Times New Roman" w:eastAsia="Times New Roman" w:hAnsi="Times New Roman" w:cs="Times New Roman"/>
                <w:bCs/>
                <w:color w:val="1F3345"/>
                <w:sz w:val="24"/>
                <w:szCs w:val="24"/>
                <w:lang w:eastAsia="es-ES"/>
              </w:rPr>
            </w:pPr>
          </w:p>
        </w:tc>
      </w:tr>
    </w:tbl>
    <w:p w:rsidR="006532D0" w:rsidRPr="00A23315" w:rsidRDefault="006532D0" w:rsidP="001F27B5">
      <w:pPr>
        <w:jc w:val="both"/>
        <w:rPr>
          <w:rFonts w:ascii="Times New Roman" w:hAnsi="Times New Roman" w:cs="Times New Roman"/>
          <w:color w:val="333333"/>
          <w:sz w:val="21"/>
          <w:szCs w:val="21"/>
        </w:rPr>
      </w:pPr>
      <w:r w:rsidRPr="00A23315">
        <w:rPr>
          <w:rFonts w:ascii="Times New Roman" w:hAnsi="Times New Roman" w:cs="Times New Roman"/>
          <w:color w:val="333333"/>
          <w:sz w:val="21"/>
          <w:szCs w:val="21"/>
        </w:rPr>
        <w:t xml:space="preserve">Fuente: </w:t>
      </w:r>
    </w:p>
    <w:p w:rsidR="006532D0" w:rsidRPr="00A23315" w:rsidRDefault="004B5D0B" w:rsidP="001F27B5">
      <w:pPr>
        <w:spacing w:after="0" w:line="240" w:lineRule="auto"/>
        <w:rPr>
          <w:rFonts w:ascii="Times New Roman" w:hAnsi="Times New Roman" w:cs="Times New Roman"/>
          <w:color w:val="333333"/>
          <w:sz w:val="21"/>
          <w:szCs w:val="21"/>
        </w:rPr>
      </w:pPr>
      <w:hyperlink r:id="rId7" w:history="1">
        <w:r w:rsidR="006532D0" w:rsidRPr="00A23315">
          <w:rPr>
            <w:rStyle w:val="Hipervnculo"/>
            <w:rFonts w:ascii="Times New Roman" w:hAnsi="Times New Roman" w:cs="Times New Roman"/>
            <w:sz w:val="21"/>
            <w:szCs w:val="21"/>
          </w:rPr>
          <w:t>http://www.elnuevodiario.com.ni/especiales/236847</w:t>
        </w:r>
      </w:hyperlink>
    </w:p>
    <w:p w:rsidR="006532D0" w:rsidRPr="00A23315" w:rsidRDefault="004B5D0B" w:rsidP="001F27B5">
      <w:pPr>
        <w:spacing w:after="0" w:line="240" w:lineRule="auto"/>
        <w:rPr>
          <w:rFonts w:ascii="Times New Roman" w:hAnsi="Times New Roman" w:cs="Times New Roman"/>
          <w:color w:val="333333"/>
          <w:sz w:val="21"/>
          <w:szCs w:val="21"/>
        </w:rPr>
      </w:pPr>
      <w:hyperlink r:id="rId8" w:history="1">
        <w:r w:rsidR="006532D0" w:rsidRPr="00A23315">
          <w:rPr>
            <w:rStyle w:val="Hipervnculo"/>
            <w:rFonts w:ascii="Times New Roman" w:hAnsi="Times New Roman" w:cs="Times New Roman"/>
            <w:sz w:val="21"/>
            <w:szCs w:val="21"/>
          </w:rPr>
          <w:t>http://www.americaeconomia.com/economia-mercados/finanzas/factura-petrolera-de-guatemala-sube-39</w:t>
        </w:r>
      </w:hyperlink>
    </w:p>
    <w:p w:rsidR="006532D0" w:rsidRPr="00A23315" w:rsidRDefault="004B5D0B" w:rsidP="001F27B5">
      <w:pPr>
        <w:spacing w:after="0" w:line="240" w:lineRule="auto"/>
        <w:rPr>
          <w:rFonts w:ascii="Times New Roman" w:hAnsi="Times New Roman" w:cs="Times New Roman"/>
          <w:color w:val="333333"/>
          <w:sz w:val="21"/>
          <w:szCs w:val="21"/>
        </w:rPr>
      </w:pPr>
      <w:hyperlink r:id="rId9" w:history="1">
        <w:r w:rsidR="006532D0" w:rsidRPr="00A23315">
          <w:rPr>
            <w:rStyle w:val="Hipervnculo"/>
            <w:rFonts w:ascii="Times New Roman" w:hAnsi="Times New Roman" w:cs="Times New Roman"/>
            <w:sz w:val="21"/>
            <w:szCs w:val="21"/>
          </w:rPr>
          <w:t>http://www.laprensa.hn/Secciones-Principales/Economia/Economia/La-factura-petrolera-terminara-al-alza</w:t>
        </w:r>
      </w:hyperlink>
    </w:p>
    <w:p w:rsidR="006532D0" w:rsidRPr="00A23315" w:rsidRDefault="004B5D0B" w:rsidP="001F27B5">
      <w:pPr>
        <w:spacing w:after="0" w:line="240" w:lineRule="auto"/>
        <w:rPr>
          <w:rFonts w:ascii="Times New Roman" w:hAnsi="Times New Roman" w:cs="Times New Roman"/>
          <w:color w:val="333333"/>
          <w:sz w:val="21"/>
          <w:szCs w:val="21"/>
        </w:rPr>
      </w:pPr>
      <w:hyperlink r:id="rId10" w:history="1">
        <w:r w:rsidR="006532D0" w:rsidRPr="00A23315">
          <w:rPr>
            <w:rStyle w:val="Hipervnculo"/>
            <w:rFonts w:ascii="Times New Roman" w:hAnsi="Times New Roman" w:cs="Times New Roman"/>
            <w:sz w:val="21"/>
            <w:szCs w:val="21"/>
          </w:rPr>
          <w:t>http://www.centinelaeconomico.com/2011/12/16/factura-petrolera-de-honduras-ascendera-a-1450-millones-de-dolares-en-2011-250-millones-mas-que-en-2010/</w:t>
        </w:r>
      </w:hyperlink>
    </w:p>
    <w:p w:rsidR="006532D0" w:rsidRDefault="004B5D0B" w:rsidP="001F27B5">
      <w:pPr>
        <w:spacing w:after="0" w:line="240" w:lineRule="auto"/>
      </w:pPr>
      <w:hyperlink r:id="rId11" w:history="1">
        <w:r w:rsidR="006532D0" w:rsidRPr="00A23315">
          <w:rPr>
            <w:rStyle w:val="Hipervnculo"/>
            <w:rFonts w:ascii="Times New Roman" w:hAnsi="Times New Roman" w:cs="Times New Roman"/>
            <w:sz w:val="21"/>
            <w:szCs w:val="21"/>
          </w:rPr>
          <w:t>http://www.proceso.hn/2011/12/27/Econom%C3%ADa/Incremento.de.factura/46380.html</w:t>
        </w:r>
      </w:hyperlink>
    </w:p>
    <w:p w:rsidR="00A43D7D" w:rsidRDefault="00A43D7D" w:rsidP="001F27B5">
      <w:pPr>
        <w:spacing w:after="0" w:line="240" w:lineRule="auto"/>
        <w:rPr>
          <w:rFonts w:ascii="Times New Roman" w:hAnsi="Times New Roman" w:cs="Times New Roman"/>
          <w:color w:val="333333"/>
          <w:sz w:val="21"/>
          <w:szCs w:val="21"/>
        </w:rPr>
      </w:pPr>
      <w:hyperlink r:id="rId12" w:history="1">
        <w:r w:rsidRPr="00CD075C">
          <w:rPr>
            <w:rStyle w:val="Hipervnculo"/>
            <w:rFonts w:ascii="Times New Roman" w:hAnsi="Times New Roman" w:cs="Times New Roman"/>
            <w:sz w:val="21"/>
            <w:szCs w:val="21"/>
          </w:rPr>
          <w:t>http://www.elsiglodetorreon.co</w:t>
        </w:r>
        <w:r w:rsidRPr="00CD075C">
          <w:rPr>
            <w:rStyle w:val="Hipervnculo"/>
            <w:rFonts w:ascii="Times New Roman" w:hAnsi="Times New Roman" w:cs="Times New Roman"/>
            <w:sz w:val="21"/>
            <w:szCs w:val="21"/>
          </w:rPr>
          <w:t>m.mx/noticia/695969.aumentan-precios-de-los-combustibles-en-el-salvador.html</w:t>
        </w:r>
      </w:hyperlink>
    </w:p>
    <w:p w:rsidR="00A43D7D" w:rsidRPr="00A23315" w:rsidRDefault="00A43D7D" w:rsidP="001F27B5">
      <w:pPr>
        <w:spacing w:after="0" w:line="240" w:lineRule="auto"/>
        <w:rPr>
          <w:rFonts w:ascii="Times New Roman" w:hAnsi="Times New Roman" w:cs="Times New Roman"/>
          <w:color w:val="333333"/>
          <w:sz w:val="21"/>
          <w:szCs w:val="21"/>
        </w:rPr>
      </w:pPr>
    </w:p>
    <w:p w:rsidR="006532D0" w:rsidRPr="00A23315" w:rsidRDefault="006532D0" w:rsidP="001F27B5">
      <w:pPr>
        <w:spacing w:after="0" w:line="240" w:lineRule="auto"/>
        <w:rPr>
          <w:rFonts w:ascii="Times New Roman" w:hAnsi="Times New Roman" w:cs="Times New Roman"/>
          <w:color w:val="333333"/>
          <w:sz w:val="21"/>
          <w:szCs w:val="21"/>
        </w:rPr>
      </w:pPr>
    </w:p>
    <w:p w:rsidR="007A6E46" w:rsidRPr="00F40FE7" w:rsidRDefault="00971054">
      <w:pPr>
        <w:rPr>
          <w:u w:val="single"/>
        </w:rPr>
      </w:pPr>
    </w:p>
    <w:sectPr w:rsidR="007A6E46" w:rsidRPr="00F40FE7" w:rsidSect="00880AF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054" w:rsidRDefault="00971054" w:rsidP="00B41477">
      <w:pPr>
        <w:spacing w:after="0" w:line="240" w:lineRule="auto"/>
      </w:pPr>
      <w:r>
        <w:separator/>
      </w:r>
    </w:p>
  </w:endnote>
  <w:endnote w:type="continuationSeparator" w:id="0">
    <w:p w:rsidR="00971054" w:rsidRDefault="00971054" w:rsidP="00B41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054" w:rsidRDefault="00971054" w:rsidP="00B41477">
      <w:pPr>
        <w:spacing w:after="0" w:line="240" w:lineRule="auto"/>
      </w:pPr>
      <w:r>
        <w:separator/>
      </w:r>
    </w:p>
  </w:footnote>
  <w:footnote w:type="continuationSeparator" w:id="0">
    <w:p w:rsidR="00971054" w:rsidRDefault="00971054" w:rsidP="00B41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4B5D0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2" o:spid="_x0000_s2053" type="#_x0000_t75" style="position:absolute;margin-left:0;margin-top:0;width:654.8pt;height:847.4pt;z-index:-251657216;mso-position-horizontal:center;mso-position-horizontal-relative:margin;mso-position-vertical:center;mso-position-vertical-relative:margin" o:allowincell="f">
          <v:imagedata r:id="rId1" o:title="plantilla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4B5D0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3" o:spid="_x0000_s2054" type="#_x0000_t75" style="position:absolute;margin-left:0;margin-top:0;width:654.8pt;height:847.4pt;z-index:-251656192;mso-position-horizontal:center;mso-position-horizontal-relative:margin;mso-position-vertical:center;mso-position-vertical-relative:margin" o:allowincell="f">
          <v:imagedata r:id="rId1" o:title="plantilla (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4B5D0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1" o:spid="_x0000_s2052" type="#_x0000_t75" style="position:absolute;margin-left:0;margin-top:0;width:654.8pt;height:847.4pt;z-index:-251658240;mso-position-horizontal:center;mso-position-horizontal-relative:margin;mso-position-vertical:center;mso-position-vertical-relative:margin" o:allowincell="f">
          <v:imagedata r:id="rId1" o:title="plantilla (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B41477"/>
    <w:rsid w:val="001E7AAF"/>
    <w:rsid w:val="001F27B5"/>
    <w:rsid w:val="00252B71"/>
    <w:rsid w:val="00271423"/>
    <w:rsid w:val="002C10BA"/>
    <w:rsid w:val="002D13F1"/>
    <w:rsid w:val="00310E10"/>
    <w:rsid w:val="003B2D04"/>
    <w:rsid w:val="003F0C2D"/>
    <w:rsid w:val="00440E24"/>
    <w:rsid w:val="0045070B"/>
    <w:rsid w:val="004B5D0B"/>
    <w:rsid w:val="00514A8E"/>
    <w:rsid w:val="0056720F"/>
    <w:rsid w:val="00592A09"/>
    <w:rsid w:val="005D77D9"/>
    <w:rsid w:val="006478E2"/>
    <w:rsid w:val="006532D0"/>
    <w:rsid w:val="00683918"/>
    <w:rsid w:val="006F6F56"/>
    <w:rsid w:val="00880AFA"/>
    <w:rsid w:val="00971054"/>
    <w:rsid w:val="00A01F59"/>
    <w:rsid w:val="00A43D7D"/>
    <w:rsid w:val="00A4557D"/>
    <w:rsid w:val="00AF007F"/>
    <w:rsid w:val="00B10C82"/>
    <w:rsid w:val="00B24BE1"/>
    <w:rsid w:val="00B41477"/>
    <w:rsid w:val="00D66500"/>
    <w:rsid w:val="00E434CE"/>
    <w:rsid w:val="00F40F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2D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1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477"/>
    <w:rPr>
      <w:rFonts w:ascii="Tahoma" w:hAnsi="Tahoma" w:cs="Tahoma"/>
      <w:sz w:val="16"/>
      <w:szCs w:val="16"/>
    </w:rPr>
  </w:style>
  <w:style w:type="paragraph" w:styleId="Encabezado">
    <w:name w:val="header"/>
    <w:basedOn w:val="Normal"/>
    <w:link w:val="EncabezadoCar"/>
    <w:uiPriority w:val="99"/>
    <w:semiHidden/>
    <w:unhideWhenUsed/>
    <w:rsid w:val="00B4147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B41477"/>
  </w:style>
  <w:style w:type="paragraph" w:styleId="Piedepgina">
    <w:name w:val="footer"/>
    <w:basedOn w:val="Normal"/>
    <w:link w:val="PiedepginaCar"/>
    <w:uiPriority w:val="99"/>
    <w:semiHidden/>
    <w:unhideWhenUsed/>
    <w:rsid w:val="00B4147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B41477"/>
  </w:style>
  <w:style w:type="character" w:styleId="Hipervnculo">
    <w:name w:val="Hyperlink"/>
    <w:basedOn w:val="Fuentedeprrafopredeter"/>
    <w:uiPriority w:val="99"/>
    <w:unhideWhenUsed/>
    <w:rsid w:val="006532D0"/>
    <w:rPr>
      <w:color w:val="0000FF" w:themeColor="hyperlink"/>
      <w:u w:val="single"/>
    </w:rPr>
  </w:style>
  <w:style w:type="paragraph" w:styleId="NormalWeb">
    <w:name w:val="Normal (Web)"/>
    <w:basedOn w:val="Normal"/>
    <w:unhideWhenUsed/>
    <w:rsid w:val="006532D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532D0"/>
    <w:rPr>
      <w:b/>
      <w:bCs/>
    </w:rPr>
  </w:style>
  <w:style w:type="character" w:styleId="Hipervnculovisitado">
    <w:name w:val="FollowedHyperlink"/>
    <w:basedOn w:val="Fuentedeprrafopredeter"/>
    <w:uiPriority w:val="99"/>
    <w:semiHidden/>
    <w:unhideWhenUsed/>
    <w:rsid w:val="00D66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2017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ericaeconomia.com/economia-mercados/finanzas/factura-petrolera-de-guatemala-sube-3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elnuevodiario.com.ni/especiales/236847" TargetMode="External"/><Relationship Id="rId12" Type="http://schemas.openxmlformats.org/officeDocument/2006/relationships/hyperlink" Target="http://www.elsiglodetorreon.com.mx/noticia/695969.aumentan-precios-de-los-combustibles-en-el-salvador.html"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recope.com" TargetMode="External"/><Relationship Id="rId11" Type="http://schemas.openxmlformats.org/officeDocument/2006/relationships/hyperlink" Target="http://www.proceso.hn/2011/12/27/Econom%C3%ADa/Incremento.de.factura/46380.html"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centinelaeconomico.com/2011/12/16/factura-petrolera-de-honduras-ascendera-a-1450-millones-de-dolares-en-2011-250-millones-mas-que-en-201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laprensa.hn/Secciones-Principales/Economia/Economia/La-factura-petrolera-terminara-al-alz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528</Words>
  <Characters>2908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yamileth-vm</dc:creator>
  <cp:keywords/>
  <dc:description/>
  <cp:lastModifiedBy>basilio-qc</cp:lastModifiedBy>
  <cp:revision>4</cp:revision>
  <dcterms:created xsi:type="dcterms:W3CDTF">2012-01-10T17:53:00Z</dcterms:created>
  <dcterms:modified xsi:type="dcterms:W3CDTF">2012-01-10T18:00:00Z</dcterms:modified>
</cp:coreProperties>
</file>