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C0" w:rsidRPr="000F76F8" w:rsidRDefault="000F76F8" w:rsidP="002B53C0">
      <w:pPr>
        <w:pStyle w:val="NormalWeb"/>
        <w:spacing w:before="0" w:beforeAutospacing="0" w:after="0" w:afterAutospacing="0"/>
        <w:jc w:val="both"/>
        <w:rPr>
          <w:noProof/>
          <w:sz w:val="16"/>
          <w:szCs w:val="16"/>
          <w:lang w:val="es-CR" w:eastAsia="es-CR"/>
        </w:rPr>
      </w:pPr>
      <w:r>
        <w:rPr>
          <w:noProof/>
          <w:sz w:val="16"/>
          <w:szCs w:val="16"/>
          <w:lang w:val="es-CR" w:eastAsia="es-C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haracter">
              <wp:posOffset>-1067435</wp:posOffset>
            </wp:positionH>
            <wp:positionV relativeFrom="line">
              <wp:posOffset>-709295</wp:posOffset>
            </wp:positionV>
            <wp:extent cx="7454900" cy="10693400"/>
            <wp:effectExtent l="19050" t="0" r="0" b="0"/>
            <wp:wrapNone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C0" w:rsidRPr="009B458C">
        <w:rPr>
          <w:sz w:val="16"/>
          <w:szCs w:val="16"/>
          <w:lang w:val="es-ES_tradnl"/>
        </w:rPr>
        <w:t>Boletín No</w:t>
      </w:r>
      <w:r w:rsidR="002B53C0">
        <w:rPr>
          <w:sz w:val="16"/>
          <w:szCs w:val="16"/>
          <w:lang w:val="es-ES_tradnl"/>
        </w:rPr>
        <w:t xml:space="preserve"> 51</w:t>
      </w:r>
      <w:r w:rsidR="002B53C0" w:rsidRPr="009B458C">
        <w:rPr>
          <w:sz w:val="16"/>
          <w:szCs w:val="16"/>
          <w:lang w:val="es-ES_tradnl"/>
        </w:rPr>
        <w:t xml:space="preserve"> </w:t>
      </w:r>
      <w:r w:rsidR="002B53C0">
        <w:rPr>
          <w:sz w:val="16"/>
          <w:szCs w:val="16"/>
          <w:lang w:val="es-ES_tradnl"/>
        </w:rPr>
        <w:t xml:space="preserve">  del 7 de  setiembre del 2012</w:t>
      </w:r>
    </w:p>
    <w:p w:rsidR="002B53C0" w:rsidRDefault="000A6EDD" w:rsidP="002B53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6" w:history="1">
        <w:r w:rsidR="002B53C0" w:rsidRPr="007E44F3">
          <w:rPr>
            <w:rFonts w:ascii="Times New Roman" w:hAnsi="Times New Roman" w:cs="Times New Roman"/>
            <w:sz w:val="16"/>
            <w:szCs w:val="16"/>
            <w:lang w:val="es-ES_tradnl"/>
          </w:rPr>
          <w:t>www.recope.com</w:t>
        </w:r>
      </w:hyperlink>
    </w:p>
    <w:p w:rsidR="002B53C0" w:rsidRPr="007E44F3" w:rsidRDefault="002B53C0" w:rsidP="002B53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44F3">
        <w:rPr>
          <w:rFonts w:ascii="Times New Roman" w:hAnsi="Times New Roman" w:cs="Times New Roman"/>
          <w:sz w:val="16"/>
          <w:szCs w:val="16"/>
        </w:rPr>
        <w:t>Departamento de comunicación</w:t>
      </w:r>
    </w:p>
    <w:p w:rsidR="002B53C0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:rsidR="002B53C0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:rsidR="000F76F8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282828"/>
          <w:sz w:val="24"/>
          <w:szCs w:val="24"/>
          <w:lang w:eastAsia="es-CR"/>
        </w:rPr>
      </w:pPr>
      <w:r w:rsidRPr="004908E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Fondos c</w:t>
      </w: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>aptados serán utilizados para la inversión en proyectos de</w:t>
      </w:r>
      <w:r w:rsidRPr="004908E1"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desarrollo</w:t>
      </w:r>
      <w:r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  <w:t xml:space="preserve">  </w:t>
      </w:r>
    </w:p>
    <w:p w:rsidR="000F76F8" w:rsidRDefault="000F76F8" w:rsidP="002B53C0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282828"/>
          <w:sz w:val="24"/>
          <w:szCs w:val="24"/>
          <w:lang w:eastAsia="es-CR"/>
        </w:rPr>
      </w:pPr>
    </w:p>
    <w:p w:rsidR="002B53C0" w:rsidRPr="004908E1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24"/>
          <w:szCs w:val="24"/>
          <w:shd w:val="clear" w:color="auto" w:fill="FFFFFF"/>
        </w:rPr>
      </w:pPr>
    </w:p>
    <w:p w:rsidR="002B53C0" w:rsidRPr="004908E1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</w:pPr>
      <w:r w:rsidRPr="004908E1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 xml:space="preserve">SUGEVAL da luz verde al programa </w:t>
      </w:r>
    </w:p>
    <w:p w:rsidR="002B53C0" w:rsidRPr="004908E1" w:rsidRDefault="002B53C0" w:rsidP="002B53C0">
      <w:pPr>
        <w:spacing w:after="0" w:line="240" w:lineRule="auto"/>
        <w:jc w:val="both"/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</w:pPr>
      <w:proofErr w:type="gramStart"/>
      <w:r w:rsidRPr="004908E1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>de</w:t>
      </w:r>
      <w:proofErr w:type="gramEnd"/>
      <w:r w:rsidRPr="004908E1">
        <w:rPr>
          <w:rFonts w:ascii="Times New Roman" w:hAnsi="Times New Roman" w:cs="Times New Roman"/>
          <w:b/>
          <w:color w:val="282828"/>
          <w:sz w:val="36"/>
          <w:szCs w:val="36"/>
          <w:shd w:val="clear" w:color="auto" w:fill="FFFFFF"/>
        </w:rPr>
        <w:t xml:space="preserve"> emisiones de bonos de RECOPE </w:t>
      </w:r>
    </w:p>
    <w:p w:rsidR="002B53C0" w:rsidRDefault="002B53C0" w:rsidP="002B53C0">
      <w:pPr>
        <w:jc w:val="both"/>
        <w:rPr>
          <w:rFonts w:ascii="Times New Roman" w:hAnsi="Times New Roman" w:cs="Times New Roman"/>
          <w:color w:val="282828"/>
          <w:sz w:val="32"/>
          <w:szCs w:val="32"/>
          <w:shd w:val="clear" w:color="auto" w:fill="FFFFFF"/>
        </w:rPr>
      </w:pPr>
    </w:p>
    <w:p w:rsidR="00A55C7B" w:rsidRPr="00A55C7B" w:rsidRDefault="002B53C0" w:rsidP="002B53C0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377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La Refinadora Costarricense de Petróleo ( RECOPE S.A) se inscribió como emisor en el Registro Nacional de Emisores de la Superintendencia General de Valores (SUGEVAL), la cual la mediante Resolución SGV-R-2702 del 27 de agosto de 2012 autorizó el programa A de emisiones de Bonos Estandarizados</w:t>
      </w:r>
      <w:r w:rsid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los cuales serán colocados</w:t>
      </w:r>
      <w:r w:rsidR="00A55C7B"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tanto en el mercado nacional, como en Centroamérica.</w:t>
      </w:r>
    </w:p>
    <w:p w:rsidR="002B53C0" w:rsidRPr="0003770D" w:rsidRDefault="002B53C0" w:rsidP="002B53C0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377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Con la entrega final del Prospecto de Inversión y la publicación del Aviso de Oferta Pública de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l</w:t>
      </w:r>
      <w:r w:rsidRPr="000377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día de hoy, se han cumplido los requisitos finales para poder registrar una emisión de títulos valores por US$200 millones.</w:t>
      </w:r>
    </w:p>
    <w:p w:rsidR="00A55C7B" w:rsidRPr="00A55C7B" w:rsidRDefault="002B53C0" w:rsidP="002B53C0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03770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Los recursos </w:t>
      </w:r>
      <w:r w:rsid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de la emisión serán utilizados en el </w:t>
      </w:r>
      <w:r w:rsidR="00A55C7B"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desarrollo de un conjunto de proyectos de inversión</w:t>
      </w:r>
      <w:r w:rsidR="00E802DA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estratégicos</w:t>
      </w:r>
      <w:r w:rsidR="00A55C7B"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, necesarios para garantizar el abastecimiento futuro de combustibles y reducir los costos de operación de RECOPE. Esos proyectos son:</w:t>
      </w:r>
    </w:p>
    <w:p w:rsidR="002B53C0" w:rsidRPr="0003770D" w:rsidRDefault="002B53C0" w:rsidP="00A55C7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 xml:space="preserve">El nuevo muelle petrolero. </w:t>
      </w:r>
    </w:p>
    <w:p w:rsidR="002B53C0" w:rsidRPr="0003770D" w:rsidRDefault="002B53C0" w:rsidP="002B53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 xml:space="preserve">Ocho tanques en planteles (El Alto, La Garita y Barranca). </w:t>
      </w:r>
    </w:p>
    <w:p w:rsidR="002B53C0" w:rsidRPr="0003770D" w:rsidRDefault="002B53C0" w:rsidP="002B53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 xml:space="preserve">Cuatro tanques de producto negro en </w:t>
      </w:r>
      <w:proofErr w:type="spellStart"/>
      <w:r w:rsidRPr="0003770D">
        <w:rPr>
          <w:rFonts w:ascii="Times New Roman" w:hAnsi="Times New Roman" w:cs="Times New Roman"/>
          <w:sz w:val="28"/>
          <w:szCs w:val="28"/>
        </w:rPr>
        <w:t>Moín</w:t>
      </w:r>
      <w:proofErr w:type="spellEnd"/>
      <w:r w:rsidRPr="0003770D">
        <w:rPr>
          <w:rFonts w:ascii="Times New Roman" w:hAnsi="Times New Roman" w:cs="Times New Roman"/>
          <w:sz w:val="28"/>
          <w:szCs w:val="28"/>
        </w:rPr>
        <w:t xml:space="preserve"> (asfalto y bunker).</w:t>
      </w:r>
    </w:p>
    <w:p w:rsidR="002B53C0" w:rsidRPr="0003770D" w:rsidRDefault="002B53C0" w:rsidP="002B53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 xml:space="preserve">La esfera de Gas Licuado de Petróleo </w:t>
      </w:r>
      <w:proofErr w:type="gramStart"/>
      <w:r w:rsidRPr="0003770D">
        <w:rPr>
          <w:rFonts w:ascii="Times New Roman" w:hAnsi="Times New Roman" w:cs="Times New Roman"/>
          <w:sz w:val="28"/>
          <w:szCs w:val="28"/>
        </w:rPr>
        <w:t>( GLP</w:t>
      </w:r>
      <w:proofErr w:type="gramEnd"/>
      <w:r w:rsidRPr="0003770D">
        <w:rPr>
          <w:rFonts w:ascii="Times New Roman" w:hAnsi="Times New Roman" w:cs="Times New Roman"/>
          <w:sz w:val="28"/>
          <w:szCs w:val="28"/>
        </w:rPr>
        <w:t xml:space="preserve">) YT-7711. </w:t>
      </w:r>
    </w:p>
    <w:p w:rsidR="002B53C0" w:rsidRPr="0003770D" w:rsidRDefault="002B53C0" w:rsidP="002B53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>Seis recipientes cilíndricos horizontales para almacenar GLP.</w:t>
      </w:r>
    </w:p>
    <w:p w:rsidR="002B53C0" w:rsidRPr="0003770D" w:rsidRDefault="002B53C0" w:rsidP="002B53C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>Tres grandes tanques donde se distingue el tanque más grande que tendría el país; con una capacidad para almacenar  350 mil barriles de diesel.</w:t>
      </w:r>
    </w:p>
    <w:p w:rsidR="002B53C0" w:rsidRPr="0003770D" w:rsidRDefault="000F76F8" w:rsidP="002B5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s-CR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character">
              <wp:posOffset>-1016635</wp:posOffset>
            </wp:positionH>
            <wp:positionV relativeFrom="line">
              <wp:posOffset>-709295</wp:posOffset>
            </wp:positionV>
            <wp:extent cx="7454900" cy="10693400"/>
            <wp:effectExtent l="1905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3C0" w:rsidRPr="0003770D">
        <w:rPr>
          <w:rFonts w:ascii="Times New Roman" w:hAnsi="Times New Roman" w:cs="Times New Roman"/>
          <w:sz w:val="28"/>
          <w:szCs w:val="28"/>
        </w:rPr>
        <w:t>Cabe señalar que todos estos proyectos y sus evaluaciones financieras y sociales,  fueron aprobados por MIDEPLAN. Todos se encuentran licitados y la mayoría adjudicados.</w:t>
      </w:r>
    </w:p>
    <w:p w:rsidR="002B53C0" w:rsidRPr="0003770D" w:rsidRDefault="002B53C0" w:rsidP="002B53C0">
      <w:pPr>
        <w:jc w:val="both"/>
        <w:rPr>
          <w:rFonts w:ascii="Times New Roman" w:hAnsi="Times New Roman" w:cs="Times New Roman"/>
          <w:sz w:val="28"/>
          <w:szCs w:val="28"/>
        </w:rPr>
      </w:pPr>
      <w:r w:rsidRPr="0003770D">
        <w:rPr>
          <w:rFonts w:ascii="Times New Roman" w:hAnsi="Times New Roman" w:cs="Times New Roman"/>
          <w:sz w:val="28"/>
          <w:szCs w:val="28"/>
        </w:rPr>
        <w:t>Como resultado de este conjunto de inversiones, RECOPE podrá contar con un modern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3770D">
        <w:rPr>
          <w:rFonts w:ascii="Times New Roman" w:hAnsi="Times New Roman" w:cs="Times New Roman"/>
          <w:sz w:val="28"/>
          <w:szCs w:val="28"/>
        </w:rPr>
        <w:t xml:space="preserve"> y ampli</w:t>
      </w:r>
      <w:r>
        <w:rPr>
          <w:rFonts w:ascii="Times New Roman" w:hAnsi="Times New Roman" w:cs="Times New Roman"/>
          <w:sz w:val="28"/>
          <w:szCs w:val="28"/>
        </w:rPr>
        <w:t>o  muelle petrolero</w:t>
      </w:r>
      <w:r w:rsidRPr="0003770D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03770D">
        <w:rPr>
          <w:rFonts w:ascii="Times New Roman" w:hAnsi="Times New Roman" w:cs="Times New Roman"/>
          <w:sz w:val="28"/>
          <w:szCs w:val="28"/>
        </w:rPr>
        <w:t>Moín</w:t>
      </w:r>
      <w:proofErr w:type="spellEnd"/>
      <w:r w:rsidRPr="0003770D">
        <w:rPr>
          <w:rFonts w:ascii="Times New Roman" w:hAnsi="Times New Roman" w:cs="Times New Roman"/>
          <w:sz w:val="28"/>
          <w:szCs w:val="28"/>
        </w:rPr>
        <w:t xml:space="preserve"> que será clave para atender la demanda futura de combustibles, así como un incremento neto de más de 900 mil barriles en almacenamiento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70D">
        <w:rPr>
          <w:rFonts w:ascii="Times New Roman" w:hAnsi="Times New Roman" w:cs="Times New Roman"/>
          <w:sz w:val="28"/>
          <w:szCs w:val="28"/>
        </w:rPr>
        <w:t xml:space="preserve"> que permitirá un más eficiente uso del poliducto y reducción de costos de distribución e importación.</w:t>
      </w:r>
    </w:p>
    <w:p w:rsidR="00A55C7B" w:rsidRDefault="00A55C7B" w:rsidP="00A55C7B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La emisión cuenta con la calificación de riesgo realizada por la empresa FITCH ratings, quien le otorgó una calificación de riesgo </w:t>
      </w:r>
      <w:proofErr w:type="gramStart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AAA(</w:t>
      </w:r>
      <w:proofErr w:type="spellStart"/>
      <w:proofErr w:type="gramEnd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cri</w:t>
      </w:r>
      <w:proofErr w:type="spellEnd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), con base en la información financiera al 31 de diciembre de 2011. Dicha calificación de riesgo será actualizada cada seis meses. La calificación nacional </w:t>
      </w:r>
      <w:proofErr w:type="gramStart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‘AAA(</w:t>
      </w:r>
      <w:proofErr w:type="spellStart"/>
      <w:proofErr w:type="gramEnd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cri</w:t>
      </w:r>
      <w:proofErr w:type="spellEnd"/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)’ indica la calificación más alta asignada por la agencia en su escala de calificación nacional para Costa Rica.</w:t>
      </w:r>
    </w:p>
    <w:p w:rsidR="00A55C7B" w:rsidRPr="00A55C7B" w:rsidRDefault="00A55C7B" w:rsidP="00A55C7B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55C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En una primera instancia, se estarían colocando US$50 millones hacia finales de 2012 y la diferencia en 2013 y 2014. Las condiciones financieras de cada emisión serán definidas en el momento de su colocación, de acuerdo con las condiciones de mercado.</w:t>
      </w:r>
    </w:p>
    <w:p w:rsidR="00DD4575" w:rsidRDefault="0093079B" w:rsidP="0093079B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Con esta modalidad de financiamiento,</w:t>
      </w:r>
      <w:r w:rsidRPr="0093079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RECOPE abre nuevas opciones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de fondeo, lo que le permite aprovechar las oportunidades que ofrecen </w:t>
      </w:r>
      <w:r w:rsidRPr="0093079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los mercados de capitales en términos de costo, plazo y condiciones.</w:t>
      </w:r>
    </w:p>
    <w:p w:rsidR="0093079B" w:rsidRPr="0093079B" w:rsidRDefault="0093079B" w:rsidP="0093079B">
      <w:pPr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En el sitio de internet de RECOPE (</w:t>
      </w:r>
      <w:hyperlink r:id="rId7" w:history="1">
        <w:r w:rsidRPr="0043438F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www.recope.go.cr</w:t>
        </w:r>
      </w:hyperlink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) se puede consultar el Prospecto de Inversión y el Aviso de Oferta Pública.</w:t>
      </w:r>
    </w:p>
    <w:sectPr w:rsidR="0093079B" w:rsidRPr="0093079B" w:rsidSect="00E80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9B5"/>
    <w:multiLevelType w:val="hybridMultilevel"/>
    <w:tmpl w:val="43F444C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B53C0"/>
    <w:rsid w:val="000A6EDD"/>
    <w:rsid w:val="000F76F8"/>
    <w:rsid w:val="002533CC"/>
    <w:rsid w:val="002B53C0"/>
    <w:rsid w:val="00462A0C"/>
    <w:rsid w:val="004A48B9"/>
    <w:rsid w:val="00720BF4"/>
    <w:rsid w:val="007D6888"/>
    <w:rsid w:val="0093079B"/>
    <w:rsid w:val="00A55C7B"/>
    <w:rsid w:val="00DA61A6"/>
    <w:rsid w:val="00DD4575"/>
    <w:rsid w:val="00E8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B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2B53C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3079B"/>
  </w:style>
  <w:style w:type="character" w:styleId="Hipervnculo">
    <w:name w:val="Hyperlink"/>
    <w:basedOn w:val="Fuentedeprrafopredeter"/>
    <w:uiPriority w:val="99"/>
    <w:unhideWhenUsed/>
    <w:rsid w:val="009307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pe.go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p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shionny-pm</dc:creator>
  <cp:lastModifiedBy>basilio-qc</cp:lastModifiedBy>
  <cp:revision>2</cp:revision>
  <dcterms:created xsi:type="dcterms:W3CDTF">2012-09-07T14:15:00Z</dcterms:created>
  <dcterms:modified xsi:type="dcterms:W3CDTF">2012-09-07T14:15:00Z</dcterms:modified>
</cp:coreProperties>
</file>