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CB" w:rsidRPr="00086901" w:rsidRDefault="008628CB" w:rsidP="008628CB">
      <w:r>
        <w:rPr>
          <w:noProof/>
          <w:sz w:val="16"/>
          <w:szCs w:val="16"/>
          <w:lang w:val="es-CR" w:eastAsia="es-C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-899795</wp:posOffset>
            </wp:positionV>
            <wp:extent cx="7787640" cy="10591800"/>
            <wp:effectExtent l="19050" t="0" r="3810" b="0"/>
            <wp:wrapNone/>
            <wp:docPr id="3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1507">
        <w:rPr>
          <w:sz w:val="16"/>
          <w:szCs w:val="16"/>
        </w:rPr>
        <w:t>Boletín No</w:t>
      </w:r>
      <w:r>
        <w:rPr>
          <w:sz w:val="16"/>
          <w:szCs w:val="16"/>
        </w:rPr>
        <w:t xml:space="preserve"> </w:t>
      </w:r>
      <w:r w:rsidR="00C90629">
        <w:rPr>
          <w:sz w:val="16"/>
          <w:szCs w:val="16"/>
        </w:rPr>
        <w:t xml:space="preserve">58 </w:t>
      </w:r>
      <w:r w:rsidRPr="005E1507">
        <w:rPr>
          <w:sz w:val="16"/>
          <w:szCs w:val="16"/>
        </w:rPr>
        <w:t xml:space="preserve">  del   </w:t>
      </w:r>
      <w:r w:rsidR="00C90629">
        <w:rPr>
          <w:sz w:val="16"/>
          <w:szCs w:val="16"/>
        </w:rPr>
        <w:t xml:space="preserve">4 </w:t>
      </w:r>
      <w:r w:rsidRPr="005E1507">
        <w:rPr>
          <w:sz w:val="16"/>
          <w:szCs w:val="16"/>
        </w:rPr>
        <w:t xml:space="preserve">de </w:t>
      </w:r>
      <w:r w:rsidR="00C90629">
        <w:rPr>
          <w:sz w:val="16"/>
          <w:szCs w:val="16"/>
        </w:rPr>
        <w:t xml:space="preserve">octubre </w:t>
      </w:r>
      <w:r w:rsidRPr="005E1507">
        <w:rPr>
          <w:sz w:val="16"/>
          <w:szCs w:val="16"/>
        </w:rPr>
        <w:t xml:space="preserve"> del 2012</w:t>
      </w:r>
    </w:p>
    <w:p w:rsidR="008628CB" w:rsidRDefault="00600C89" w:rsidP="008628CB">
      <w:pPr>
        <w:tabs>
          <w:tab w:val="num" w:pos="900"/>
        </w:tabs>
        <w:ind w:right="-1234"/>
        <w:rPr>
          <w:b/>
          <w:bCs/>
          <w:sz w:val="16"/>
          <w:szCs w:val="16"/>
        </w:rPr>
      </w:pPr>
      <w:hyperlink r:id="rId6" w:history="1">
        <w:r w:rsidR="008628CB" w:rsidRPr="005E1507">
          <w:rPr>
            <w:rStyle w:val="Hipervnculo"/>
            <w:b/>
            <w:bCs/>
            <w:sz w:val="16"/>
            <w:szCs w:val="16"/>
          </w:rPr>
          <w:t>www.recope.com</w:t>
        </w:r>
      </w:hyperlink>
    </w:p>
    <w:p w:rsidR="008628CB" w:rsidRDefault="008628CB" w:rsidP="008628CB">
      <w:pPr>
        <w:tabs>
          <w:tab w:val="num" w:pos="900"/>
        </w:tabs>
        <w:ind w:right="-1234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Derpartamento</w:t>
      </w:r>
      <w:proofErr w:type="spellEnd"/>
      <w:r>
        <w:rPr>
          <w:b/>
          <w:bCs/>
          <w:sz w:val="16"/>
          <w:szCs w:val="16"/>
        </w:rPr>
        <w:t xml:space="preserve"> de Comunicación</w:t>
      </w:r>
    </w:p>
    <w:p w:rsidR="008628CB" w:rsidRDefault="008628CB" w:rsidP="00710070">
      <w:pPr>
        <w:ind w:left="708"/>
        <w:jc w:val="both"/>
        <w:rPr>
          <w:b/>
          <w:bCs/>
          <w:sz w:val="40"/>
          <w:szCs w:val="40"/>
          <w:lang w:val="es-ES_tradnl"/>
        </w:rPr>
      </w:pPr>
      <w:r>
        <w:rPr>
          <w:b/>
          <w:bCs/>
          <w:noProof/>
          <w:sz w:val="40"/>
          <w:szCs w:val="40"/>
          <w:lang w:val="es-CR"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-937895</wp:posOffset>
            </wp:positionV>
            <wp:extent cx="7787640" cy="10591800"/>
            <wp:effectExtent l="19050" t="0" r="3810" b="0"/>
            <wp:wrapNone/>
            <wp:docPr id="5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  <w:lang w:val="es-ES_tradnl"/>
        </w:rPr>
        <w:t xml:space="preserve">Invertirán </w:t>
      </w:r>
      <w:r w:rsidRPr="008628CB">
        <w:rPr>
          <w:b/>
          <w:bCs/>
          <w:sz w:val="40"/>
          <w:szCs w:val="40"/>
          <w:lang w:val="es-ES_tradnl"/>
        </w:rPr>
        <w:t>₡</w:t>
      </w:r>
      <w:r w:rsidR="000024F7">
        <w:rPr>
          <w:b/>
          <w:bCs/>
          <w:sz w:val="40"/>
          <w:szCs w:val="40"/>
          <w:lang w:val="es-ES_tradnl"/>
        </w:rPr>
        <w:t xml:space="preserve"> </w:t>
      </w:r>
      <w:r w:rsidR="000024F7" w:rsidRPr="000024F7">
        <w:rPr>
          <w:b/>
          <w:bCs/>
          <w:sz w:val="40"/>
          <w:szCs w:val="40"/>
          <w:lang w:val="es-ES_tradnl"/>
        </w:rPr>
        <w:t>27.981</w:t>
      </w:r>
      <w:r w:rsidR="000024F7" w:rsidRPr="000F23FF">
        <w:rPr>
          <w:bCs/>
          <w:sz w:val="22"/>
          <w:szCs w:val="22"/>
        </w:rPr>
        <w:t xml:space="preserve"> </w:t>
      </w:r>
      <w:r>
        <w:rPr>
          <w:rFonts w:cs="Arial"/>
          <w:bCs/>
          <w:lang w:eastAsia="es-CR"/>
        </w:rPr>
        <w:t xml:space="preserve"> </w:t>
      </w:r>
      <w:r w:rsidRPr="00622703">
        <w:rPr>
          <w:b/>
          <w:bCs/>
          <w:sz w:val="40"/>
          <w:szCs w:val="40"/>
          <w:lang w:val="es-ES_tradnl"/>
        </w:rPr>
        <w:t>millones</w:t>
      </w:r>
      <w:r w:rsidR="00A40ABC">
        <w:rPr>
          <w:b/>
          <w:bCs/>
          <w:sz w:val="40"/>
          <w:szCs w:val="40"/>
          <w:lang w:val="es-ES_tradnl"/>
        </w:rPr>
        <w:t xml:space="preserve"> </w:t>
      </w:r>
      <w:r w:rsidRPr="00622703">
        <w:rPr>
          <w:b/>
          <w:bCs/>
          <w:sz w:val="40"/>
          <w:szCs w:val="40"/>
          <w:lang w:val="es-ES_tradnl"/>
        </w:rPr>
        <w:t>para incrementar capacidad de almacenamiento de combustibles</w:t>
      </w:r>
    </w:p>
    <w:p w:rsidR="00710070" w:rsidRDefault="00710070" w:rsidP="00710070">
      <w:pPr>
        <w:ind w:left="708"/>
        <w:jc w:val="both"/>
        <w:rPr>
          <w:b/>
          <w:bCs/>
          <w:sz w:val="40"/>
          <w:szCs w:val="40"/>
          <w:lang w:val="es-ES_tradnl"/>
        </w:rPr>
      </w:pPr>
    </w:p>
    <w:p w:rsidR="00A40ABC" w:rsidRPr="00494555" w:rsidRDefault="008628CB" w:rsidP="008628CB">
      <w:pPr>
        <w:pStyle w:val="Sangradetextonormal"/>
        <w:ind w:left="0"/>
        <w:jc w:val="both"/>
        <w:rPr>
          <w:sz w:val="22"/>
          <w:szCs w:val="22"/>
        </w:rPr>
      </w:pPr>
      <w:r w:rsidRPr="00494555">
        <w:rPr>
          <w:sz w:val="22"/>
          <w:szCs w:val="22"/>
        </w:rPr>
        <w:t xml:space="preserve">Incrementar la capacidad de almacenamiento de combustibles es una de las metas en materia de desarrollo de infraestructura petrolera que se ha propuesto la Refinadora Costarricense de Petróleo (RECOPE) </w:t>
      </w:r>
      <w:r w:rsidR="00A40ABC" w:rsidRPr="00494555">
        <w:rPr>
          <w:sz w:val="22"/>
          <w:szCs w:val="22"/>
        </w:rPr>
        <w:t>para los años</w:t>
      </w:r>
      <w:r w:rsidRPr="00494555">
        <w:rPr>
          <w:sz w:val="22"/>
          <w:szCs w:val="22"/>
        </w:rPr>
        <w:t xml:space="preserve"> </w:t>
      </w:r>
      <w:r w:rsidR="00A40ABC" w:rsidRPr="00494555">
        <w:rPr>
          <w:sz w:val="22"/>
          <w:szCs w:val="22"/>
        </w:rPr>
        <w:t>2013/ 2014</w:t>
      </w:r>
      <w:r w:rsidRPr="00494555">
        <w:rPr>
          <w:sz w:val="22"/>
          <w:szCs w:val="22"/>
        </w:rPr>
        <w:t xml:space="preserve">, para ello ha asignado un monto de </w:t>
      </w:r>
      <w:r w:rsidR="00A40ABC" w:rsidRPr="00494555">
        <w:rPr>
          <w:sz w:val="22"/>
          <w:szCs w:val="22"/>
        </w:rPr>
        <w:t>₡</w:t>
      </w:r>
      <w:r w:rsidR="00781B33" w:rsidRPr="00494555">
        <w:rPr>
          <w:sz w:val="22"/>
          <w:szCs w:val="22"/>
        </w:rPr>
        <w:t>27.981</w:t>
      </w:r>
      <w:r w:rsidR="00A40ABC" w:rsidRPr="00494555">
        <w:rPr>
          <w:sz w:val="22"/>
          <w:szCs w:val="22"/>
        </w:rPr>
        <w:t xml:space="preserve"> millones</w:t>
      </w:r>
      <w:r w:rsidRPr="00494555">
        <w:rPr>
          <w:sz w:val="22"/>
          <w:szCs w:val="22"/>
        </w:rPr>
        <w:t xml:space="preserve"> </w:t>
      </w:r>
      <w:r w:rsidR="00A40ABC" w:rsidRPr="00494555">
        <w:rPr>
          <w:sz w:val="22"/>
          <w:szCs w:val="22"/>
        </w:rPr>
        <w:t>dentro del presupuesto para el año entrante.</w:t>
      </w:r>
    </w:p>
    <w:p w:rsidR="000024F7" w:rsidRPr="00494555" w:rsidRDefault="000024F7" w:rsidP="008628CB">
      <w:pPr>
        <w:pStyle w:val="Sangradetextonormal"/>
        <w:ind w:left="0"/>
        <w:jc w:val="both"/>
        <w:rPr>
          <w:sz w:val="22"/>
          <w:szCs w:val="22"/>
        </w:rPr>
      </w:pPr>
    </w:p>
    <w:p w:rsidR="00E466CE" w:rsidRPr="00494555" w:rsidRDefault="002F7999" w:rsidP="008628CB">
      <w:pPr>
        <w:pStyle w:val="Sangradetextonormal"/>
        <w:ind w:left="0"/>
        <w:jc w:val="both"/>
        <w:rPr>
          <w:sz w:val="22"/>
          <w:szCs w:val="22"/>
        </w:rPr>
      </w:pPr>
      <w:r w:rsidRPr="00494555">
        <w:rPr>
          <w:sz w:val="22"/>
          <w:szCs w:val="22"/>
        </w:rPr>
        <w:t>Entre las</w:t>
      </w:r>
      <w:r w:rsidR="008628CB" w:rsidRPr="00494555">
        <w:rPr>
          <w:sz w:val="22"/>
          <w:szCs w:val="22"/>
        </w:rPr>
        <w:t xml:space="preserve"> nuevas obras de </w:t>
      </w:r>
      <w:proofErr w:type="spellStart"/>
      <w:r w:rsidR="008628CB" w:rsidRPr="00494555">
        <w:rPr>
          <w:sz w:val="22"/>
          <w:szCs w:val="22"/>
        </w:rPr>
        <w:t>tancaje</w:t>
      </w:r>
      <w:proofErr w:type="spellEnd"/>
      <w:r w:rsidR="00E466CE" w:rsidRPr="00494555">
        <w:rPr>
          <w:sz w:val="22"/>
          <w:szCs w:val="22"/>
        </w:rPr>
        <w:t xml:space="preserve"> </w:t>
      </w:r>
      <w:proofErr w:type="gramStart"/>
      <w:r w:rsidRPr="00494555">
        <w:rPr>
          <w:sz w:val="22"/>
          <w:szCs w:val="22"/>
        </w:rPr>
        <w:t>figuran</w:t>
      </w:r>
      <w:r w:rsidR="00E466CE" w:rsidRPr="00494555">
        <w:rPr>
          <w:sz w:val="22"/>
          <w:szCs w:val="22"/>
        </w:rPr>
        <w:t xml:space="preserve"> :</w:t>
      </w:r>
      <w:proofErr w:type="gramEnd"/>
    </w:p>
    <w:p w:rsidR="00E466CE" w:rsidRPr="00494555" w:rsidRDefault="00E466CE" w:rsidP="002F7999">
      <w:pPr>
        <w:pStyle w:val="Defaul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</w:pPr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La Construcción e Interconexión de tres tanques para Gasolina Súper, Búnker y D</w:t>
      </w:r>
      <w:r w:rsidR="002F7999"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iesel en la Refinería (</w:t>
      </w:r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representa el   34% del presupuesto</w:t>
      </w:r>
      <w:r w:rsidR="002F7999"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)</w:t>
      </w:r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. Se trata de una obra en proceso de adjudicación, se pretende pagar en el 2013 el anticipo del contrato y avanzar en la construcción de los tanques. </w:t>
      </w:r>
    </w:p>
    <w:p w:rsidR="00E466CE" w:rsidRPr="00494555" w:rsidRDefault="00E466CE" w:rsidP="002F7999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</w:pPr>
    </w:p>
    <w:p w:rsidR="00E466CE" w:rsidRPr="00494555" w:rsidRDefault="00E466CE" w:rsidP="002F7999">
      <w:pPr>
        <w:pStyle w:val="Defaul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</w:pPr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La obra Ampliación y Modernización del sistema de GLP (Gas licuado de Petróleo)</w:t>
      </w:r>
      <w:r w:rsidR="002F7999"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 </w:t>
      </w:r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 tiene asignado un 30.51% del presupuesto solicitado. Esta </w:t>
      </w:r>
      <w:r w:rsidR="002F7999"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obra </w:t>
      </w:r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 inició la construcción en el 2011, </w:t>
      </w:r>
      <w:r w:rsidR="002F7999"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comprende</w:t>
      </w:r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: la construcción de 4 esferas,  la construcción de una esfera y la construcción de  6 recipientes cilíndricos horizontales. El presupuesto solicitado responde al pago por avance de las obras, de acuerdo con el cronograma de trabajo del contratista.</w:t>
      </w:r>
    </w:p>
    <w:p w:rsidR="00E466CE" w:rsidRPr="00494555" w:rsidRDefault="00E466CE" w:rsidP="002F799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</w:pPr>
    </w:p>
    <w:p w:rsidR="00E466CE" w:rsidRPr="00494555" w:rsidRDefault="00E466CE" w:rsidP="002F7999">
      <w:pPr>
        <w:pStyle w:val="Defaul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</w:pPr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A la obra  “Ampliación de la capacidad de almacenamiento en plantele</w:t>
      </w:r>
      <w:r w:rsidR="0089035B"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s de distribución en 320 mil barrile</w:t>
      </w:r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s”, se le asignó un  18% del presupuesto. Se contrató bajo la modalidad de ingeniería, procura y construcción (IPC). Ya se adjudicó la licitación para 2 tanques en el Plantel Barranca, cuyo contrato se  encuentra en refrendo por parte de la Contraloría General de la República.</w:t>
      </w:r>
      <w:r w:rsidR="0089035B"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 </w:t>
      </w:r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 Los restantes 6 tanques se programa  queden adjudicados en el presente año.</w:t>
      </w:r>
    </w:p>
    <w:p w:rsidR="00E466CE" w:rsidRPr="00494555" w:rsidRDefault="00E466CE" w:rsidP="002F7999">
      <w:pPr>
        <w:pStyle w:val="Default"/>
        <w:keepNext/>
        <w:ind w:left="720" w:right="1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</w:pPr>
    </w:p>
    <w:p w:rsidR="00E466CE" w:rsidRPr="000725BC" w:rsidRDefault="00E466CE" w:rsidP="000725BC">
      <w:pPr>
        <w:pStyle w:val="Default"/>
        <w:keepNext/>
        <w:numPr>
          <w:ilvl w:val="0"/>
          <w:numId w:val="3"/>
        </w:numPr>
        <w:ind w:right="1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</w:pPr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La “Construcción de dos tanques para almacenar bunker y dos tanques para almacenar asfalto en </w:t>
      </w:r>
      <w:proofErr w:type="spellStart"/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Moín</w:t>
      </w:r>
      <w:proofErr w:type="spellEnd"/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”, para el 2013  consume un  14 % del presupuesto. </w:t>
      </w:r>
      <w:r w:rsidR="000725BC" w:rsidRPr="000725BC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El contrato se hará bajo la</w:t>
      </w:r>
      <w:r w:rsidR="000725BC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 modalidad de un IPC y s</w:t>
      </w:r>
      <w:r w:rsidR="000725BC"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e </w:t>
      </w:r>
      <w:r w:rsidR="000725BC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espera</w:t>
      </w:r>
      <w:r w:rsidR="000725BC"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 adjudicar la licitación </w:t>
      </w:r>
      <w:r w:rsidR="000725BC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antes de que finalice el</w:t>
      </w:r>
      <w:r w:rsidR="000725BC"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 año</w:t>
      </w:r>
      <w:r w:rsidR="000725BC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.</w:t>
      </w:r>
    </w:p>
    <w:p w:rsidR="00E466CE" w:rsidRPr="00494555" w:rsidRDefault="00E466CE" w:rsidP="002F799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</w:pPr>
    </w:p>
    <w:p w:rsidR="00E466CE" w:rsidRPr="00494555" w:rsidRDefault="00E466CE" w:rsidP="002F7999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18"/>
        <w:jc w:val="both"/>
        <w:rPr>
          <w:sz w:val="22"/>
          <w:szCs w:val="22"/>
        </w:rPr>
      </w:pPr>
      <w:r w:rsidRPr="00494555">
        <w:rPr>
          <w:sz w:val="22"/>
          <w:szCs w:val="22"/>
        </w:rPr>
        <w:t xml:space="preserve">A la obra para la construcción de 12 tanques en el Plantel La Garita,  que iniciará el proceso licitatorio en el año 2013, se asignó  un presupuesto de ¢27.79 millones colones.  </w:t>
      </w:r>
    </w:p>
    <w:p w:rsidR="00E466CE" w:rsidRPr="00494555" w:rsidRDefault="00E466CE" w:rsidP="002F799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</w:pPr>
    </w:p>
    <w:p w:rsidR="00E466CE" w:rsidRPr="00494555" w:rsidRDefault="00E466CE" w:rsidP="002F7999">
      <w:pPr>
        <w:pStyle w:val="Defaul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</w:pPr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Readecuación de los tanques de jet y construcción de tanques de gasolina súper en el plantel La Garita </w:t>
      </w:r>
      <w:proofErr w:type="gramStart"/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( representa</w:t>
      </w:r>
      <w:proofErr w:type="gramEnd"/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 xml:space="preserve"> el 2% del presupuesto) ; se trata de una obra en ejecución, que cuenta con un avance importante, y que se programa finalizar en los primeros meses del año 2013. </w:t>
      </w:r>
    </w:p>
    <w:p w:rsidR="00E466CE" w:rsidRPr="00494555" w:rsidRDefault="00E466CE" w:rsidP="002F799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</w:pPr>
    </w:p>
    <w:p w:rsidR="000024F7" w:rsidRPr="00494555" w:rsidRDefault="00E466CE" w:rsidP="00710070">
      <w:pPr>
        <w:pStyle w:val="Defaul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</w:pPr>
      <w:r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El  1% restante del presupuesto se asignó a la reparación mayor de tanques en la  Refinería, que  cuenta con un contrato que se está ejecutando, el cual se amplió para finalizar la obra en el 2013</w:t>
      </w:r>
      <w:r w:rsidR="00710070" w:rsidRPr="00494555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.</w:t>
      </w:r>
    </w:p>
    <w:p w:rsidR="000024F7" w:rsidRPr="00494555" w:rsidRDefault="000024F7" w:rsidP="002F7999">
      <w:pPr>
        <w:pStyle w:val="Sangradetextonormal"/>
        <w:spacing w:after="0"/>
        <w:ind w:left="0"/>
        <w:jc w:val="both"/>
        <w:rPr>
          <w:sz w:val="22"/>
          <w:szCs w:val="22"/>
        </w:rPr>
      </w:pPr>
    </w:p>
    <w:p w:rsidR="008628CB" w:rsidRPr="00494555" w:rsidRDefault="0040004F" w:rsidP="002F7999">
      <w:pPr>
        <w:pStyle w:val="Sangradetextonormal"/>
        <w:spacing w:after="0"/>
        <w:ind w:left="360"/>
        <w:jc w:val="both"/>
        <w:rPr>
          <w:sz w:val="22"/>
          <w:szCs w:val="22"/>
        </w:rPr>
      </w:pPr>
      <w:r w:rsidRPr="00494555">
        <w:rPr>
          <w:sz w:val="22"/>
          <w:szCs w:val="22"/>
        </w:rPr>
        <w:t xml:space="preserve"> </w:t>
      </w:r>
      <w:r w:rsidR="008628CB" w:rsidRPr="00494555">
        <w:rPr>
          <w:sz w:val="22"/>
          <w:szCs w:val="22"/>
        </w:rPr>
        <w:t>.</w:t>
      </w:r>
    </w:p>
    <w:p w:rsidR="005B5FC8" w:rsidRPr="00E466CE" w:rsidRDefault="0061309A" w:rsidP="00494555">
      <w:pPr>
        <w:ind w:left="60"/>
        <w:jc w:val="both"/>
        <w:rPr>
          <w:sz w:val="22"/>
          <w:szCs w:val="22"/>
        </w:rPr>
      </w:pPr>
    </w:p>
    <w:sectPr w:rsidR="005B5FC8" w:rsidRPr="00E466CE" w:rsidSect="005D42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1BB7"/>
    <w:multiLevelType w:val="hybridMultilevel"/>
    <w:tmpl w:val="E7A40AF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2615"/>
    <w:multiLevelType w:val="hybridMultilevel"/>
    <w:tmpl w:val="6CEE3E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95D4E"/>
    <w:multiLevelType w:val="hybridMultilevel"/>
    <w:tmpl w:val="4BE4F840"/>
    <w:lvl w:ilvl="0" w:tplc="45181D74">
      <w:start w:val="5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91C"/>
    <w:rsid w:val="000024F7"/>
    <w:rsid w:val="000725BC"/>
    <w:rsid w:val="002F7999"/>
    <w:rsid w:val="0040004F"/>
    <w:rsid w:val="00475E06"/>
    <w:rsid w:val="00494555"/>
    <w:rsid w:val="005D4227"/>
    <w:rsid w:val="005F3F3B"/>
    <w:rsid w:val="00600C89"/>
    <w:rsid w:val="0061309A"/>
    <w:rsid w:val="00710070"/>
    <w:rsid w:val="00781B33"/>
    <w:rsid w:val="008628CB"/>
    <w:rsid w:val="0089035B"/>
    <w:rsid w:val="00917D12"/>
    <w:rsid w:val="00A40ABC"/>
    <w:rsid w:val="00BF691C"/>
    <w:rsid w:val="00C90629"/>
    <w:rsid w:val="00E466CE"/>
    <w:rsid w:val="00E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628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628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628CB"/>
    <w:rPr>
      <w:color w:val="0000FF" w:themeColor="hyperlink"/>
      <w:u w:val="single"/>
    </w:rPr>
  </w:style>
  <w:style w:type="paragraph" w:customStyle="1" w:styleId="Default">
    <w:name w:val="Default"/>
    <w:rsid w:val="00E466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F7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op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basilio-qc</dc:creator>
  <cp:lastModifiedBy>basilio-qc</cp:lastModifiedBy>
  <cp:revision>2</cp:revision>
  <dcterms:created xsi:type="dcterms:W3CDTF">2012-10-04T20:24:00Z</dcterms:created>
  <dcterms:modified xsi:type="dcterms:W3CDTF">2012-10-04T20:24:00Z</dcterms:modified>
</cp:coreProperties>
</file>