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1527"/>
        <w:tblW w:w="0" w:type="auto"/>
        <w:tblLayout w:type="fixed"/>
        <w:tblLook w:val="01E0"/>
      </w:tblPr>
      <w:tblGrid>
        <w:gridCol w:w="4116"/>
        <w:gridCol w:w="852"/>
        <w:gridCol w:w="1133"/>
        <w:gridCol w:w="991"/>
        <w:gridCol w:w="1418"/>
        <w:gridCol w:w="1289"/>
      </w:tblGrid>
      <w:tr w:rsidR="00245D8C" w:rsidTr="00245D8C">
        <w:trPr>
          <w:trHeight w:hRule="exact" w:val="491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DAEEF3" w:themeFill="accent5" w:themeFillTint="33"/>
          </w:tcPr>
          <w:p w:rsidR="00207B4D" w:rsidRDefault="00207B4D" w:rsidP="00245D8C">
            <w:pPr>
              <w:pStyle w:val="TableParagraph"/>
              <w:spacing w:before="120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/>
                <w:b/>
                <w:color w:val="221F1F"/>
                <w:spacing w:val="-1"/>
                <w:sz w:val="20"/>
              </w:rPr>
              <w:t>Propiedad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  <w:shd w:val="clear" w:color="auto" w:fill="DAEEF3" w:themeFill="accent5" w:themeFillTint="33"/>
          </w:tcPr>
          <w:p w:rsidR="00207B4D" w:rsidRDefault="00207B4D" w:rsidP="00245D8C">
            <w:pPr>
              <w:pStyle w:val="TableParagraph"/>
              <w:spacing w:before="120"/>
              <w:ind w:left="7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20"/>
              </w:rPr>
              <w:t>Mínimo</w:t>
            </w:r>
            <w:proofErr w:type="spellEnd"/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4" w:space="0" w:color="auto"/>
            </w:tcBorders>
            <w:shd w:val="clear" w:color="auto" w:fill="DAEEF3" w:themeFill="accent5" w:themeFillTint="33"/>
          </w:tcPr>
          <w:p w:rsidR="00207B4D" w:rsidRDefault="00207B4D" w:rsidP="00245D8C">
            <w:pPr>
              <w:pStyle w:val="TableParagraph"/>
              <w:spacing w:before="120"/>
              <w:ind w:left="99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/>
                <w:b/>
                <w:color w:val="221F1F"/>
                <w:spacing w:val="-1"/>
                <w:sz w:val="20"/>
              </w:rPr>
              <w:t>Promedio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7B4D" w:rsidRDefault="00207B4D" w:rsidP="00245D8C">
            <w:pPr>
              <w:pStyle w:val="TableParagraph"/>
              <w:spacing w:before="120"/>
              <w:ind w:left="118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20"/>
              </w:rPr>
              <w:t>Máximo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7B4D" w:rsidRDefault="00207B4D" w:rsidP="00245D8C">
            <w:pPr>
              <w:pStyle w:val="TableParagraph"/>
              <w:spacing w:before="9"/>
              <w:ind w:left="39" w:right="37" w:firstLine="235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18"/>
              </w:rPr>
              <w:t>Límite</w:t>
            </w:r>
            <w:proofErr w:type="spellEnd"/>
            <w:r>
              <w:rPr>
                <w:rFonts w:ascii="Helvetica" w:hAnsi="Helvetica"/>
                <w:b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Helvetica" w:hAnsi="Helvetica"/>
                <w:b/>
                <w:color w:val="221F1F"/>
                <w:spacing w:val="-1"/>
                <w:sz w:val="18"/>
              </w:rPr>
              <w:t>de</w:t>
            </w:r>
            <w:r>
              <w:rPr>
                <w:rFonts w:ascii="Helvetica" w:hAnsi="Helvetica"/>
                <w:b/>
                <w:color w:val="221F1F"/>
                <w:spacing w:val="21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221F1F"/>
                <w:spacing w:val="-1"/>
                <w:sz w:val="18"/>
              </w:rPr>
              <w:t>Especificación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07B4D" w:rsidRDefault="00207B4D" w:rsidP="00245D8C">
            <w:pPr>
              <w:pStyle w:val="TableParagraph"/>
              <w:spacing w:before="129"/>
              <w:ind w:left="285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b/>
                <w:color w:val="221F1F"/>
                <w:sz w:val="18"/>
              </w:rPr>
              <w:t>Método</w:t>
            </w:r>
            <w:proofErr w:type="spellEnd"/>
          </w:p>
        </w:tc>
      </w:tr>
      <w:tr w:rsidR="00207B4D" w:rsidTr="00245D8C">
        <w:trPr>
          <w:trHeight w:hRule="exact" w:val="353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before="55"/>
              <w:ind w:left="66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Densidad</w:t>
            </w:r>
            <w:r w:rsidRPr="00BC2E04">
              <w:rPr>
                <w:rFonts w:ascii="Helvetica" w:eastAsia="Helvetica" w:hAnsi="Helvetica" w:cs="Helvetica"/>
                <w:color w:val="221F1F"/>
                <w:spacing w:val="-3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a</w:t>
            </w:r>
            <w:r w:rsidRPr="00BC2E04">
              <w:rPr>
                <w:rFonts w:ascii="Helvetica" w:eastAsia="Helvetica" w:hAnsi="Helvetica" w:cs="Helvetica"/>
                <w:color w:val="221F1F"/>
                <w:spacing w:val="4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  <w:lang w:val="es-ES"/>
              </w:rPr>
              <w:t>15</w:t>
            </w:r>
            <w:r w:rsidRPr="00BC2E04">
              <w:rPr>
                <w:rFonts w:ascii="Helvetica" w:eastAsia="Helvetica" w:hAnsi="Helvetica" w:cs="Helvetica"/>
                <w:color w:val="221F1F"/>
                <w:spacing w:val="-4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°C,</w:t>
            </w:r>
            <w:r w:rsidRPr="00BC2E04">
              <w:rPr>
                <w:rFonts w:ascii="Helvetica" w:eastAsia="Helvetica" w:hAnsi="Helvetica" w:cs="Helvetica"/>
                <w:color w:val="221F1F"/>
                <w:spacing w:val="50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kg/m³</w:t>
            </w:r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55"/>
              <w:ind w:left="16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521,0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55"/>
              <w:ind w:left="30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536,3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55"/>
              <w:ind w:left="241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558,0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50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66"/>
              <w:ind w:left="6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D-1657</w:t>
            </w:r>
          </w:p>
        </w:tc>
      </w:tr>
      <w:tr w:rsidR="00207B4D" w:rsidTr="00245D8C">
        <w:trPr>
          <w:trHeight w:hRule="exact" w:val="49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before="122"/>
              <w:ind w:left="66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/>
                <w:color w:val="221F1F"/>
                <w:spacing w:val="-1"/>
                <w:sz w:val="20"/>
                <w:lang w:val="es-ES"/>
              </w:rPr>
              <w:t>Mercaptanos</w:t>
            </w:r>
            <w:r w:rsidRPr="00BC2E04">
              <w:rPr>
                <w:rFonts w:ascii="Helvetica"/>
                <w:color w:val="221F1F"/>
                <w:spacing w:val="-9"/>
                <w:sz w:val="20"/>
                <w:lang w:val="es-ES"/>
              </w:rPr>
              <w:t xml:space="preserve"> </w:t>
            </w:r>
            <w:r w:rsidRPr="00BC2E04">
              <w:rPr>
                <w:rFonts w:ascii="Helvetica"/>
                <w:color w:val="221F1F"/>
                <w:spacing w:val="1"/>
                <w:sz w:val="20"/>
                <w:lang w:val="es-ES"/>
              </w:rPr>
              <w:t>(como</w:t>
            </w:r>
            <w:r w:rsidRPr="00BC2E04">
              <w:rPr>
                <w:rFonts w:ascii="Helvetica"/>
                <w:color w:val="221F1F"/>
                <w:spacing w:val="-10"/>
                <w:sz w:val="20"/>
                <w:lang w:val="es-ES"/>
              </w:rPr>
              <w:t xml:space="preserve"> </w:t>
            </w:r>
            <w:proofErr w:type="spellStart"/>
            <w:r w:rsidRPr="00BC2E04">
              <w:rPr>
                <w:rFonts w:ascii="Helvetica"/>
                <w:color w:val="221F1F"/>
                <w:spacing w:val="-1"/>
                <w:sz w:val="20"/>
                <w:lang w:val="es-ES"/>
              </w:rPr>
              <w:t>etil</w:t>
            </w:r>
            <w:proofErr w:type="spellEnd"/>
            <w:r w:rsidRPr="00BC2E04">
              <w:rPr>
                <w:rFonts w:ascii="Helvetica"/>
                <w:color w:val="221F1F"/>
                <w:spacing w:val="-1"/>
                <w:sz w:val="20"/>
                <w:lang w:val="es-ES"/>
              </w:rPr>
              <w:t>-Mercaptano</w:t>
            </w:r>
            <w:r w:rsidRPr="00BC2E04">
              <w:rPr>
                <w:rFonts w:ascii="Helvetica"/>
                <w:color w:val="221F1F"/>
                <w:spacing w:val="-10"/>
                <w:sz w:val="20"/>
                <w:lang w:val="es-ES"/>
              </w:rPr>
              <w:t xml:space="preserve"> </w:t>
            </w:r>
            <w:r w:rsidRPr="00BC2E04">
              <w:rPr>
                <w:rFonts w:ascii="Helvetica"/>
                <w:color w:val="221F1F"/>
                <w:sz w:val="20"/>
                <w:lang w:val="es-ES"/>
              </w:rPr>
              <w:t>),</w:t>
            </w:r>
            <w:r w:rsidRPr="00BC2E04">
              <w:rPr>
                <w:rFonts w:asci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/>
                <w:color w:val="221F1F"/>
                <w:sz w:val="20"/>
                <w:lang w:val="es-ES"/>
              </w:rPr>
              <w:t>mg/L</w:t>
            </w:r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2"/>
              <w:ind w:left="22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14,0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2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17,0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2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24,0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36"/>
              <w:ind w:left="404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12</w:t>
            </w:r>
            <w:r>
              <w:rPr>
                <w:rFonts w:ascii="Helvetica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Helvetica"/>
                <w:color w:val="221F1F"/>
                <w:sz w:val="18"/>
              </w:rPr>
              <w:t>a</w:t>
            </w:r>
            <w:r>
              <w:rPr>
                <w:rFonts w:ascii="Helvetica"/>
                <w:color w:val="221F1F"/>
                <w:spacing w:val="-1"/>
                <w:sz w:val="18"/>
              </w:rPr>
              <w:t xml:space="preserve"> 24</w:t>
            </w:r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36"/>
              <w:ind w:left="6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D-5305</w:t>
            </w:r>
          </w:p>
        </w:tc>
      </w:tr>
      <w:tr w:rsidR="00207B4D" w:rsidTr="00245D8C">
        <w:trPr>
          <w:trHeight w:hRule="exact" w:val="240"/>
        </w:trPr>
        <w:tc>
          <w:tcPr>
            <w:tcW w:w="8510" w:type="dxa"/>
            <w:gridSpan w:val="5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line="224" w:lineRule="exact"/>
              <w:ind w:left="66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i/>
                <w:color w:val="221F1F"/>
                <w:sz w:val="20"/>
              </w:rPr>
              <w:t>Composición</w:t>
            </w:r>
            <w:proofErr w:type="spellEnd"/>
            <w:r>
              <w:rPr>
                <w:rFonts w:ascii="Helvetica" w:hAnsi="Helvetica"/>
                <w:i/>
                <w:color w:val="221F1F"/>
                <w:sz w:val="20"/>
              </w:rPr>
              <w:t>,</w:t>
            </w:r>
            <w:r>
              <w:rPr>
                <w:rFonts w:ascii="Helvetica" w:hAnsi="Helvetica"/>
                <w:i/>
                <w:color w:val="221F1F"/>
                <w:spacing w:val="-16"/>
                <w:sz w:val="20"/>
              </w:rPr>
              <w:t xml:space="preserve"> </w:t>
            </w:r>
            <w:r>
              <w:rPr>
                <w:rFonts w:ascii="Helvetica" w:hAnsi="Helvetica"/>
                <w:i/>
                <w:color w:val="221F1F"/>
                <w:sz w:val="20"/>
              </w:rPr>
              <w:t>%:</w:t>
            </w:r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/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Metano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0,03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4,3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2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Etano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1,46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8,99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Etileno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43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7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Propano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2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61,4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74,5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80,1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Propileno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0,03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0,25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Acetileno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0,05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47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line="239" w:lineRule="auto"/>
              <w:ind w:left="567" w:right="694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Fracción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volumen</w:t>
            </w:r>
            <w:r w:rsidRPr="00BC2E04">
              <w:rPr>
                <w:rFonts w:ascii="Helvetica" w:hAnsi="Helvetica"/>
                <w:color w:val="221F1F"/>
                <w:spacing w:val="-7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Propano</w:t>
            </w:r>
            <w:r w:rsidRPr="00BC2E04">
              <w:rPr>
                <w:rFonts w:ascii="Helvetica" w:hAnsi="Helvetica"/>
                <w:color w:val="221F1F"/>
                <w:spacing w:val="-6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+</w:t>
            </w:r>
            <w:r w:rsidRPr="00BC2E04">
              <w:rPr>
                <w:rFonts w:ascii="Helvetica" w:hAnsi="Helvetica"/>
                <w:color w:val="221F1F"/>
                <w:spacing w:val="26"/>
                <w:w w:val="99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livianos</w:t>
            </w:r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3"/>
              <w:ind w:left="227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61,5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3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76,1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82,6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6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6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Butanos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2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12,2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23,7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37,7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262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40</w:t>
            </w:r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567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z w:val="20"/>
              </w:rPr>
              <w:t>Fracción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volumen</w:t>
            </w:r>
            <w:proofErr w:type="spellEnd"/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pacing w:val="-1"/>
                <w:sz w:val="20"/>
              </w:rPr>
              <w:t>de</w:t>
            </w:r>
            <w:r>
              <w:rPr>
                <w:rFonts w:ascii="Helvetica" w:hAnsi="Helvetica"/>
                <w:color w:val="221F1F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Butenos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0,4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3"/>
              <w:ind w:left="29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14,4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354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Reportar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7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47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before="4" w:line="228" w:lineRule="exact"/>
              <w:ind w:left="567" w:right="704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Fracción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volumen</w:t>
            </w:r>
            <w:r w:rsidRPr="00BC2E04">
              <w:rPr>
                <w:rFonts w:ascii="Helvetica" w:hAnsi="Helvetica"/>
                <w:color w:val="221F1F"/>
                <w:spacing w:val="-7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de</w:t>
            </w:r>
            <w:r w:rsidRPr="00BC2E04">
              <w:rPr>
                <w:rFonts w:ascii="Helvetica" w:hAnsi="Helvetica"/>
                <w:color w:val="221F1F"/>
                <w:spacing w:val="-8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Pentano</w:t>
            </w:r>
            <w:r w:rsidRPr="00BC2E04">
              <w:rPr>
                <w:rFonts w:ascii="Helvetica" w:hAnsi="Helvetica"/>
                <w:color w:val="221F1F"/>
                <w:spacing w:val="-6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z w:val="20"/>
                <w:lang w:val="es-ES"/>
              </w:rPr>
              <w:t>+</w:t>
            </w:r>
            <w:r w:rsidRPr="00BC2E04">
              <w:rPr>
                <w:rFonts w:ascii="Helvetica" w:hAnsi="Helvetica"/>
                <w:color w:val="221F1F"/>
                <w:spacing w:val="26"/>
                <w:w w:val="99"/>
                <w:sz w:val="20"/>
                <w:lang w:val="es-ES"/>
              </w:rPr>
              <w:t xml:space="preserve"> </w:t>
            </w:r>
            <w:r w:rsidRPr="00BC2E04">
              <w:rPr>
                <w:rFonts w:ascii="Helvetica" w:hAnsi="Helvetica"/>
                <w:color w:val="221F1F"/>
                <w:spacing w:val="-1"/>
                <w:sz w:val="20"/>
                <w:lang w:val="es-ES"/>
              </w:rPr>
              <w:t>pesados</w:t>
            </w:r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5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5"/>
              <w:ind w:left="36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0,07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5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0,9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6"/>
              <w:ind w:left="238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2,0</w:t>
            </w:r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6"/>
              <w:ind w:left="9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D2163</w:t>
            </w:r>
          </w:p>
        </w:tc>
      </w:tr>
      <w:tr w:rsidR="00207B4D" w:rsidTr="00245D8C">
        <w:trPr>
          <w:trHeight w:hRule="exact" w:val="49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before="122"/>
              <w:ind w:left="66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Presión</w:t>
            </w:r>
            <w:r w:rsidRPr="00BC2E04">
              <w:rPr>
                <w:rFonts w:ascii="Helvetica" w:eastAsia="Helvetica" w:hAnsi="Helvetica" w:cs="Helvetica"/>
                <w:color w:val="221F1F"/>
                <w:spacing w:val="-7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de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Vapor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manométrica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37,8</w:t>
            </w:r>
            <w:r w:rsidRPr="00BC2E04">
              <w:rPr>
                <w:rFonts w:ascii="Helvetica" w:eastAsia="Helvetica" w:hAnsi="Helvetica" w:cs="Helvetica"/>
                <w:color w:val="221F1F"/>
                <w:spacing w:val="-7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°C,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kPa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2"/>
              <w:ind w:left="16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847,0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2"/>
              <w:ind w:left="30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939,6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2"/>
              <w:ind w:left="18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1000,0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36"/>
              <w:ind w:left="162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1434</w:t>
            </w:r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36"/>
              <w:ind w:left="6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D-1267</w:t>
            </w:r>
          </w:p>
        </w:tc>
      </w:tr>
      <w:tr w:rsidR="00207B4D" w:rsidTr="00245D8C">
        <w:trPr>
          <w:trHeight w:hRule="exact" w:val="492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before="9"/>
              <w:ind w:left="66" w:right="279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Volatilidad</w:t>
            </w:r>
            <w:r w:rsidRPr="00BC2E04"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(Temperatura</w:t>
            </w:r>
            <w:r w:rsidRPr="00BC2E04"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  <w:lang w:val="es-ES"/>
              </w:rPr>
              <w:t>de</w:t>
            </w:r>
            <w:r w:rsidRPr="00BC2E04"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la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fracción</w:t>
            </w:r>
            <w:r w:rsidRPr="00BC2E04"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del</w:t>
            </w:r>
            <w:r w:rsidRPr="00BC2E04">
              <w:rPr>
                <w:rFonts w:ascii="Helvetica" w:eastAsia="Helvetica" w:hAnsi="Helvetica" w:cs="Helvetica"/>
                <w:color w:val="221F1F"/>
                <w:spacing w:val="32"/>
                <w:w w:val="9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95</w:t>
            </w:r>
            <w:r w:rsidRPr="00BC2E04">
              <w:rPr>
                <w:rFonts w:ascii="Helvetica" w:eastAsia="Helvetica" w:hAnsi="Helvetica" w:cs="Helvetica"/>
                <w:color w:val="221F1F"/>
                <w:spacing w:val="-7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%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evaporado),</w:t>
            </w:r>
            <w:r w:rsidRPr="00BC2E04">
              <w:rPr>
                <w:rFonts w:ascii="Helvetica" w:eastAsia="Helvetica" w:hAnsi="Helvetica" w:cs="Helvetica"/>
                <w:color w:val="221F1F"/>
                <w:spacing w:val="-6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  <w:lang w:val="es-ES"/>
              </w:rPr>
              <w:t>°C</w:t>
            </w:r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5"/>
              <w:ind w:left="24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-9,0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5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-0,2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5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2,2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36"/>
              <w:ind w:left="238"/>
              <w:rPr>
                <w:rFonts w:ascii="Helvetica" w:eastAsia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18"/>
              </w:rPr>
              <w:t>Máximo</w:t>
            </w:r>
            <w:proofErr w:type="spellEnd"/>
            <w:r>
              <w:rPr>
                <w:rFonts w:ascii="Helvetica" w:hAnsi="Helvetica"/>
                <w:color w:val="221F1F"/>
                <w:spacing w:val="-8"/>
                <w:sz w:val="18"/>
              </w:rPr>
              <w:t xml:space="preserve"> </w:t>
            </w:r>
            <w:r>
              <w:rPr>
                <w:rFonts w:ascii="Helvetica" w:hAnsi="Helvetica"/>
                <w:color w:val="221F1F"/>
                <w:sz w:val="18"/>
              </w:rPr>
              <w:t>2,2</w:t>
            </w:r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36"/>
              <w:ind w:left="68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z w:val="18"/>
              </w:rPr>
              <w:t>ASTM</w:t>
            </w:r>
            <w:r>
              <w:rPr>
                <w:rFonts w:ascii="Helvetica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Helvetica"/>
                <w:color w:val="221F1F"/>
                <w:spacing w:val="-1"/>
                <w:sz w:val="18"/>
              </w:rPr>
              <w:t>D-1837</w:t>
            </w:r>
          </w:p>
        </w:tc>
      </w:tr>
      <w:tr w:rsidR="00207B4D" w:rsidTr="00245D8C">
        <w:trPr>
          <w:trHeight w:hRule="exact" w:val="31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ind w:left="66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color w:val="221F1F"/>
                <w:spacing w:val="-1"/>
                <w:sz w:val="20"/>
              </w:rPr>
              <w:t>Relación</w:t>
            </w:r>
            <w:proofErr w:type="spellEnd"/>
            <w:r>
              <w:rPr>
                <w:rFonts w:ascii="Helvetica" w:hAnsi="Helvetica"/>
                <w:color w:val="221F1F"/>
                <w:spacing w:val="-20"/>
                <w:sz w:val="20"/>
              </w:rPr>
              <w:t xml:space="preserve"> </w:t>
            </w:r>
            <w:r>
              <w:rPr>
                <w:rFonts w:ascii="Helvetica" w:hAnsi="Helvetica"/>
                <w:color w:val="221F1F"/>
                <w:sz w:val="20"/>
              </w:rPr>
              <w:t>Vapor/</w:t>
            </w:r>
            <w:proofErr w:type="spellStart"/>
            <w:r>
              <w:rPr>
                <w:rFonts w:ascii="Helvetica" w:hAnsi="Helvetica"/>
                <w:color w:val="221F1F"/>
                <w:sz w:val="20"/>
              </w:rPr>
              <w:t>Liquido</w:t>
            </w:r>
            <w:proofErr w:type="spellEnd"/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ind w:left="16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243,0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ind w:left="308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253,5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31"/>
              <w:ind w:left="241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262,0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45"/>
              <w:ind w:left="32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/>
        </w:tc>
      </w:tr>
      <w:tr w:rsidR="00207B4D" w:rsidTr="00245D8C">
        <w:trPr>
          <w:trHeight w:hRule="exact" w:val="470"/>
        </w:trPr>
        <w:tc>
          <w:tcPr>
            <w:tcW w:w="4116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Pr="00BC2E04" w:rsidRDefault="00207B4D" w:rsidP="00245D8C">
            <w:pPr>
              <w:pStyle w:val="TableParagraph"/>
              <w:spacing w:line="239" w:lineRule="auto"/>
              <w:ind w:left="66" w:right="526"/>
              <w:rPr>
                <w:rFonts w:ascii="Helvetica" w:eastAsia="Helvetica" w:hAnsi="Helvetica" w:cs="Helvetica"/>
                <w:sz w:val="20"/>
                <w:szCs w:val="20"/>
                <w:lang w:val="es-ES"/>
              </w:rPr>
            </w:pP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Coeficiente</w:t>
            </w:r>
            <w:r w:rsidRPr="00BC2E04"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Expansión</w:t>
            </w:r>
            <w:r w:rsidRPr="00BC2E04"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1"/>
                <w:sz w:val="20"/>
                <w:szCs w:val="20"/>
                <w:lang w:val="es-ES"/>
              </w:rPr>
              <w:t>Térmica</w:t>
            </w:r>
            <w:r w:rsidRPr="00BC2E04">
              <w:rPr>
                <w:rFonts w:ascii="Helvetica" w:eastAsia="Helvetica" w:hAnsi="Helvetica" w:cs="Helvetica"/>
                <w:color w:val="221F1F"/>
                <w:spacing w:val="-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del</w:t>
            </w:r>
            <w:r w:rsidRPr="00BC2E04">
              <w:rPr>
                <w:rFonts w:ascii="Helvetica" w:eastAsia="Helvetica" w:hAnsi="Helvetica" w:cs="Helvetica"/>
                <w:color w:val="221F1F"/>
                <w:spacing w:val="-10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z w:val="20"/>
                <w:szCs w:val="20"/>
                <w:lang w:val="es-ES"/>
              </w:rPr>
              <w:t>Gas</w:t>
            </w:r>
            <w:r w:rsidRPr="00BC2E04">
              <w:rPr>
                <w:rFonts w:ascii="Helvetica" w:eastAsia="Helvetica" w:hAnsi="Helvetica" w:cs="Helvetica"/>
                <w:color w:val="221F1F"/>
                <w:spacing w:val="36"/>
                <w:w w:val="99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(10^6/</w:t>
            </w:r>
            <w:r w:rsidRPr="00BC2E04">
              <w:rPr>
                <w:rFonts w:ascii="Helvetica" w:eastAsia="Helvetica" w:hAnsi="Helvetica" w:cs="Helvetica"/>
                <w:color w:val="221F1F"/>
                <w:spacing w:val="-8"/>
                <w:sz w:val="20"/>
                <w:szCs w:val="20"/>
                <w:lang w:val="es-ES"/>
              </w:rPr>
              <w:t xml:space="preserve"> </w:t>
            </w:r>
            <w:r w:rsidRPr="00BC2E04">
              <w:rPr>
                <w:rFonts w:ascii="Helvetica" w:eastAsia="Helvetica" w:hAnsi="Helvetica" w:cs="Helvetica"/>
                <w:color w:val="221F1F"/>
                <w:spacing w:val="-1"/>
                <w:sz w:val="20"/>
                <w:szCs w:val="20"/>
                <w:lang w:val="es-ES"/>
              </w:rPr>
              <w:t>°C)</w:t>
            </w:r>
          </w:p>
        </w:tc>
        <w:tc>
          <w:tcPr>
            <w:tcW w:w="852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3"/>
              <w:ind w:left="169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700,0</w:t>
            </w:r>
          </w:p>
        </w:tc>
        <w:tc>
          <w:tcPr>
            <w:tcW w:w="1133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3"/>
              <w:ind w:left="253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1023,3</w:t>
            </w:r>
          </w:p>
        </w:tc>
        <w:tc>
          <w:tcPr>
            <w:tcW w:w="991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13"/>
              <w:ind w:left="186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/>
                <w:color w:val="221F1F"/>
                <w:spacing w:val="-1"/>
                <w:sz w:val="20"/>
              </w:rPr>
              <w:t>1200,0</w:t>
            </w:r>
          </w:p>
        </w:tc>
        <w:tc>
          <w:tcPr>
            <w:tcW w:w="1418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>
            <w:pPr>
              <w:pStyle w:val="TableParagraph"/>
              <w:spacing w:before="126"/>
              <w:ind w:left="327"/>
              <w:rPr>
                <w:rFonts w:ascii="Helvetica" w:eastAsia="Helvetica" w:hAnsi="Helvetica" w:cs="Helvetica"/>
                <w:sz w:val="18"/>
                <w:szCs w:val="18"/>
              </w:rPr>
            </w:pPr>
            <w:r>
              <w:rPr>
                <w:rFonts w:ascii="Helvetica"/>
                <w:color w:val="221F1F"/>
                <w:spacing w:val="-1"/>
                <w:sz w:val="18"/>
              </w:rPr>
              <w:t>No</w:t>
            </w:r>
            <w:r>
              <w:rPr>
                <w:rFonts w:ascii="Helvetica"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Helvetica"/>
                <w:color w:val="221F1F"/>
                <w:spacing w:val="-1"/>
                <w:sz w:val="18"/>
              </w:rPr>
              <w:t>aplica</w:t>
            </w:r>
            <w:proofErr w:type="spellEnd"/>
          </w:p>
        </w:tc>
        <w:tc>
          <w:tcPr>
            <w:tcW w:w="1289" w:type="dxa"/>
            <w:tcBorders>
              <w:top w:val="single" w:sz="5" w:space="0" w:color="221F1F"/>
              <w:left w:val="single" w:sz="5" w:space="0" w:color="221F1F"/>
              <w:bottom w:val="single" w:sz="5" w:space="0" w:color="221F1F"/>
              <w:right w:val="single" w:sz="5" w:space="0" w:color="221F1F"/>
            </w:tcBorders>
          </w:tcPr>
          <w:p w:rsidR="00207B4D" w:rsidRDefault="00207B4D" w:rsidP="00245D8C"/>
        </w:tc>
      </w:tr>
    </w:tbl>
    <w:p w:rsidR="007329B0" w:rsidRDefault="00207B4D" w:rsidP="00207B4D">
      <w:pPr>
        <w:rPr>
          <w:rFonts w:ascii="Helvetica" w:hAnsi="Helvetica"/>
          <w:b/>
          <w:color w:val="221F1F"/>
          <w:lang w:val="es-ES"/>
        </w:rPr>
      </w:pPr>
      <w:r w:rsidRPr="00207B4D">
        <w:rPr>
          <w:rFonts w:ascii="Helvetica" w:hAnsi="Helvetica"/>
          <w:lang w:val="es-ES"/>
        </w:rPr>
        <w:t xml:space="preserve"> </w:t>
      </w:r>
    </w:p>
    <w:p w:rsidR="00207B4D" w:rsidRDefault="00245D8C" w:rsidP="00207B4D">
      <w:pPr>
        <w:rPr>
          <w:rFonts w:ascii="Helvetica" w:hAnsi="Helvetica"/>
          <w:b/>
          <w:lang w:val="es-ES"/>
        </w:rPr>
      </w:pPr>
      <w:r w:rsidRPr="00207B4D">
        <w:rPr>
          <w:rFonts w:ascii="Helvetica" w:hAnsi="Helvetica"/>
          <w:b/>
          <w:color w:val="221F1F"/>
          <w:spacing w:val="-1"/>
          <w:lang w:val="es-ES"/>
        </w:rPr>
        <w:t>Gas</w:t>
      </w:r>
      <w:r w:rsidRPr="00207B4D">
        <w:rPr>
          <w:rFonts w:ascii="Helvetica" w:hAnsi="Helvetica"/>
          <w:b/>
          <w:color w:val="221F1F"/>
          <w:spacing w:val="-11"/>
          <w:lang w:val="es-ES"/>
        </w:rPr>
        <w:t xml:space="preserve"> </w:t>
      </w:r>
      <w:r w:rsidRPr="00207B4D">
        <w:rPr>
          <w:rFonts w:ascii="Helvetica" w:hAnsi="Helvetica"/>
          <w:b/>
          <w:color w:val="221F1F"/>
          <w:spacing w:val="-1"/>
          <w:lang w:val="es-ES"/>
        </w:rPr>
        <w:t>Licuado</w:t>
      </w:r>
      <w:r w:rsidRPr="00207B4D">
        <w:rPr>
          <w:rFonts w:ascii="Helvetica" w:hAnsi="Helvetica"/>
          <w:b/>
          <w:color w:val="221F1F"/>
          <w:spacing w:val="-11"/>
          <w:lang w:val="es-ES"/>
        </w:rPr>
        <w:t xml:space="preserve"> </w:t>
      </w:r>
      <w:r w:rsidRPr="00207B4D">
        <w:rPr>
          <w:rFonts w:ascii="Helvetica" w:hAnsi="Helvetica"/>
          <w:b/>
          <w:color w:val="221F1F"/>
          <w:spacing w:val="-1"/>
          <w:lang w:val="es-ES"/>
        </w:rPr>
        <w:t>de</w:t>
      </w:r>
      <w:r w:rsidRPr="00207B4D">
        <w:rPr>
          <w:rFonts w:ascii="Helvetica" w:hAnsi="Helvetica"/>
          <w:b/>
          <w:color w:val="221F1F"/>
          <w:spacing w:val="-11"/>
          <w:lang w:val="es-ES"/>
        </w:rPr>
        <w:t xml:space="preserve"> </w:t>
      </w:r>
      <w:r w:rsidRPr="00207B4D">
        <w:rPr>
          <w:rFonts w:ascii="Helvetica" w:hAnsi="Helvetica"/>
          <w:b/>
          <w:color w:val="221F1F"/>
          <w:lang w:val="es-ES"/>
        </w:rPr>
        <w:t>Petróleo</w:t>
      </w:r>
      <w:r w:rsidRPr="00207B4D">
        <w:rPr>
          <w:rFonts w:ascii="Helvetica" w:hAnsi="Helvetica"/>
          <w:b/>
          <w:color w:val="221F1F"/>
          <w:spacing w:val="-13"/>
          <w:lang w:val="es-ES"/>
        </w:rPr>
        <w:t xml:space="preserve"> </w:t>
      </w:r>
      <w:r w:rsidRPr="00207B4D">
        <w:rPr>
          <w:rFonts w:ascii="Helvetica" w:hAnsi="Helvetica"/>
          <w:b/>
          <w:color w:val="221F1F"/>
          <w:lang w:val="es-ES"/>
        </w:rPr>
        <w:t>(GLP)</w:t>
      </w: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Default="00245D8C" w:rsidP="00207B4D">
      <w:pPr>
        <w:rPr>
          <w:rFonts w:ascii="Helvetica" w:hAnsi="Helvetica"/>
          <w:b/>
          <w:lang w:val="es-ES"/>
        </w:rPr>
      </w:pPr>
    </w:p>
    <w:p w:rsidR="00245D8C" w:rsidRPr="00207B4D" w:rsidRDefault="00245D8C" w:rsidP="00207B4D">
      <w:pPr>
        <w:rPr>
          <w:rFonts w:ascii="Helvetica" w:hAnsi="Helvetica"/>
          <w:b/>
          <w:lang w:val="es-ES"/>
        </w:rPr>
      </w:pPr>
      <w:r>
        <w:rPr>
          <w:lang w:val="es-CR"/>
        </w:rPr>
        <w:t>Fuente: Departamentos Control de Calidad Central Pacífica y Caribe</w:t>
      </w:r>
    </w:p>
    <w:sectPr w:rsidR="00245D8C" w:rsidRPr="00207B4D" w:rsidSect="00207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7B4D"/>
    <w:rsid w:val="00207B4D"/>
    <w:rsid w:val="00245D8C"/>
    <w:rsid w:val="00320463"/>
    <w:rsid w:val="0073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7B4D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B4D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2A722-0202-45F9-8728-383B44BC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lesmes-bc</dc:creator>
  <cp:lastModifiedBy>lesmes-bc</cp:lastModifiedBy>
  <cp:revision>1</cp:revision>
  <dcterms:created xsi:type="dcterms:W3CDTF">2018-04-19T15:45:00Z</dcterms:created>
  <dcterms:modified xsi:type="dcterms:W3CDTF">2018-04-19T16:00:00Z</dcterms:modified>
</cp:coreProperties>
</file>