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12C1C" w14:textId="77777777" w:rsidR="005B390E" w:rsidRPr="006E6390" w:rsidRDefault="005B390E" w:rsidP="000D56DE">
      <w:pPr>
        <w:tabs>
          <w:tab w:val="left" w:pos="9270"/>
        </w:tabs>
      </w:pPr>
    </w:p>
    <w:p w14:paraId="66262D9F" w14:textId="77777777" w:rsidR="003C4E20" w:rsidRPr="006E6390" w:rsidRDefault="003C4E20" w:rsidP="000D56DE">
      <w:pPr>
        <w:tabs>
          <w:tab w:val="left" w:pos="9270"/>
        </w:tabs>
      </w:pPr>
    </w:p>
    <w:p w14:paraId="61B12BEA" w14:textId="77777777" w:rsidR="003C4E20" w:rsidRPr="006E6390" w:rsidRDefault="003C4E20" w:rsidP="000D56DE">
      <w:pPr>
        <w:tabs>
          <w:tab w:val="left" w:pos="9270"/>
        </w:tabs>
      </w:pPr>
    </w:p>
    <w:p w14:paraId="64EE9336" w14:textId="77777777" w:rsidR="003C4E20" w:rsidRPr="006E6390" w:rsidRDefault="003C4E20" w:rsidP="000D56DE">
      <w:pPr>
        <w:tabs>
          <w:tab w:val="left" w:pos="9270"/>
        </w:tabs>
      </w:pPr>
    </w:p>
    <w:p w14:paraId="2F926B57" w14:textId="77777777" w:rsidR="005B390E" w:rsidRPr="006E6390" w:rsidRDefault="009A3C9E" w:rsidP="009A3C9E">
      <w:pPr>
        <w:tabs>
          <w:tab w:val="left" w:pos="9270"/>
        </w:tabs>
        <w:jc w:val="center"/>
      </w:pPr>
      <w:r w:rsidRPr="006E6390">
        <w:rPr>
          <w:noProof/>
        </w:rPr>
        <w:drawing>
          <wp:inline distT="0" distB="0" distL="0" distR="0" wp14:anchorId="1AA4A7D3" wp14:editId="39C71AE0">
            <wp:extent cx="2840395" cy="14859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104" cy="1486794"/>
                    </a:xfrm>
                    <a:prstGeom prst="rect">
                      <a:avLst/>
                    </a:prstGeom>
                    <a:noFill/>
                    <a:ln>
                      <a:noFill/>
                    </a:ln>
                  </pic:spPr>
                </pic:pic>
              </a:graphicData>
            </a:graphic>
          </wp:inline>
        </w:drawing>
      </w:r>
    </w:p>
    <w:p w14:paraId="1F2CB197" w14:textId="77777777" w:rsidR="005B390E" w:rsidRPr="006E6390" w:rsidRDefault="005B390E" w:rsidP="000D56DE">
      <w:pPr>
        <w:tabs>
          <w:tab w:val="left" w:pos="9270"/>
        </w:tabs>
      </w:pPr>
    </w:p>
    <w:p w14:paraId="10A59E30" w14:textId="77777777" w:rsidR="005B390E" w:rsidRPr="006E6390" w:rsidRDefault="005B390E" w:rsidP="000D56DE">
      <w:pPr>
        <w:tabs>
          <w:tab w:val="left" w:pos="9270"/>
        </w:tabs>
      </w:pPr>
    </w:p>
    <w:p w14:paraId="3CB250FC" w14:textId="77777777" w:rsidR="005B390E" w:rsidRPr="006E6390" w:rsidRDefault="005B390E" w:rsidP="000D56DE">
      <w:pPr>
        <w:tabs>
          <w:tab w:val="left" w:pos="9270"/>
        </w:tabs>
      </w:pPr>
    </w:p>
    <w:p w14:paraId="1FD99A35" w14:textId="77777777" w:rsidR="005B390E" w:rsidRPr="006E6390" w:rsidRDefault="005B390E" w:rsidP="000D56DE">
      <w:pPr>
        <w:tabs>
          <w:tab w:val="left" w:pos="9270"/>
        </w:tabs>
      </w:pPr>
    </w:p>
    <w:p w14:paraId="79FDA1BE" w14:textId="77777777" w:rsidR="00FF009A" w:rsidRPr="006E6390" w:rsidRDefault="00FF009A" w:rsidP="000D56DE">
      <w:pPr>
        <w:tabs>
          <w:tab w:val="left" w:pos="9270"/>
        </w:tabs>
      </w:pPr>
    </w:p>
    <w:p w14:paraId="1232E299" w14:textId="77777777" w:rsidR="00FF009A" w:rsidRPr="006E6390" w:rsidRDefault="00FF009A" w:rsidP="000D56DE">
      <w:pPr>
        <w:tabs>
          <w:tab w:val="left" w:pos="9270"/>
        </w:tabs>
      </w:pPr>
    </w:p>
    <w:p w14:paraId="452BC2B3" w14:textId="77777777" w:rsidR="005B390E" w:rsidRPr="006E6390" w:rsidRDefault="005B390E" w:rsidP="000D56DE">
      <w:pPr>
        <w:pStyle w:val="Ttulo"/>
        <w:tabs>
          <w:tab w:val="left" w:pos="9270"/>
        </w:tabs>
        <w:rPr>
          <w:rFonts w:cs="Arial"/>
          <w:sz w:val="44"/>
        </w:rPr>
      </w:pPr>
      <w:r w:rsidRPr="006E6390">
        <w:rPr>
          <w:rFonts w:cs="Arial"/>
          <w:sz w:val="44"/>
        </w:rPr>
        <w:t>PROSPECTO DE INVERSIÓN</w:t>
      </w:r>
    </w:p>
    <w:p w14:paraId="3AD932EE" w14:textId="77777777" w:rsidR="005B390E" w:rsidRPr="006E6390" w:rsidRDefault="005B390E" w:rsidP="000D56DE">
      <w:pPr>
        <w:tabs>
          <w:tab w:val="left" w:pos="9270"/>
        </w:tabs>
        <w:rPr>
          <w:rFonts w:cs="Arial"/>
        </w:rPr>
      </w:pPr>
    </w:p>
    <w:p w14:paraId="3983AF80" w14:textId="77777777" w:rsidR="005B390E" w:rsidRPr="006E6390" w:rsidRDefault="005B390E" w:rsidP="000D56DE">
      <w:pPr>
        <w:tabs>
          <w:tab w:val="left" w:pos="9270"/>
        </w:tabs>
        <w:rPr>
          <w:rFonts w:cs="Arial"/>
        </w:rPr>
      </w:pPr>
    </w:p>
    <w:p w14:paraId="0BF08F94" w14:textId="77777777" w:rsidR="005B390E" w:rsidRPr="006E6390" w:rsidRDefault="005B390E" w:rsidP="000D56DE">
      <w:pPr>
        <w:tabs>
          <w:tab w:val="left" w:pos="9270"/>
        </w:tabs>
        <w:rPr>
          <w:rFonts w:cs="Arial"/>
        </w:rPr>
      </w:pPr>
    </w:p>
    <w:p w14:paraId="26C0DE95" w14:textId="77777777" w:rsidR="005B390E" w:rsidRPr="006E6390" w:rsidRDefault="005B390E" w:rsidP="000D56DE">
      <w:pPr>
        <w:tabs>
          <w:tab w:val="left" w:pos="9270"/>
        </w:tabs>
        <w:rPr>
          <w:rFonts w:cs="Arial"/>
        </w:rPr>
      </w:pPr>
    </w:p>
    <w:p w14:paraId="5027CE59" w14:textId="77777777" w:rsidR="005B390E" w:rsidRPr="006E6390" w:rsidRDefault="005B390E" w:rsidP="000D56DE">
      <w:pPr>
        <w:tabs>
          <w:tab w:val="left" w:pos="9270"/>
        </w:tabs>
        <w:rPr>
          <w:rFonts w:cs="Arial"/>
        </w:rPr>
      </w:pPr>
    </w:p>
    <w:p w14:paraId="22240C78" w14:textId="77777777" w:rsidR="005B390E" w:rsidRPr="006E6390" w:rsidRDefault="005B390E" w:rsidP="000D56DE">
      <w:pPr>
        <w:tabs>
          <w:tab w:val="left" w:pos="9270"/>
        </w:tabs>
        <w:rPr>
          <w:rFonts w:cs="Arial"/>
        </w:rPr>
      </w:pPr>
    </w:p>
    <w:p w14:paraId="5BFF0CCB" w14:textId="286F2A6F" w:rsidR="005B390E" w:rsidRPr="006E6390" w:rsidRDefault="000E341C" w:rsidP="000D56DE">
      <w:pPr>
        <w:pStyle w:val="Subttulo"/>
        <w:tabs>
          <w:tab w:val="left" w:pos="9270"/>
        </w:tabs>
        <w:spacing w:after="0"/>
        <w:rPr>
          <w:rFonts w:cs="Arial"/>
          <w:sz w:val="36"/>
          <w:szCs w:val="36"/>
        </w:rPr>
      </w:pPr>
      <w:r>
        <w:rPr>
          <w:rFonts w:cs="Arial"/>
          <w:sz w:val="36"/>
          <w:szCs w:val="36"/>
        </w:rPr>
        <w:t>Mayo</w:t>
      </w:r>
      <w:r w:rsidR="005B390E" w:rsidRPr="006E6390">
        <w:rPr>
          <w:rFonts w:cs="Arial"/>
          <w:sz w:val="36"/>
          <w:szCs w:val="36"/>
        </w:rPr>
        <w:t xml:space="preserve">, </w:t>
      </w:r>
      <w:r w:rsidR="00A61557" w:rsidRPr="006E6390">
        <w:rPr>
          <w:rFonts w:cs="Arial"/>
          <w:sz w:val="36"/>
          <w:szCs w:val="36"/>
        </w:rPr>
        <w:t>202</w:t>
      </w:r>
      <w:r w:rsidR="00A61557">
        <w:rPr>
          <w:rFonts w:cs="Arial"/>
          <w:sz w:val="36"/>
          <w:szCs w:val="36"/>
        </w:rPr>
        <w:t>3</w:t>
      </w:r>
    </w:p>
    <w:p w14:paraId="629AA03C" w14:textId="77777777" w:rsidR="005B390E" w:rsidRPr="006E6390" w:rsidRDefault="009A3C9E" w:rsidP="009A3C9E">
      <w:pPr>
        <w:tabs>
          <w:tab w:val="left" w:pos="9270"/>
        </w:tabs>
        <w:jc w:val="center"/>
        <w:rPr>
          <w:rFonts w:cs="Arial"/>
          <w:lang w:eastAsia="es-MX"/>
        </w:rPr>
      </w:pPr>
      <w:r w:rsidRPr="006E6390">
        <w:rPr>
          <w:rFonts w:cs="Arial"/>
          <w:noProof/>
        </w:rPr>
        <w:lastRenderedPageBreak/>
        <w:drawing>
          <wp:inline distT="0" distB="0" distL="0" distR="0" wp14:anchorId="265ED952" wp14:editId="1FC3DF61">
            <wp:extent cx="2239545" cy="1171575"/>
            <wp:effectExtent l="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306" cy="1173543"/>
                    </a:xfrm>
                    <a:prstGeom prst="rect">
                      <a:avLst/>
                    </a:prstGeom>
                    <a:noFill/>
                    <a:ln>
                      <a:noFill/>
                    </a:ln>
                  </pic:spPr>
                </pic:pic>
              </a:graphicData>
            </a:graphic>
          </wp:inline>
        </w:drawing>
      </w:r>
    </w:p>
    <w:p w14:paraId="61020B7D" w14:textId="77777777" w:rsidR="005B390E" w:rsidRPr="006E6390" w:rsidRDefault="005B390E" w:rsidP="000D56DE">
      <w:pPr>
        <w:pStyle w:val="Ttulo"/>
        <w:tabs>
          <w:tab w:val="left" w:pos="9270"/>
        </w:tabs>
        <w:rPr>
          <w:rFonts w:cs="Arial"/>
          <w:lang w:eastAsia="es-MX"/>
        </w:rPr>
      </w:pPr>
      <w:r w:rsidRPr="006E6390">
        <w:rPr>
          <w:rFonts w:cs="Arial"/>
          <w:lang w:eastAsia="es-MX"/>
        </w:rPr>
        <w:t>Prospecto de Inversión</w:t>
      </w:r>
    </w:p>
    <w:p w14:paraId="267FB79E" w14:textId="77777777" w:rsidR="005B390E" w:rsidRPr="006E6390" w:rsidRDefault="005B390E" w:rsidP="000D56DE">
      <w:pPr>
        <w:tabs>
          <w:tab w:val="left" w:pos="9270"/>
        </w:tabs>
        <w:rPr>
          <w:rFonts w:cs="Arial"/>
          <w:lang w:eastAsia="es-MX"/>
        </w:rPr>
      </w:pPr>
    </w:p>
    <w:p w14:paraId="0CB3EFE2" w14:textId="77777777" w:rsidR="005B390E" w:rsidRPr="006E6390" w:rsidRDefault="005B390E" w:rsidP="000D56DE">
      <w:pPr>
        <w:pStyle w:val="Ttulo"/>
        <w:tabs>
          <w:tab w:val="left" w:pos="9270"/>
        </w:tabs>
        <w:rPr>
          <w:rFonts w:cs="Arial"/>
          <w:lang w:eastAsia="es-MX"/>
        </w:rPr>
      </w:pPr>
      <w:r w:rsidRPr="006E6390">
        <w:rPr>
          <w:rFonts w:cs="Arial"/>
          <w:lang w:eastAsia="es-MX"/>
        </w:rPr>
        <w:t>REFINADORA COSTARRICENSE DE PETRÓLEO S.A.</w:t>
      </w:r>
    </w:p>
    <w:p w14:paraId="6E066F84" w14:textId="77777777" w:rsidR="005B390E" w:rsidRPr="006E6390" w:rsidRDefault="005B390E" w:rsidP="000D56DE">
      <w:pPr>
        <w:tabs>
          <w:tab w:val="left" w:pos="9270"/>
        </w:tabs>
        <w:rPr>
          <w:rFonts w:cs="Arial"/>
          <w:lang w:eastAsia="es-MX"/>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3603"/>
      </w:tblGrid>
      <w:tr w:rsidR="005B390E" w:rsidRPr="006E6390" w14:paraId="32629019" w14:textId="77777777" w:rsidTr="00C112E1">
        <w:trPr>
          <w:trHeight w:val="447"/>
        </w:trPr>
        <w:tc>
          <w:tcPr>
            <w:tcW w:w="3888" w:type="dxa"/>
            <w:tcBorders>
              <w:top w:val="nil"/>
              <w:left w:val="nil"/>
              <w:bottom w:val="single" w:sz="4" w:space="0" w:color="auto"/>
              <w:right w:val="nil"/>
            </w:tcBorders>
            <w:vAlign w:val="center"/>
          </w:tcPr>
          <w:p w14:paraId="07F1008F"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Tipo</w:t>
            </w:r>
          </w:p>
        </w:tc>
        <w:tc>
          <w:tcPr>
            <w:tcW w:w="3603" w:type="dxa"/>
            <w:tcBorders>
              <w:top w:val="nil"/>
              <w:left w:val="nil"/>
              <w:bottom w:val="single" w:sz="4" w:space="0" w:color="auto"/>
              <w:right w:val="nil"/>
            </w:tcBorders>
            <w:vAlign w:val="center"/>
          </w:tcPr>
          <w:p w14:paraId="43AF2D1D"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Monto de la emisión</w:t>
            </w:r>
          </w:p>
        </w:tc>
      </w:tr>
      <w:tr w:rsidR="005B390E" w:rsidRPr="006E6390" w14:paraId="7EE4B13F" w14:textId="77777777" w:rsidTr="00C112E1">
        <w:trPr>
          <w:trHeight w:val="617"/>
        </w:trPr>
        <w:tc>
          <w:tcPr>
            <w:tcW w:w="3888" w:type="dxa"/>
            <w:tcBorders>
              <w:top w:val="single" w:sz="4" w:space="0" w:color="auto"/>
              <w:left w:val="single" w:sz="4" w:space="0" w:color="auto"/>
              <w:bottom w:val="single" w:sz="4" w:space="0" w:color="auto"/>
              <w:right w:val="single" w:sz="4" w:space="0" w:color="auto"/>
            </w:tcBorders>
            <w:vAlign w:val="center"/>
          </w:tcPr>
          <w:p w14:paraId="0A3ECB67"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Programa A de Emisiones de Bonos Estandarizados</w:t>
            </w:r>
          </w:p>
        </w:tc>
        <w:tc>
          <w:tcPr>
            <w:tcW w:w="3603" w:type="dxa"/>
            <w:tcBorders>
              <w:top w:val="single" w:sz="4" w:space="0" w:color="auto"/>
              <w:left w:val="single" w:sz="4" w:space="0" w:color="auto"/>
              <w:bottom w:val="single" w:sz="4" w:space="0" w:color="auto"/>
              <w:right w:val="single" w:sz="4" w:space="0" w:color="auto"/>
            </w:tcBorders>
            <w:vAlign w:val="center"/>
          </w:tcPr>
          <w:p w14:paraId="260DEA5D" w14:textId="77777777" w:rsidR="005B390E" w:rsidRPr="006E6390" w:rsidRDefault="005B390E" w:rsidP="000D56DE">
            <w:pPr>
              <w:pStyle w:val="Subttulo"/>
              <w:tabs>
                <w:tab w:val="left" w:pos="9270"/>
              </w:tabs>
              <w:spacing w:after="0"/>
              <w:rPr>
                <w:rFonts w:cs="Arial"/>
                <w:sz w:val="24"/>
                <w:szCs w:val="24"/>
              </w:rPr>
            </w:pPr>
            <w:r w:rsidRPr="006E6390">
              <w:rPr>
                <w:rFonts w:cs="Arial"/>
                <w:sz w:val="24"/>
                <w:szCs w:val="24"/>
              </w:rPr>
              <w:t>$200,000,000</w:t>
            </w:r>
          </w:p>
        </w:tc>
      </w:tr>
    </w:tbl>
    <w:p w14:paraId="2670B852" w14:textId="77777777" w:rsidR="00C112E1" w:rsidRPr="006E6390" w:rsidRDefault="005B390E" w:rsidP="000D56DE">
      <w:pPr>
        <w:tabs>
          <w:tab w:val="left" w:pos="9270"/>
        </w:tabs>
        <w:rPr>
          <w:rFonts w:cs="Arial"/>
          <w:lang w:eastAsia="es-MX"/>
        </w:rPr>
      </w:pPr>
      <w:r w:rsidRPr="006E6390">
        <w:rPr>
          <w:rFonts w:cs="Arial"/>
          <w:lang w:eastAsia="es-MX"/>
        </w:rPr>
        <w:tab/>
      </w:r>
    </w:p>
    <w:p w14:paraId="4D5BF423" w14:textId="77777777" w:rsidR="005B390E" w:rsidRPr="006E6390" w:rsidRDefault="005B390E" w:rsidP="000D56DE">
      <w:pPr>
        <w:pStyle w:val="Subttulo"/>
        <w:tabs>
          <w:tab w:val="left" w:pos="9270"/>
        </w:tabs>
        <w:spacing w:after="0"/>
        <w:rPr>
          <w:rFonts w:cs="Arial"/>
          <w:sz w:val="22"/>
        </w:rPr>
      </w:pPr>
      <w:r w:rsidRPr="006E6390">
        <w:rPr>
          <w:rFonts w:cs="Arial"/>
          <w:sz w:val="22"/>
        </w:rPr>
        <w:t>Número de resolución y fecha de autorización para el Programa A de emisiones de B</w:t>
      </w:r>
      <w:r w:rsidR="009472C0" w:rsidRPr="006E6390">
        <w:rPr>
          <w:rFonts w:cs="Arial"/>
          <w:sz w:val="22"/>
        </w:rPr>
        <w:t>onos Estandarizados: SGV-R-2702 del 27 de agosto</w:t>
      </w:r>
      <w:r w:rsidRPr="006E6390">
        <w:rPr>
          <w:rFonts w:cs="Arial"/>
          <w:sz w:val="22"/>
        </w:rPr>
        <w:t xml:space="preserve"> del 2012</w:t>
      </w:r>
    </w:p>
    <w:p w14:paraId="5BB1AE17" w14:textId="77777777" w:rsidR="00C112E1" w:rsidRPr="006E6390" w:rsidRDefault="00C112E1" w:rsidP="000D56DE">
      <w:pPr>
        <w:tabs>
          <w:tab w:val="left" w:pos="9270"/>
        </w:tabs>
        <w:rPr>
          <w:rFonts w:cs="Arial"/>
        </w:rPr>
      </w:pPr>
    </w:p>
    <w:tbl>
      <w:tblPr>
        <w:tblW w:w="0" w:type="auto"/>
        <w:tblLook w:val="01E0" w:firstRow="1" w:lastRow="1" w:firstColumn="1" w:lastColumn="1" w:noHBand="0" w:noVBand="0"/>
      </w:tblPr>
      <w:tblGrid>
        <w:gridCol w:w="4368"/>
        <w:gridCol w:w="4352"/>
      </w:tblGrid>
      <w:tr w:rsidR="005B390E" w:rsidRPr="006E6390" w14:paraId="328FE6CF" w14:textId="77777777" w:rsidTr="00400CF1">
        <w:tc>
          <w:tcPr>
            <w:tcW w:w="4368" w:type="dxa"/>
          </w:tcPr>
          <w:p w14:paraId="4A709E38" w14:textId="77777777" w:rsidR="005B390E" w:rsidRPr="006E6390" w:rsidRDefault="005B390E" w:rsidP="000D56DE">
            <w:pPr>
              <w:pStyle w:val="Subttulo"/>
              <w:tabs>
                <w:tab w:val="left" w:pos="9270"/>
              </w:tabs>
              <w:spacing w:after="0"/>
              <w:rPr>
                <w:rFonts w:cs="Arial"/>
                <w:sz w:val="22"/>
              </w:rPr>
            </w:pPr>
          </w:p>
          <w:p w14:paraId="5D729977" w14:textId="77777777" w:rsidR="005B390E" w:rsidRPr="006E6390" w:rsidRDefault="005B390E" w:rsidP="000D56DE">
            <w:pPr>
              <w:pStyle w:val="Subttulo"/>
              <w:tabs>
                <w:tab w:val="left" w:pos="9270"/>
              </w:tabs>
              <w:spacing w:after="0"/>
              <w:rPr>
                <w:rFonts w:cs="Arial"/>
                <w:sz w:val="22"/>
              </w:rPr>
            </w:pPr>
            <w:r w:rsidRPr="006E6390">
              <w:rPr>
                <w:rFonts w:cs="Arial"/>
                <w:sz w:val="22"/>
              </w:rPr>
              <w:t>Puestos de Bolsa Representantes</w:t>
            </w:r>
            <w:r w:rsidR="00C112E1" w:rsidRPr="006E6390">
              <w:rPr>
                <w:rFonts w:cs="Arial"/>
                <w:sz w:val="22"/>
              </w:rPr>
              <w:t>:</w:t>
            </w:r>
          </w:p>
          <w:p w14:paraId="1076633E" w14:textId="77777777" w:rsidR="003C4E20" w:rsidRPr="006E6390" w:rsidRDefault="00400CF1" w:rsidP="000D56DE">
            <w:pPr>
              <w:pStyle w:val="Subttulo"/>
              <w:tabs>
                <w:tab w:val="left" w:pos="9270"/>
              </w:tabs>
              <w:spacing w:after="0"/>
              <w:rPr>
                <w:rFonts w:cs="Arial"/>
                <w:b w:val="0"/>
                <w:sz w:val="22"/>
              </w:rPr>
            </w:pPr>
            <w:r w:rsidRPr="006E6390">
              <w:rPr>
                <w:rFonts w:cs="Arial"/>
                <w:b w:val="0"/>
                <w:sz w:val="22"/>
              </w:rPr>
              <w:t>BCR Valores, S.A.</w:t>
            </w:r>
          </w:p>
          <w:p w14:paraId="28CA026A" w14:textId="77777777" w:rsidR="00400F74" w:rsidRPr="006E6390" w:rsidRDefault="00400F74" w:rsidP="000D56DE">
            <w:pPr>
              <w:pStyle w:val="Subttulo"/>
              <w:tabs>
                <w:tab w:val="left" w:pos="9270"/>
              </w:tabs>
              <w:spacing w:after="0"/>
              <w:rPr>
                <w:rFonts w:cs="Arial"/>
                <w:sz w:val="22"/>
              </w:rPr>
            </w:pPr>
            <w:r w:rsidRPr="006E6390">
              <w:rPr>
                <w:rFonts w:cs="Arial"/>
                <w:b w:val="0"/>
                <w:sz w:val="22"/>
              </w:rPr>
              <w:t>BN Valores Puesto de Bolsa S.A</w:t>
            </w:r>
            <w:r w:rsidRPr="006E6390">
              <w:rPr>
                <w:rFonts w:cs="Arial"/>
                <w:sz w:val="22"/>
              </w:rPr>
              <w:t>.</w:t>
            </w:r>
          </w:p>
          <w:p w14:paraId="68CB5B85" w14:textId="77777777" w:rsidR="00400CF1" w:rsidRPr="006E6390" w:rsidRDefault="00400CF1" w:rsidP="000D56DE">
            <w:pPr>
              <w:pStyle w:val="Subttulo"/>
              <w:tabs>
                <w:tab w:val="left" w:pos="9270"/>
              </w:tabs>
              <w:spacing w:after="0"/>
              <w:rPr>
                <w:rFonts w:cs="Arial"/>
                <w:sz w:val="22"/>
              </w:rPr>
            </w:pPr>
          </w:p>
          <w:p w14:paraId="5C82F44D" w14:textId="77777777" w:rsidR="005B390E" w:rsidRPr="006E6390" w:rsidRDefault="005B390E" w:rsidP="000D56DE">
            <w:pPr>
              <w:pStyle w:val="Subttulo"/>
              <w:tabs>
                <w:tab w:val="left" w:pos="9270"/>
              </w:tabs>
              <w:spacing w:after="0"/>
              <w:rPr>
                <w:rFonts w:cs="Arial"/>
                <w:sz w:val="22"/>
              </w:rPr>
            </w:pPr>
          </w:p>
          <w:p w14:paraId="26E318E6" w14:textId="77777777" w:rsidR="00400F74" w:rsidRPr="006E6390" w:rsidRDefault="00400F74" w:rsidP="000D56DE">
            <w:pPr>
              <w:pStyle w:val="Subttulo"/>
              <w:tabs>
                <w:tab w:val="left" w:pos="9270"/>
              </w:tabs>
              <w:spacing w:after="0"/>
              <w:rPr>
                <w:rFonts w:cs="Arial"/>
                <w:sz w:val="22"/>
              </w:rPr>
            </w:pPr>
          </w:p>
          <w:p w14:paraId="713EEABF" w14:textId="77777777" w:rsidR="00400F74" w:rsidRPr="006E6390" w:rsidRDefault="008F08CE" w:rsidP="000D56DE">
            <w:pPr>
              <w:pStyle w:val="Subttulo"/>
              <w:tabs>
                <w:tab w:val="left" w:pos="9270"/>
              </w:tabs>
              <w:spacing w:after="0"/>
              <w:rPr>
                <w:rFonts w:cs="Arial"/>
                <w:sz w:val="22"/>
              </w:rPr>
            </w:pPr>
            <w:r w:rsidRPr="006E6390">
              <w:rPr>
                <w:rFonts w:cs="Arial"/>
                <w:b w:val="0"/>
                <w:noProof/>
                <w:sz w:val="22"/>
                <w:lang w:eastAsia="es-CR"/>
              </w:rPr>
              <w:drawing>
                <wp:anchor distT="0" distB="0" distL="114300" distR="114300" simplePos="0" relativeHeight="251658240" behindDoc="0" locked="0" layoutInCell="1" allowOverlap="1" wp14:anchorId="385D55BE" wp14:editId="6FAF3B21">
                  <wp:simplePos x="0" y="0"/>
                  <wp:positionH relativeFrom="column">
                    <wp:posOffset>415290</wp:posOffset>
                  </wp:positionH>
                  <wp:positionV relativeFrom="paragraph">
                    <wp:posOffset>41275</wp:posOffset>
                  </wp:positionV>
                  <wp:extent cx="2047875" cy="421005"/>
                  <wp:effectExtent l="0" t="0" r="952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390">
              <w:rPr>
                <w:rFonts w:cs="Arial"/>
                <w:b w:val="0"/>
                <w:noProof/>
                <w:sz w:val="22"/>
                <w:lang w:eastAsia="es-CR"/>
              </w:rPr>
              <w:drawing>
                <wp:anchor distT="0" distB="0" distL="114300" distR="114300" simplePos="0" relativeHeight="251658241" behindDoc="0" locked="0" layoutInCell="1" allowOverlap="1" wp14:anchorId="307C4A6A" wp14:editId="2B3F8DDD">
                  <wp:simplePos x="0" y="0"/>
                  <wp:positionH relativeFrom="column">
                    <wp:posOffset>891540</wp:posOffset>
                  </wp:positionH>
                  <wp:positionV relativeFrom="paragraph">
                    <wp:posOffset>-492125</wp:posOffset>
                  </wp:positionV>
                  <wp:extent cx="1009650" cy="41910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58025" t="45462" r="32397" b="48361"/>
                          <a:stretch>
                            <a:fillRect/>
                          </a:stretch>
                        </pic:blipFill>
                        <pic:spPr bwMode="auto">
                          <a:xfrm>
                            <a:off x="0" y="0"/>
                            <a:ext cx="10096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08E43" w14:textId="77777777" w:rsidR="00400F74" w:rsidRPr="006E6390" w:rsidRDefault="00400F74" w:rsidP="000D56DE">
            <w:pPr>
              <w:pStyle w:val="Subttulo"/>
              <w:tabs>
                <w:tab w:val="left" w:pos="9270"/>
              </w:tabs>
              <w:spacing w:after="0"/>
              <w:rPr>
                <w:rFonts w:cs="Arial"/>
                <w:sz w:val="22"/>
              </w:rPr>
            </w:pPr>
          </w:p>
        </w:tc>
        <w:tc>
          <w:tcPr>
            <w:tcW w:w="4352" w:type="dxa"/>
          </w:tcPr>
          <w:p w14:paraId="171E50F9" w14:textId="77777777" w:rsidR="005B390E" w:rsidRPr="006E6390" w:rsidRDefault="005B390E" w:rsidP="000D56DE">
            <w:pPr>
              <w:pStyle w:val="Subttulo"/>
              <w:tabs>
                <w:tab w:val="left" w:pos="9270"/>
              </w:tabs>
              <w:spacing w:after="0"/>
              <w:rPr>
                <w:rFonts w:cs="Arial"/>
                <w:sz w:val="22"/>
              </w:rPr>
            </w:pPr>
          </w:p>
          <w:p w14:paraId="01150F84" w14:textId="77777777" w:rsidR="005B390E" w:rsidRPr="006E6390" w:rsidRDefault="005B390E" w:rsidP="000D56DE">
            <w:pPr>
              <w:pStyle w:val="Subttulo"/>
              <w:tabs>
                <w:tab w:val="left" w:pos="9270"/>
              </w:tabs>
              <w:spacing w:after="0"/>
              <w:rPr>
                <w:rFonts w:cs="Arial"/>
                <w:sz w:val="22"/>
              </w:rPr>
            </w:pPr>
            <w:r w:rsidRPr="006E6390">
              <w:rPr>
                <w:rFonts w:cs="Arial"/>
                <w:sz w:val="22"/>
              </w:rPr>
              <w:t xml:space="preserve">Asesor Financiero y </w:t>
            </w:r>
            <w:r w:rsidR="00076A36" w:rsidRPr="006E6390">
              <w:rPr>
                <w:rFonts w:cs="Arial"/>
                <w:sz w:val="22"/>
              </w:rPr>
              <w:t>E</w:t>
            </w:r>
            <w:r w:rsidRPr="006E6390">
              <w:rPr>
                <w:rFonts w:cs="Arial"/>
                <w:sz w:val="22"/>
              </w:rPr>
              <w:t>structurador</w:t>
            </w:r>
          </w:p>
          <w:p w14:paraId="2000F121" w14:textId="77777777" w:rsidR="003C4E20" w:rsidRPr="006E6390" w:rsidRDefault="003C4E20" w:rsidP="000D56DE">
            <w:pPr>
              <w:pStyle w:val="Subttulo"/>
              <w:tabs>
                <w:tab w:val="left" w:pos="9270"/>
              </w:tabs>
              <w:spacing w:after="0"/>
              <w:rPr>
                <w:rFonts w:cs="Arial"/>
                <w:b w:val="0"/>
                <w:sz w:val="22"/>
              </w:rPr>
            </w:pPr>
            <w:r w:rsidRPr="006E6390">
              <w:rPr>
                <w:rFonts w:cs="Arial"/>
                <w:b w:val="0"/>
                <w:sz w:val="22"/>
              </w:rPr>
              <w:t>Finanzas Corporativas de Centroamérica</w:t>
            </w:r>
          </w:p>
          <w:p w14:paraId="5F2F3EFA" w14:textId="77777777" w:rsidR="005B390E" w:rsidRPr="006E6390" w:rsidRDefault="008F08CE" w:rsidP="000D56DE">
            <w:pPr>
              <w:pStyle w:val="Subttulo"/>
              <w:tabs>
                <w:tab w:val="left" w:pos="9270"/>
              </w:tabs>
              <w:spacing w:after="0"/>
              <w:rPr>
                <w:rFonts w:cs="Arial"/>
                <w:sz w:val="22"/>
              </w:rPr>
            </w:pPr>
            <w:r w:rsidRPr="006E6390">
              <w:rPr>
                <w:rFonts w:cs="Arial"/>
                <w:noProof/>
                <w:sz w:val="22"/>
                <w:lang w:eastAsia="es-CR"/>
              </w:rPr>
              <w:drawing>
                <wp:inline distT="0" distB="0" distL="0" distR="0" wp14:anchorId="40322A75" wp14:editId="5F9395CE">
                  <wp:extent cx="1045845" cy="11341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845" cy="1134110"/>
                          </a:xfrm>
                          <a:prstGeom prst="rect">
                            <a:avLst/>
                          </a:prstGeom>
                          <a:noFill/>
                          <a:ln>
                            <a:noFill/>
                          </a:ln>
                        </pic:spPr>
                      </pic:pic>
                    </a:graphicData>
                  </a:graphic>
                </wp:inline>
              </w:drawing>
            </w:r>
          </w:p>
        </w:tc>
      </w:tr>
    </w:tbl>
    <w:p w14:paraId="5596573C" w14:textId="77777777" w:rsidR="003C4E20" w:rsidRPr="006E6390" w:rsidRDefault="003C4E20" w:rsidP="000D56DE">
      <w:pPr>
        <w:tabs>
          <w:tab w:val="left" w:pos="9270"/>
        </w:tabs>
        <w:rPr>
          <w:rFonts w:cs="Arial"/>
          <w:lang w:eastAsia="es-MX"/>
        </w:rPr>
      </w:pPr>
    </w:p>
    <w:p w14:paraId="039D6FF1" w14:textId="77777777" w:rsidR="005B390E" w:rsidRPr="006E6390" w:rsidRDefault="005B390E" w:rsidP="000D56DE">
      <w:pPr>
        <w:pStyle w:val="Subttulo"/>
        <w:tabs>
          <w:tab w:val="left" w:pos="9270"/>
        </w:tabs>
        <w:rPr>
          <w:rFonts w:cs="Arial"/>
          <w:sz w:val="22"/>
        </w:rPr>
      </w:pPr>
      <w:r w:rsidRPr="006E6390">
        <w:rPr>
          <w:rFonts w:cs="Arial"/>
          <w:sz w:val="22"/>
        </w:rPr>
        <w:t>"La autorización para realizar oferta públic</w:t>
      </w:r>
      <w:r w:rsidR="00076A36" w:rsidRPr="006E6390">
        <w:rPr>
          <w:rFonts w:cs="Arial"/>
          <w:sz w:val="22"/>
        </w:rPr>
        <w:t xml:space="preserve">a no implica calificación sobre </w:t>
      </w:r>
      <w:r w:rsidRPr="006E6390">
        <w:rPr>
          <w:rFonts w:cs="Arial"/>
          <w:sz w:val="22"/>
        </w:rPr>
        <w:t>la emisión, ni la solvencia</w:t>
      </w:r>
      <w:r w:rsidR="00C112E1" w:rsidRPr="006E6390">
        <w:rPr>
          <w:rFonts w:cs="Arial"/>
          <w:sz w:val="22"/>
        </w:rPr>
        <w:t xml:space="preserve"> del emisor o el intermediario"</w:t>
      </w:r>
    </w:p>
    <w:p w14:paraId="49DC2D8B" w14:textId="77777777" w:rsidR="00A95546" w:rsidRPr="006E6390" w:rsidRDefault="00A95546" w:rsidP="000D56DE">
      <w:pPr>
        <w:tabs>
          <w:tab w:val="left" w:pos="9270"/>
        </w:tabs>
        <w:rPr>
          <w:rFonts w:cs="Arial"/>
          <w:lang w:eastAsia="es-MX"/>
        </w:rPr>
      </w:pPr>
    </w:p>
    <w:p w14:paraId="1ECC01CB" w14:textId="17B2A626" w:rsidR="005B390E" w:rsidRPr="006E6390" w:rsidRDefault="00DF555D" w:rsidP="000D56DE">
      <w:pPr>
        <w:tabs>
          <w:tab w:val="left" w:pos="9270"/>
        </w:tabs>
        <w:spacing w:after="0"/>
        <w:jc w:val="center"/>
        <w:rPr>
          <w:rFonts w:cs="Arial"/>
          <w:b/>
          <w:lang w:eastAsia="es-MX"/>
        </w:rPr>
      </w:pPr>
      <w:r>
        <w:rPr>
          <w:rFonts w:cs="Arial"/>
          <w:b/>
          <w:lang w:eastAsia="es-MX"/>
        </w:rPr>
        <w:t>Marzo</w:t>
      </w:r>
      <w:r w:rsidR="005B390E" w:rsidRPr="006E6390">
        <w:rPr>
          <w:rFonts w:cs="Arial"/>
          <w:b/>
          <w:lang w:eastAsia="es-MX"/>
        </w:rPr>
        <w:t xml:space="preserve">, </w:t>
      </w:r>
      <w:r w:rsidR="00CA5249" w:rsidRPr="006E6390">
        <w:rPr>
          <w:rFonts w:cs="Arial"/>
          <w:b/>
          <w:lang w:eastAsia="es-MX"/>
        </w:rPr>
        <w:t>202</w:t>
      </w:r>
      <w:r w:rsidR="00CA5249">
        <w:rPr>
          <w:rFonts w:cs="Arial"/>
          <w:b/>
          <w:lang w:eastAsia="es-MX"/>
        </w:rPr>
        <w:t>3</w:t>
      </w:r>
    </w:p>
    <w:p w14:paraId="136D897D" w14:textId="77777777" w:rsidR="005B390E" w:rsidRPr="006E6390" w:rsidRDefault="005B390E" w:rsidP="000D56DE">
      <w:pPr>
        <w:tabs>
          <w:tab w:val="left" w:pos="9270"/>
        </w:tabs>
        <w:spacing w:after="0"/>
        <w:jc w:val="center"/>
        <w:rPr>
          <w:rFonts w:cs="Arial"/>
          <w:b/>
          <w:lang w:eastAsia="es-MX"/>
        </w:rPr>
      </w:pPr>
      <w:r w:rsidRPr="006E6390">
        <w:rPr>
          <w:rFonts w:cs="Arial"/>
          <w:b/>
          <w:lang w:eastAsia="es-MX"/>
        </w:rPr>
        <w:t>San José, Costa Rica</w:t>
      </w:r>
    </w:p>
    <w:p w14:paraId="6C40317C" w14:textId="77777777" w:rsidR="0090593C" w:rsidRDefault="0090593C" w:rsidP="000D56DE">
      <w:pPr>
        <w:tabs>
          <w:tab w:val="left" w:pos="9270"/>
        </w:tabs>
        <w:spacing w:after="0"/>
        <w:jc w:val="center"/>
        <w:rPr>
          <w:rFonts w:cs="Arial"/>
          <w:b/>
          <w:lang w:eastAsia="es-MX"/>
        </w:rPr>
      </w:pPr>
    </w:p>
    <w:p w14:paraId="75B76146" w14:textId="77777777" w:rsidR="004445EB" w:rsidRPr="006E6390" w:rsidRDefault="004445EB" w:rsidP="000D56DE">
      <w:pPr>
        <w:tabs>
          <w:tab w:val="left" w:pos="9270"/>
        </w:tabs>
        <w:spacing w:after="0"/>
        <w:jc w:val="center"/>
        <w:rPr>
          <w:rFonts w:cs="Arial"/>
          <w:b/>
          <w:lang w:eastAsia="es-MX"/>
        </w:rPr>
      </w:pPr>
    </w:p>
    <w:p w14:paraId="171BA4C1" w14:textId="77777777" w:rsidR="005B390E" w:rsidRPr="006E6390" w:rsidRDefault="005B390E" w:rsidP="00B86698">
      <w:pPr>
        <w:pStyle w:val="Ttulo1"/>
      </w:pPr>
      <w:bookmarkStart w:id="0" w:name="_Toc290903856"/>
      <w:bookmarkStart w:id="1" w:name="_Toc38630766"/>
      <w:r w:rsidRPr="006E6390">
        <w:t>Notas importantes para el inversionista</w:t>
      </w:r>
      <w:bookmarkEnd w:id="0"/>
      <w:bookmarkEnd w:id="1"/>
    </w:p>
    <w:p w14:paraId="1A8C505D" w14:textId="77777777" w:rsidR="005B390E" w:rsidRDefault="005B390E" w:rsidP="00765ADE">
      <w:pPr>
        <w:spacing w:after="0"/>
        <w:rPr>
          <w:rFonts w:cs="Arial"/>
        </w:rPr>
      </w:pPr>
      <w:r w:rsidRPr="006E6390">
        <w:rPr>
          <w:rFonts w:cs="Arial"/>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13F3C7DF" w14:textId="77777777" w:rsidR="00765ADE" w:rsidRPr="006E6390" w:rsidRDefault="00765ADE" w:rsidP="00765ADE">
      <w:pPr>
        <w:spacing w:after="0"/>
        <w:rPr>
          <w:rFonts w:cs="Arial"/>
        </w:rPr>
      </w:pPr>
    </w:p>
    <w:p w14:paraId="0A475F73" w14:textId="77777777" w:rsidR="005B390E" w:rsidRDefault="005B390E" w:rsidP="00765ADE">
      <w:pPr>
        <w:spacing w:after="0"/>
        <w:rPr>
          <w:rFonts w:cs="Arial"/>
        </w:rPr>
      </w:pPr>
      <w:r w:rsidRPr="006E6390">
        <w:rPr>
          <w:rFonts w:cs="Arial"/>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6F258369" w14:textId="77777777" w:rsidR="00765ADE" w:rsidRPr="006E6390" w:rsidRDefault="00765ADE" w:rsidP="00765ADE">
      <w:pPr>
        <w:spacing w:after="0"/>
        <w:rPr>
          <w:rFonts w:cs="Arial"/>
        </w:rPr>
      </w:pPr>
    </w:p>
    <w:p w14:paraId="0D2F3BAC" w14:textId="77777777" w:rsidR="005B390E" w:rsidRDefault="005B390E" w:rsidP="00765ADE">
      <w:pPr>
        <w:spacing w:after="0"/>
        <w:rPr>
          <w:rFonts w:cs="Arial"/>
        </w:rPr>
      </w:pPr>
      <w:r w:rsidRPr="006E6390">
        <w:rPr>
          <w:rFonts w:cs="Arial"/>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6810F7F2" w14:textId="77777777" w:rsidR="00765ADE" w:rsidRPr="006E6390" w:rsidRDefault="00765ADE" w:rsidP="00765ADE">
      <w:pPr>
        <w:spacing w:after="0"/>
        <w:rPr>
          <w:rFonts w:cs="Arial"/>
        </w:rPr>
      </w:pPr>
    </w:p>
    <w:p w14:paraId="6E04DD2C" w14:textId="77777777" w:rsidR="005B390E" w:rsidRPr="006E6390" w:rsidRDefault="005B390E" w:rsidP="00765ADE">
      <w:pPr>
        <w:spacing w:after="0"/>
        <w:rPr>
          <w:rFonts w:cs="Arial"/>
          <w:b/>
          <w:bCs/>
        </w:rPr>
      </w:pPr>
      <w:r w:rsidRPr="006E6390">
        <w:rPr>
          <w:rFonts w:cs="Arial"/>
        </w:rPr>
        <w:t>La Superintendencia General de Valores y quienes intervienen en el proceso de intermediación bursátil, no asumen responsabilidad sobre la situación financiera de la empresa emisora”.</w:t>
      </w:r>
    </w:p>
    <w:p w14:paraId="4BA5CE28" w14:textId="77777777" w:rsidR="005B390E" w:rsidRPr="006E6390" w:rsidRDefault="005B390E" w:rsidP="000D56DE">
      <w:pPr>
        <w:tabs>
          <w:tab w:val="left" w:pos="9270"/>
        </w:tabs>
        <w:rPr>
          <w:lang w:eastAsia="es-MX"/>
        </w:rPr>
      </w:pPr>
      <w:r w:rsidRPr="006E6390">
        <w:rPr>
          <w:lang w:eastAsia="es-MX"/>
        </w:rPr>
        <w:br w:type="page"/>
      </w:r>
    </w:p>
    <w:p w14:paraId="32E2A109" w14:textId="77777777" w:rsidR="005B390E" w:rsidRPr="006E6390" w:rsidRDefault="00A95546" w:rsidP="00A95546">
      <w:pPr>
        <w:spacing w:after="0"/>
        <w:rPr>
          <w:rFonts w:ascii="Helvetica" w:hAnsi="Helvetica" w:cs="Helvetica"/>
          <w:b/>
          <w:sz w:val="28"/>
        </w:rPr>
      </w:pPr>
      <w:r w:rsidRPr="006E6390">
        <w:rPr>
          <w:rFonts w:ascii="Helvetica" w:hAnsi="Helvetica" w:cs="Helvetica"/>
          <w:b/>
          <w:sz w:val="28"/>
        </w:rPr>
        <w:lastRenderedPageBreak/>
        <w:t>Índice</w:t>
      </w:r>
    </w:p>
    <w:p w14:paraId="3B489B34" w14:textId="77777777" w:rsidR="00076A36" w:rsidRPr="006E6390" w:rsidRDefault="00076A36" w:rsidP="000D56DE">
      <w:pPr>
        <w:pStyle w:val="TDC1"/>
        <w:tabs>
          <w:tab w:val="left" w:pos="9270"/>
        </w:tabs>
        <w:rPr>
          <w:rFonts w:ascii="Helvetica" w:hAnsi="Helvetica" w:cs="Helvetica"/>
          <w:noProof w:val="0"/>
        </w:rPr>
      </w:pPr>
    </w:p>
    <w:p w14:paraId="6B76F7EC" w14:textId="77777777" w:rsidR="000A1A94" w:rsidRPr="006E6390" w:rsidRDefault="00BC5999">
      <w:pPr>
        <w:pStyle w:val="TDC1"/>
        <w:rPr>
          <w:rFonts w:asciiTheme="minorHAnsi" w:eastAsiaTheme="minorEastAsia" w:hAnsiTheme="minorHAnsi" w:cstheme="minorBidi"/>
          <w:b w:val="0"/>
          <w:szCs w:val="22"/>
          <w:lang w:val="es-ES" w:eastAsia="es-ES"/>
        </w:rPr>
      </w:pPr>
      <w:r w:rsidRPr="006E6390">
        <w:rPr>
          <w:rFonts w:ascii="Helvetica" w:hAnsi="Helvetica" w:cs="Helvetica"/>
        </w:rPr>
        <w:fldChar w:fldCharType="begin"/>
      </w:r>
      <w:r w:rsidR="005B390E" w:rsidRPr="006E6390">
        <w:rPr>
          <w:rFonts w:ascii="Helvetica" w:hAnsi="Helvetica" w:cs="Helvetica"/>
        </w:rPr>
        <w:instrText xml:space="preserve"> TOC \o "1-3" \h \z \u </w:instrText>
      </w:r>
      <w:r w:rsidRPr="006E6390">
        <w:rPr>
          <w:rFonts w:ascii="Helvetica" w:hAnsi="Helvetica" w:cs="Helvetica"/>
        </w:rPr>
        <w:fldChar w:fldCharType="separate"/>
      </w:r>
      <w:hyperlink w:anchor="_Toc38630766" w:history="1">
        <w:r w:rsidR="000A1A94" w:rsidRPr="006E6390">
          <w:rPr>
            <w:rStyle w:val="Hipervnculo"/>
            <w:color w:val="auto"/>
          </w:rPr>
          <w:t>Notas importantes para el inversionista</w:t>
        </w:r>
        <w:r w:rsidR="000A1A94" w:rsidRPr="006E6390">
          <w:rPr>
            <w:webHidden/>
          </w:rPr>
          <w:tab/>
        </w:r>
        <w:r w:rsidR="000A1A94" w:rsidRPr="006E6390">
          <w:rPr>
            <w:webHidden/>
          </w:rPr>
          <w:fldChar w:fldCharType="begin"/>
        </w:r>
        <w:r w:rsidR="000A1A94" w:rsidRPr="006E6390">
          <w:rPr>
            <w:webHidden/>
          </w:rPr>
          <w:instrText xml:space="preserve"> PAGEREF _Toc38630766 \h </w:instrText>
        </w:r>
        <w:r w:rsidR="000A1A94" w:rsidRPr="006E6390">
          <w:rPr>
            <w:webHidden/>
          </w:rPr>
        </w:r>
        <w:r w:rsidR="000A1A94" w:rsidRPr="006E6390">
          <w:rPr>
            <w:webHidden/>
          </w:rPr>
          <w:fldChar w:fldCharType="separate"/>
        </w:r>
        <w:r w:rsidR="001F1C99">
          <w:rPr>
            <w:webHidden/>
          </w:rPr>
          <w:t>3</w:t>
        </w:r>
        <w:r w:rsidR="000A1A94" w:rsidRPr="006E6390">
          <w:rPr>
            <w:webHidden/>
          </w:rPr>
          <w:fldChar w:fldCharType="end"/>
        </w:r>
      </w:hyperlink>
    </w:p>
    <w:p w14:paraId="4E12175D"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767" w:history="1">
        <w:r w:rsidR="000A1A94" w:rsidRPr="006E6390">
          <w:rPr>
            <w:rStyle w:val="Hipervnculo"/>
            <w:rFonts w:cs="Arial"/>
            <w:color w:val="auto"/>
          </w:rPr>
          <w:t>1. Información sobre las emisiones, la oferta e identificación de los directores, gerentes y asesores involucrados con el proceso de oferta pública</w:t>
        </w:r>
        <w:r w:rsidR="000A1A94" w:rsidRPr="006E6390">
          <w:rPr>
            <w:webHidden/>
          </w:rPr>
          <w:tab/>
        </w:r>
        <w:r w:rsidR="000A1A94" w:rsidRPr="006E6390">
          <w:rPr>
            <w:webHidden/>
          </w:rPr>
          <w:fldChar w:fldCharType="begin"/>
        </w:r>
        <w:r w:rsidR="000A1A94" w:rsidRPr="006E6390">
          <w:rPr>
            <w:webHidden/>
          </w:rPr>
          <w:instrText xml:space="preserve"> PAGEREF _Toc38630767 \h </w:instrText>
        </w:r>
        <w:r w:rsidR="000A1A94" w:rsidRPr="006E6390">
          <w:rPr>
            <w:webHidden/>
          </w:rPr>
        </w:r>
        <w:r w:rsidR="000A1A94" w:rsidRPr="006E6390">
          <w:rPr>
            <w:webHidden/>
          </w:rPr>
          <w:fldChar w:fldCharType="separate"/>
        </w:r>
        <w:r w:rsidR="001F1C99">
          <w:rPr>
            <w:webHidden/>
          </w:rPr>
          <w:t>7</w:t>
        </w:r>
        <w:r w:rsidR="000A1A94" w:rsidRPr="006E6390">
          <w:rPr>
            <w:webHidden/>
          </w:rPr>
          <w:fldChar w:fldCharType="end"/>
        </w:r>
      </w:hyperlink>
    </w:p>
    <w:p w14:paraId="271723BA"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68" w:history="1">
        <w:r w:rsidR="000A1A94" w:rsidRPr="006E6390">
          <w:rPr>
            <w:rStyle w:val="Hipervnculo"/>
            <w:rFonts w:cs="Arial"/>
            <w:noProof/>
            <w:color w:val="auto"/>
          </w:rPr>
          <w:t>1.1. Información sobre la emisión y la oferta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_Toc38630768 \h </w:instrText>
        </w:r>
        <w:r w:rsidR="000A1A94" w:rsidRPr="006E6390">
          <w:rPr>
            <w:noProof/>
            <w:webHidden/>
          </w:rPr>
        </w:r>
        <w:r w:rsidR="000A1A94" w:rsidRPr="006E6390">
          <w:rPr>
            <w:noProof/>
            <w:webHidden/>
          </w:rPr>
          <w:fldChar w:fldCharType="separate"/>
        </w:r>
        <w:r w:rsidR="001F1C99">
          <w:rPr>
            <w:noProof/>
            <w:webHidden/>
          </w:rPr>
          <w:t>7</w:t>
        </w:r>
        <w:r w:rsidR="000A1A94" w:rsidRPr="006E6390">
          <w:rPr>
            <w:noProof/>
            <w:webHidden/>
          </w:rPr>
          <w:fldChar w:fldCharType="end"/>
        </w:r>
      </w:hyperlink>
    </w:p>
    <w:p w14:paraId="3DC2615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69" w:history="1">
        <w:r w:rsidR="000A1A94" w:rsidRPr="006E6390">
          <w:rPr>
            <w:rStyle w:val="Hipervnculo"/>
            <w:rFonts w:cs="Arial"/>
            <w:noProof/>
            <w:color w:val="auto"/>
          </w:rPr>
          <w:t>1.1.1. Programa de Emisión de Bonos Estandarizados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_Toc38630769 \h </w:instrText>
        </w:r>
        <w:r w:rsidR="000A1A94" w:rsidRPr="006E6390">
          <w:rPr>
            <w:noProof/>
            <w:webHidden/>
          </w:rPr>
        </w:r>
        <w:r w:rsidR="000A1A94" w:rsidRPr="006E6390">
          <w:rPr>
            <w:noProof/>
            <w:webHidden/>
          </w:rPr>
          <w:fldChar w:fldCharType="separate"/>
        </w:r>
        <w:r w:rsidR="001F1C99">
          <w:rPr>
            <w:noProof/>
            <w:webHidden/>
          </w:rPr>
          <w:t>7</w:t>
        </w:r>
        <w:r w:rsidR="000A1A94" w:rsidRPr="006E6390">
          <w:rPr>
            <w:noProof/>
            <w:webHidden/>
          </w:rPr>
          <w:fldChar w:fldCharType="end"/>
        </w:r>
      </w:hyperlink>
    </w:p>
    <w:p w14:paraId="651D77CF"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0" w:history="1">
        <w:r w:rsidR="000A1A94" w:rsidRPr="006E6390">
          <w:rPr>
            <w:rStyle w:val="Hipervnculo"/>
            <w:rFonts w:cs="Arial"/>
            <w:noProof/>
            <w:color w:val="auto"/>
          </w:rPr>
          <w:t>1.1.2. Forma de Colocación de las emisiones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_Toc38630770 \h </w:instrText>
        </w:r>
        <w:r w:rsidR="000A1A94" w:rsidRPr="006E6390">
          <w:rPr>
            <w:noProof/>
            <w:webHidden/>
          </w:rPr>
        </w:r>
        <w:r w:rsidR="000A1A94" w:rsidRPr="006E6390">
          <w:rPr>
            <w:noProof/>
            <w:webHidden/>
          </w:rPr>
          <w:fldChar w:fldCharType="separate"/>
        </w:r>
        <w:r w:rsidR="001F1C99">
          <w:rPr>
            <w:noProof/>
            <w:webHidden/>
          </w:rPr>
          <w:t>16</w:t>
        </w:r>
        <w:r w:rsidR="000A1A94" w:rsidRPr="006E6390">
          <w:rPr>
            <w:noProof/>
            <w:webHidden/>
          </w:rPr>
          <w:fldChar w:fldCharType="end"/>
        </w:r>
      </w:hyperlink>
    </w:p>
    <w:p w14:paraId="368A304B"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1" w:history="1">
        <w:r w:rsidR="000A1A94" w:rsidRPr="006E6390">
          <w:rPr>
            <w:rStyle w:val="Hipervnculo"/>
            <w:rFonts w:cs="Arial"/>
            <w:noProof/>
            <w:color w:val="auto"/>
          </w:rPr>
          <w:t>1.1.3. Garantías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_Toc38630771 \h </w:instrText>
        </w:r>
        <w:r w:rsidR="000A1A94" w:rsidRPr="006E6390">
          <w:rPr>
            <w:noProof/>
            <w:webHidden/>
          </w:rPr>
        </w:r>
        <w:r w:rsidR="000A1A94" w:rsidRPr="006E6390">
          <w:rPr>
            <w:noProof/>
            <w:webHidden/>
          </w:rPr>
          <w:fldChar w:fldCharType="separate"/>
        </w:r>
        <w:r w:rsidR="001F1C99">
          <w:rPr>
            <w:noProof/>
            <w:webHidden/>
          </w:rPr>
          <w:t>17</w:t>
        </w:r>
        <w:r w:rsidR="000A1A94" w:rsidRPr="006E6390">
          <w:rPr>
            <w:noProof/>
            <w:webHidden/>
          </w:rPr>
          <w:fldChar w:fldCharType="end"/>
        </w:r>
      </w:hyperlink>
    </w:p>
    <w:p w14:paraId="6E6B7CE4"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2" w:history="1">
        <w:r w:rsidR="000A1A94" w:rsidRPr="006E6390">
          <w:rPr>
            <w:rStyle w:val="Hipervnculo"/>
            <w:rFonts w:cs="Arial"/>
            <w:noProof/>
            <w:color w:val="auto"/>
          </w:rPr>
          <w:t>1.1.4. Prelación de Pagos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_Toc38630772 \h </w:instrText>
        </w:r>
        <w:r w:rsidR="000A1A94" w:rsidRPr="006E6390">
          <w:rPr>
            <w:noProof/>
            <w:webHidden/>
          </w:rPr>
        </w:r>
        <w:r w:rsidR="000A1A94" w:rsidRPr="006E6390">
          <w:rPr>
            <w:noProof/>
            <w:webHidden/>
          </w:rPr>
          <w:fldChar w:fldCharType="separate"/>
        </w:r>
        <w:r w:rsidR="001F1C99">
          <w:rPr>
            <w:noProof/>
            <w:webHidden/>
          </w:rPr>
          <w:t>17</w:t>
        </w:r>
        <w:r w:rsidR="000A1A94" w:rsidRPr="006E6390">
          <w:rPr>
            <w:noProof/>
            <w:webHidden/>
          </w:rPr>
          <w:fldChar w:fldCharType="end"/>
        </w:r>
      </w:hyperlink>
    </w:p>
    <w:p w14:paraId="2CA33A4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3" w:history="1">
        <w:r w:rsidR="000A1A94" w:rsidRPr="006E6390">
          <w:rPr>
            <w:rStyle w:val="Hipervnculo"/>
            <w:rFonts w:cs="Arial"/>
            <w:noProof/>
            <w:color w:val="auto"/>
          </w:rPr>
          <w:t>1.1.5. Calificación de riesgo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_Toc38630773 \h </w:instrText>
        </w:r>
        <w:r w:rsidR="000A1A94" w:rsidRPr="006E6390">
          <w:rPr>
            <w:noProof/>
            <w:webHidden/>
          </w:rPr>
        </w:r>
        <w:r w:rsidR="000A1A94" w:rsidRPr="006E6390">
          <w:rPr>
            <w:noProof/>
            <w:webHidden/>
          </w:rPr>
          <w:fldChar w:fldCharType="separate"/>
        </w:r>
        <w:r w:rsidR="001F1C99">
          <w:rPr>
            <w:noProof/>
            <w:webHidden/>
          </w:rPr>
          <w:t>17</w:t>
        </w:r>
        <w:r w:rsidR="000A1A94" w:rsidRPr="006E6390">
          <w:rPr>
            <w:noProof/>
            <w:webHidden/>
          </w:rPr>
          <w:fldChar w:fldCharType="end"/>
        </w:r>
      </w:hyperlink>
    </w:p>
    <w:p w14:paraId="0CFE9A2C"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4" w:history="1">
        <w:r w:rsidR="000A1A94" w:rsidRPr="006E6390">
          <w:rPr>
            <w:rStyle w:val="Hipervnculo"/>
            <w:rFonts w:cs="Arial"/>
            <w:noProof/>
            <w:color w:val="auto"/>
          </w:rPr>
          <w:t>1.1.6. Cláusula de redención anticipada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_Toc38630774 \h </w:instrText>
        </w:r>
        <w:r w:rsidR="000A1A94" w:rsidRPr="006E6390">
          <w:rPr>
            <w:noProof/>
            <w:webHidden/>
          </w:rPr>
        </w:r>
        <w:r w:rsidR="000A1A94" w:rsidRPr="006E6390">
          <w:rPr>
            <w:noProof/>
            <w:webHidden/>
          </w:rPr>
          <w:fldChar w:fldCharType="separate"/>
        </w:r>
        <w:r w:rsidR="001F1C99">
          <w:rPr>
            <w:noProof/>
            <w:webHidden/>
          </w:rPr>
          <w:t>18</w:t>
        </w:r>
        <w:r w:rsidR="000A1A94" w:rsidRPr="006E6390">
          <w:rPr>
            <w:noProof/>
            <w:webHidden/>
          </w:rPr>
          <w:fldChar w:fldCharType="end"/>
        </w:r>
      </w:hyperlink>
    </w:p>
    <w:p w14:paraId="1E6D3333"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5" w:history="1">
        <w:r w:rsidR="000A1A94" w:rsidRPr="006E6390">
          <w:rPr>
            <w:rStyle w:val="Hipervnculo"/>
            <w:rFonts w:cs="Arial"/>
            <w:noProof/>
            <w:color w:val="auto"/>
          </w:rPr>
          <w:t>1.1.7. Razones de la oferta y uso de los recursos provenientes de la captación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_Toc38630775 \h </w:instrText>
        </w:r>
        <w:r w:rsidR="000A1A94" w:rsidRPr="006E6390">
          <w:rPr>
            <w:noProof/>
            <w:webHidden/>
          </w:rPr>
        </w:r>
        <w:r w:rsidR="000A1A94" w:rsidRPr="006E6390">
          <w:rPr>
            <w:noProof/>
            <w:webHidden/>
          </w:rPr>
          <w:fldChar w:fldCharType="separate"/>
        </w:r>
        <w:r w:rsidR="001F1C99">
          <w:rPr>
            <w:noProof/>
            <w:webHidden/>
          </w:rPr>
          <w:t>19</w:t>
        </w:r>
        <w:r w:rsidR="000A1A94" w:rsidRPr="006E6390">
          <w:rPr>
            <w:noProof/>
            <w:webHidden/>
          </w:rPr>
          <w:fldChar w:fldCharType="end"/>
        </w:r>
      </w:hyperlink>
    </w:p>
    <w:p w14:paraId="5E51DB4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6" w:history="1">
        <w:r w:rsidR="000A1A94" w:rsidRPr="006E6390">
          <w:rPr>
            <w:rStyle w:val="Hipervnculo"/>
            <w:rFonts w:cs="Arial"/>
            <w:noProof/>
            <w:color w:val="auto"/>
          </w:rPr>
          <w:t>1.1.8. Costos de la emisión y su colocación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_Toc38630776 \h </w:instrText>
        </w:r>
        <w:r w:rsidR="000A1A94" w:rsidRPr="006E6390">
          <w:rPr>
            <w:noProof/>
            <w:webHidden/>
          </w:rPr>
        </w:r>
        <w:r w:rsidR="000A1A94" w:rsidRPr="006E6390">
          <w:rPr>
            <w:noProof/>
            <w:webHidden/>
          </w:rPr>
          <w:fldChar w:fldCharType="separate"/>
        </w:r>
        <w:r w:rsidR="001F1C99">
          <w:rPr>
            <w:noProof/>
            <w:webHidden/>
          </w:rPr>
          <w:t>21</w:t>
        </w:r>
        <w:r w:rsidR="000A1A94" w:rsidRPr="006E6390">
          <w:rPr>
            <w:noProof/>
            <w:webHidden/>
          </w:rPr>
          <w:fldChar w:fldCharType="end"/>
        </w:r>
      </w:hyperlink>
    </w:p>
    <w:p w14:paraId="0555418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7" w:history="1">
        <w:r w:rsidR="000A1A94" w:rsidRPr="006E6390">
          <w:rPr>
            <w:rStyle w:val="Hipervnculo"/>
            <w:rFonts w:cs="Arial"/>
            <w:noProof/>
            <w:color w:val="auto"/>
          </w:rPr>
          <w:t>1.1.9. Forma o mecanismo de representación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_Toc38630777 \h </w:instrText>
        </w:r>
        <w:r w:rsidR="000A1A94" w:rsidRPr="006E6390">
          <w:rPr>
            <w:noProof/>
            <w:webHidden/>
          </w:rPr>
        </w:r>
        <w:r w:rsidR="000A1A94" w:rsidRPr="006E6390">
          <w:rPr>
            <w:noProof/>
            <w:webHidden/>
          </w:rPr>
          <w:fldChar w:fldCharType="separate"/>
        </w:r>
        <w:r w:rsidR="001F1C99">
          <w:rPr>
            <w:noProof/>
            <w:webHidden/>
          </w:rPr>
          <w:t>21</w:t>
        </w:r>
        <w:r w:rsidR="000A1A94" w:rsidRPr="006E6390">
          <w:rPr>
            <w:noProof/>
            <w:webHidden/>
          </w:rPr>
          <w:fldChar w:fldCharType="end"/>
        </w:r>
      </w:hyperlink>
    </w:p>
    <w:p w14:paraId="32BEB32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8" w:history="1">
        <w:r w:rsidR="000A1A94" w:rsidRPr="006E6390">
          <w:rPr>
            <w:rStyle w:val="Hipervnculo"/>
            <w:rFonts w:cs="Arial"/>
            <w:noProof/>
            <w:color w:val="auto"/>
          </w:rPr>
          <w:t>1.1.10. Agente de Pago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_Toc38630778 \h </w:instrText>
        </w:r>
        <w:r w:rsidR="000A1A94" w:rsidRPr="006E6390">
          <w:rPr>
            <w:noProof/>
            <w:webHidden/>
          </w:rPr>
        </w:r>
        <w:r w:rsidR="000A1A94" w:rsidRPr="006E6390">
          <w:rPr>
            <w:noProof/>
            <w:webHidden/>
          </w:rPr>
          <w:fldChar w:fldCharType="separate"/>
        </w:r>
        <w:r w:rsidR="001F1C99">
          <w:rPr>
            <w:noProof/>
            <w:webHidden/>
          </w:rPr>
          <w:t>22</w:t>
        </w:r>
        <w:r w:rsidR="000A1A94" w:rsidRPr="006E6390">
          <w:rPr>
            <w:noProof/>
            <w:webHidden/>
          </w:rPr>
          <w:fldChar w:fldCharType="end"/>
        </w:r>
      </w:hyperlink>
    </w:p>
    <w:p w14:paraId="58EAB47B"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79" w:history="1">
        <w:r w:rsidR="000A1A94" w:rsidRPr="006E6390">
          <w:rPr>
            <w:rStyle w:val="Hipervnculo"/>
            <w:rFonts w:cs="Arial"/>
            <w:noProof/>
            <w:color w:val="auto"/>
          </w:rPr>
          <w:t>1.1.11. Tratamiento tributario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_Toc38630779 \h </w:instrText>
        </w:r>
        <w:r w:rsidR="000A1A94" w:rsidRPr="006E6390">
          <w:rPr>
            <w:noProof/>
            <w:webHidden/>
          </w:rPr>
        </w:r>
        <w:r w:rsidR="000A1A94" w:rsidRPr="006E6390">
          <w:rPr>
            <w:noProof/>
            <w:webHidden/>
          </w:rPr>
          <w:fldChar w:fldCharType="separate"/>
        </w:r>
        <w:r w:rsidR="001F1C99">
          <w:rPr>
            <w:noProof/>
            <w:webHidden/>
          </w:rPr>
          <w:t>22</w:t>
        </w:r>
        <w:r w:rsidR="000A1A94" w:rsidRPr="006E6390">
          <w:rPr>
            <w:noProof/>
            <w:webHidden/>
          </w:rPr>
          <w:fldChar w:fldCharType="end"/>
        </w:r>
      </w:hyperlink>
    </w:p>
    <w:p w14:paraId="3F1AB51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0" w:history="1">
        <w:r w:rsidR="000A1A94" w:rsidRPr="006E6390">
          <w:rPr>
            <w:rStyle w:val="Hipervnculo"/>
            <w:rFonts w:cs="Arial"/>
            <w:noProof/>
            <w:color w:val="auto"/>
          </w:rPr>
          <w:t>1.1.12. Emisiones inscritas en mercados internacionales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_Toc38630780 \h </w:instrText>
        </w:r>
        <w:r w:rsidR="000A1A94" w:rsidRPr="006E6390">
          <w:rPr>
            <w:noProof/>
            <w:webHidden/>
          </w:rPr>
        </w:r>
        <w:r w:rsidR="000A1A94" w:rsidRPr="006E6390">
          <w:rPr>
            <w:noProof/>
            <w:webHidden/>
          </w:rPr>
          <w:fldChar w:fldCharType="separate"/>
        </w:r>
        <w:r w:rsidR="001F1C99">
          <w:rPr>
            <w:noProof/>
            <w:webHidden/>
          </w:rPr>
          <w:t>22</w:t>
        </w:r>
        <w:r w:rsidR="000A1A94" w:rsidRPr="006E6390">
          <w:rPr>
            <w:noProof/>
            <w:webHidden/>
          </w:rPr>
          <w:fldChar w:fldCharType="end"/>
        </w:r>
      </w:hyperlink>
    </w:p>
    <w:p w14:paraId="7EA1139B"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81" w:history="1">
        <w:r w:rsidR="000A1A94" w:rsidRPr="006E6390">
          <w:rPr>
            <w:rStyle w:val="Hipervnculo"/>
            <w:rFonts w:cs="Arial"/>
            <w:noProof/>
            <w:color w:val="auto"/>
          </w:rPr>
          <w:t>1.2. Identificación de los directores, gerentes y asesores involucrados con el proceso de oferta pública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_Toc38630781 \h </w:instrText>
        </w:r>
        <w:r w:rsidR="000A1A94" w:rsidRPr="006E6390">
          <w:rPr>
            <w:noProof/>
            <w:webHidden/>
          </w:rPr>
        </w:r>
        <w:r w:rsidR="000A1A94" w:rsidRPr="006E6390">
          <w:rPr>
            <w:noProof/>
            <w:webHidden/>
          </w:rPr>
          <w:fldChar w:fldCharType="separate"/>
        </w:r>
        <w:r w:rsidR="001F1C99">
          <w:rPr>
            <w:noProof/>
            <w:webHidden/>
          </w:rPr>
          <w:t>23</w:t>
        </w:r>
        <w:r w:rsidR="000A1A94" w:rsidRPr="006E6390">
          <w:rPr>
            <w:noProof/>
            <w:webHidden/>
          </w:rPr>
          <w:fldChar w:fldCharType="end"/>
        </w:r>
      </w:hyperlink>
    </w:p>
    <w:p w14:paraId="047A17A0"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782" w:history="1">
        <w:r w:rsidR="000A1A94" w:rsidRPr="006E6390">
          <w:rPr>
            <w:rStyle w:val="Hipervnculo"/>
            <w:rFonts w:cs="Arial"/>
            <w:color w:val="auto"/>
          </w:rPr>
          <w:t>2. Información esencial</w:t>
        </w:r>
        <w:r w:rsidR="000A1A94" w:rsidRPr="006E6390">
          <w:rPr>
            <w:webHidden/>
          </w:rPr>
          <w:tab/>
        </w:r>
        <w:r w:rsidR="000A1A94" w:rsidRPr="006E6390">
          <w:rPr>
            <w:webHidden/>
          </w:rPr>
          <w:fldChar w:fldCharType="begin"/>
        </w:r>
        <w:r w:rsidR="000A1A94" w:rsidRPr="006E6390">
          <w:rPr>
            <w:webHidden/>
          </w:rPr>
          <w:instrText xml:space="preserve"> PAGEREF _Toc38630782 \h </w:instrText>
        </w:r>
        <w:r w:rsidR="000A1A94" w:rsidRPr="006E6390">
          <w:rPr>
            <w:webHidden/>
          </w:rPr>
        </w:r>
        <w:r w:rsidR="000A1A94" w:rsidRPr="006E6390">
          <w:rPr>
            <w:webHidden/>
          </w:rPr>
          <w:fldChar w:fldCharType="separate"/>
        </w:r>
        <w:r w:rsidR="001F1C99">
          <w:rPr>
            <w:webHidden/>
          </w:rPr>
          <w:t>24</w:t>
        </w:r>
        <w:r w:rsidR="000A1A94" w:rsidRPr="006E6390">
          <w:rPr>
            <w:webHidden/>
          </w:rPr>
          <w:fldChar w:fldCharType="end"/>
        </w:r>
      </w:hyperlink>
    </w:p>
    <w:p w14:paraId="5AE90168"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83" w:history="1">
        <w:r w:rsidR="000A1A94" w:rsidRPr="006E6390">
          <w:rPr>
            <w:rStyle w:val="Hipervnculo"/>
            <w:rFonts w:cs="Arial"/>
            <w:noProof/>
            <w:color w:val="auto"/>
          </w:rPr>
          <w:t>2.1. Factores de riesgo que afectan a la emisión y a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_Toc38630783 \h </w:instrText>
        </w:r>
        <w:r w:rsidR="000A1A94" w:rsidRPr="006E6390">
          <w:rPr>
            <w:noProof/>
            <w:webHidden/>
          </w:rPr>
        </w:r>
        <w:r w:rsidR="000A1A94" w:rsidRPr="006E6390">
          <w:rPr>
            <w:noProof/>
            <w:webHidden/>
          </w:rPr>
          <w:fldChar w:fldCharType="separate"/>
        </w:r>
        <w:r w:rsidR="001F1C99">
          <w:rPr>
            <w:noProof/>
            <w:webHidden/>
          </w:rPr>
          <w:t>24</w:t>
        </w:r>
        <w:r w:rsidR="000A1A94" w:rsidRPr="006E6390">
          <w:rPr>
            <w:noProof/>
            <w:webHidden/>
          </w:rPr>
          <w:fldChar w:fldCharType="end"/>
        </w:r>
      </w:hyperlink>
    </w:p>
    <w:p w14:paraId="37E7DA0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4" w:history="1">
        <w:r w:rsidR="000A1A94" w:rsidRPr="006E6390">
          <w:rPr>
            <w:rStyle w:val="Hipervnculo"/>
            <w:rFonts w:cs="Arial"/>
            <w:noProof/>
            <w:color w:val="auto"/>
          </w:rPr>
          <w:t>2.1.1. Riesgos de la oferta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_Toc38630784 \h </w:instrText>
        </w:r>
        <w:r w:rsidR="000A1A94" w:rsidRPr="006E6390">
          <w:rPr>
            <w:noProof/>
            <w:webHidden/>
          </w:rPr>
        </w:r>
        <w:r w:rsidR="000A1A94" w:rsidRPr="006E6390">
          <w:rPr>
            <w:noProof/>
            <w:webHidden/>
          </w:rPr>
          <w:fldChar w:fldCharType="separate"/>
        </w:r>
        <w:r w:rsidR="001F1C99">
          <w:rPr>
            <w:noProof/>
            <w:webHidden/>
          </w:rPr>
          <w:t>24</w:t>
        </w:r>
        <w:r w:rsidR="000A1A94" w:rsidRPr="006E6390">
          <w:rPr>
            <w:noProof/>
            <w:webHidden/>
          </w:rPr>
          <w:fldChar w:fldCharType="end"/>
        </w:r>
      </w:hyperlink>
    </w:p>
    <w:p w14:paraId="54A44A4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5" w:history="1">
        <w:r w:rsidR="000A1A94" w:rsidRPr="006E6390">
          <w:rPr>
            <w:rStyle w:val="Hipervnculo"/>
            <w:rFonts w:cs="Arial"/>
            <w:noProof/>
            <w:color w:val="auto"/>
          </w:rPr>
          <w:t>2.1.2. Riesgos propios de la Refinadora Costarricense de Petróleo 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_Toc38630785 \h </w:instrText>
        </w:r>
        <w:r w:rsidR="000A1A94" w:rsidRPr="006E6390">
          <w:rPr>
            <w:noProof/>
            <w:webHidden/>
          </w:rPr>
        </w:r>
        <w:r w:rsidR="000A1A94" w:rsidRPr="006E6390">
          <w:rPr>
            <w:noProof/>
            <w:webHidden/>
          </w:rPr>
          <w:fldChar w:fldCharType="separate"/>
        </w:r>
        <w:r w:rsidR="001F1C99">
          <w:rPr>
            <w:noProof/>
            <w:webHidden/>
          </w:rPr>
          <w:t>26</w:t>
        </w:r>
        <w:r w:rsidR="000A1A94" w:rsidRPr="006E6390">
          <w:rPr>
            <w:noProof/>
            <w:webHidden/>
          </w:rPr>
          <w:fldChar w:fldCharType="end"/>
        </w:r>
      </w:hyperlink>
    </w:p>
    <w:p w14:paraId="3DC2A325"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6" w:history="1">
        <w:r w:rsidR="000A1A94" w:rsidRPr="006E6390">
          <w:rPr>
            <w:rStyle w:val="Hipervnculo"/>
            <w:rFonts w:cs="Arial"/>
            <w:noProof/>
            <w:color w:val="auto"/>
            <w:lang w:eastAsia="es-MX"/>
          </w:rPr>
          <w:t>2.1.3. Riesgos de la industria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_Toc38630786 \h </w:instrText>
        </w:r>
        <w:r w:rsidR="000A1A94" w:rsidRPr="006E6390">
          <w:rPr>
            <w:noProof/>
            <w:webHidden/>
          </w:rPr>
        </w:r>
        <w:r w:rsidR="000A1A94" w:rsidRPr="006E6390">
          <w:rPr>
            <w:noProof/>
            <w:webHidden/>
          </w:rPr>
          <w:fldChar w:fldCharType="separate"/>
        </w:r>
        <w:r w:rsidR="001F1C99">
          <w:rPr>
            <w:noProof/>
            <w:webHidden/>
          </w:rPr>
          <w:t>32</w:t>
        </w:r>
        <w:r w:rsidR="000A1A94" w:rsidRPr="006E6390">
          <w:rPr>
            <w:noProof/>
            <w:webHidden/>
          </w:rPr>
          <w:fldChar w:fldCharType="end"/>
        </w:r>
      </w:hyperlink>
    </w:p>
    <w:p w14:paraId="6EF98700"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7" w:history="1">
        <w:r w:rsidR="000A1A94" w:rsidRPr="006E6390">
          <w:rPr>
            <w:rStyle w:val="Hipervnculo"/>
            <w:rFonts w:cs="Arial"/>
            <w:noProof/>
            <w:color w:val="auto"/>
          </w:rPr>
          <w:t>2.1.4. Riesgos del entorno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_Toc38630787 \h </w:instrText>
        </w:r>
        <w:r w:rsidR="000A1A94" w:rsidRPr="006E6390">
          <w:rPr>
            <w:noProof/>
            <w:webHidden/>
          </w:rPr>
        </w:r>
        <w:r w:rsidR="000A1A94" w:rsidRPr="006E6390">
          <w:rPr>
            <w:noProof/>
            <w:webHidden/>
          </w:rPr>
          <w:fldChar w:fldCharType="separate"/>
        </w:r>
        <w:r w:rsidR="001F1C99">
          <w:rPr>
            <w:noProof/>
            <w:webHidden/>
          </w:rPr>
          <w:t>33</w:t>
        </w:r>
        <w:r w:rsidR="000A1A94" w:rsidRPr="006E6390">
          <w:rPr>
            <w:noProof/>
            <w:webHidden/>
          </w:rPr>
          <w:fldChar w:fldCharType="end"/>
        </w:r>
      </w:hyperlink>
    </w:p>
    <w:p w14:paraId="75BCEC8E"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88" w:history="1">
        <w:r w:rsidR="000A1A94" w:rsidRPr="006E6390">
          <w:rPr>
            <w:rStyle w:val="Hipervnculo"/>
            <w:rFonts w:cs="Arial"/>
            <w:noProof/>
            <w:color w:val="auto"/>
          </w:rPr>
          <w:t>2.1.5. Administración de riesgos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_Toc38630788 \h </w:instrText>
        </w:r>
        <w:r w:rsidR="000A1A94" w:rsidRPr="006E6390">
          <w:rPr>
            <w:noProof/>
            <w:webHidden/>
          </w:rPr>
        </w:r>
        <w:r w:rsidR="000A1A94" w:rsidRPr="006E6390">
          <w:rPr>
            <w:noProof/>
            <w:webHidden/>
          </w:rPr>
          <w:fldChar w:fldCharType="separate"/>
        </w:r>
        <w:r w:rsidR="001F1C99">
          <w:rPr>
            <w:noProof/>
            <w:webHidden/>
          </w:rPr>
          <w:t>35</w:t>
        </w:r>
        <w:r w:rsidR="000A1A94" w:rsidRPr="006E6390">
          <w:rPr>
            <w:noProof/>
            <w:webHidden/>
          </w:rPr>
          <w:fldChar w:fldCharType="end"/>
        </w:r>
      </w:hyperlink>
    </w:p>
    <w:p w14:paraId="6BCBF09B"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89" w:history="1">
        <w:r w:rsidR="000A1A94" w:rsidRPr="006E6390">
          <w:rPr>
            <w:rStyle w:val="Hipervnculo"/>
            <w:rFonts w:cs="Arial"/>
            <w:noProof/>
            <w:color w:val="auto"/>
          </w:rPr>
          <w:t>2.2. Estados Financieros Auditados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_Toc38630789 \h </w:instrText>
        </w:r>
        <w:r w:rsidR="000A1A94" w:rsidRPr="006E6390">
          <w:rPr>
            <w:noProof/>
            <w:webHidden/>
          </w:rPr>
        </w:r>
        <w:r w:rsidR="000A1A94" w:rsidRPr="006E6390">
          <w:rPr>
            <w:noProof/>
            <w:webHidden/>
          </w:rPr>
          <w:fldChar w:fldCharType="separate"/>
        </w:r>
        <w:r w:rsidR="001F1C99">
          <w:rPr>
            <w:noProof/>
            <w:webHidden/>
          </w:rPr>
          <w:t>37</w:t>
        </w:r>
        <w:r w:rsidR="000A1A94" w:rsidRPr="006E6390">
          <w:rPr>
            <w:noProof/>
            <w:webHidden/>
          </w:rPr>
          <w:fldChar w:fldCharType="end"/>
        </w:r>
      </w:hyperlink>
    </w:p>
    <w:p w14:paraId="09DA4F3E"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90" w:history="1">
        <w:r w:rsidR="000A1A94" w:rsidRPr="006E6390">
          <w:rPr>
            <w:rStyle w:val="Hipervnculo"/>
            <w:rFonts w:cs="Arial"/>
            <w:noProof/>
            <w:color w:val="auto"/>
          </w:rPr>
          <w:t>2.3. Análisis de indicadores financieros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_Toc38630790 \h </w:instrText>
        </w:r>
        <w:r w:rsidR="000A1A94" w:rsidRPr="006E6390">
          <w:rPr>
            <w:noProof/>
            <w:webHidden/>
          </w:rPr>
        </w:r>
        <w:r w:rsidR="000A1A94" w:rsidRPr="006E6390">
          <w:rPr>
            <w:noProof/>
            <w:webHidden/>
          </w:rPr>
          <w:fldChar w:fldCharType="separate"/>
        </w:r>
        <w:r w:rsidR="001F1C99">
          <w:rPr>
            <w:noProof/>
            <w:webHidden/>
          </w:rPr>
          <w:t>37</w:t>
        </w:r>
        <w:r w:rsidR="000A1A94" w:rsidRPr="006E6390">
          <w:rPr>
            <w:noProof/>
            <w:webHidden/>
          </w:rPr>
          <w:fldChar w:fldCharType="end"/>
        </w:r>
      </w:hyperlink>
    </w:p>
    <w:p w14:paraId="171EA46A"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1" w:history="1">
        <w:r w:rsidR="000A1A94" w:rsidRPr="006E6390">
          <w:rPr>
            <w:rStyle w:val="Hipervnculo"/>
            <w:rFonts w:cs="Arial"/>
            <w:noProof/>
            <w:color w:val="auto"/>
          </w:rPr>
          <w:t>2.3.1. Índices de liquidez</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_Toc38630791 \h </w:instrText>
        </w:r>
        <w:r w:rsidR="000A1A94" w:rsidRPr="006E6390">
          <w:rPr>
            <w:noProof/>
            <w:webHidden/>
          </w:rPr>
        </w:r>
        <w:r w:rsidR="000A1A94" w:rsidRPr="006E6390">
          <w:rPr>
            <w:noProof/>
            <w:webHidden/>
          </w:rPr>
          <w:fldChar w:fldCharType="separate"/>
        </w:r>
        <w:r w:rsidR="001F1C99">
          <w:rPr>
            <w:noProof/>
            <w:webHidden/>
          </w:rPr>
          <w:t>37</w:t>
        </w:r>
        <w:r w:rsidR="000A1A94" w:rsidRPr="006E6390">
          <w:rPr>
            <w:noProof/>
            <w:webHidden/>
          </w:rPr>
          <w:fldChar w:fldCharType="end"/>
        </w:r>
      </w:hyperlink>
    </w:p>
    <w:p w14:paraId="0D963467"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2" w:history="1">
        <w:r w:rsidR="000A1A94" w:rsidRPr="006E6390">
          <w:rPr>
            <w:rStyle w:val="Hipervnculo"/>
            <w:rFonts w:cs="Arial"/>
            <w:noProof/>
            <w:color w:val="auto"/>
            <w:lang w:eastAsia="es-MX"/>
          </w:rPr>
          <w:t>2.3.2. Índices de rentabilidad</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_Toc38630792 \h </w:instrText>
        </w:r>
        <w:r w:rsidR="000A1A94" w:rsidRPr="006E6390">
          <w:rPr>
            <w:noProof/>
            <w:webHidden/>
          </w:rPr>
        </w:r>
        <w:r w:rsidR="000A1A94" w:rsidRPr="006E6390">
          <w:rPr>
            <w:noProof/>
            <w:webHidden/>
          </w:rPr>
          <w:fldChar w:fldCharType="separate"/>
        </w:r>
        <w:r w:rsidR="001F1C99">
          <w:rPr>
            <w:noProof/>
            <w:webHidden/>
          </w:rPr>
          <w:t>39</w:t>
        </w:r>
        <w:r w:rsidR="000A1A94" w:rsidRPr="006E6390">
          <w:rPr>
            <w:noProof/>
            <w:webHidden/>
          </w:rPr>
          <w:fldChar w:fldCharType="end"/>
        </w:r>
      </w:hyperlink>
    </w:p>
    <w:p w14:paraId="5665083E"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3" w:history="1">
        <w:r w:rsidR="000A1A94" w:rsidRPr="006E6390">
          <w:rPr>
            <w:rStyle w:val="Hipervnculo"/>
            <w:rFonts w:cs="Arial"/>
            <w:noProof/>
            <w:color w:val="auto"/>
          </w:rPr>
          <w:t>2.3.3. Índices de actividad</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_Toc38630793 \h </w:instrText>
        </w:r>
        <w:r w:rsidR="000A1A94" w:rsidRPr="006E6390">
          <w:rPr>
            <w:noProof/>
            <w:webHidden/>
          </w:rPr>
        </w:r>
        <w:r w:rsidR="000A1A94" w:rsidRPr="006E6390">
          <w:rPr>
            <w:noProof/>
            <w:webHidden/>
          </w:rPr>
          <w:fldChar w:fldCharType="separate"/>
        </w:r>
        <w:r w:rsidR="001F1C99">
          <w:rPr>
            <w:noProof/>
            <w:webHidden/>
          </w:rPr>
          <w:t>43</w:t>
        </w:r>
        <w:r w:rsidR="000A1A94" w:rsidRPr="006E6390">
          <w:rPr>
            <w:noProof/>
            <w:webHidden/>
          </w:rPr>
          <w:fldChar w:fldCharType="end"/>
        </w:r>
      </w:hyperlink>
    </w:p>
    <w:p w14:paraId="7CFA0E88"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794" w:history="1">
        <w:r w:rsidR="000A1A94" w:rsidRPr="006E6390">
          <w:rPr>
            <w:rStyle w:val="Hipervnculo"/>
            <w:rFonts w:cs="Arial"/>
            <w:noProof/>
            <w:color w:val="auto"/>
          </w:rPr>
          <w:t>2.4. Endeudamiento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_Toc38630794 \h </w:instrText>
        </w:r>
        <w:r w:rsidR="000A1A94" w:rsidRPr="006E6390">
          <w:rPr>
            <w:noProof/>
            <w:webHidden/>
          </w:rPr>
        </w:r>
        <w:r w:rsidR="000A1A94" w:rsidRPr="006E6390">
          <w:rPr>
            <w:noProof/>
            <w:webHidden/>
          </w:rPr>
          <w:fldChar w:fldCharType="separate"/>
        </w:r>
        <w:r w:rsidR="001F1C99">
          <w:rPr>
            <w:noProof/>
            <w:webHidden/>
          </w:rPr>
          <w:t>48</w:t>
        </w:r>
        <w:r w:rsidR="000A1A94" w:rsidRPr="006E6390">
          <w:rPr>
            <w:noProof/>
            <w:webHidden/>
          </w:rPr>
          <w:fldChar w:fldCharType="end"/>
        </w:r>
      </w:hyperlink>
    </w:p>
    <w:p w14:paraId="200C79B5"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5" w:history="1">
        <w:r w:rsidR="000A1A94" w:rsidRPr="006E6390">
          <w:rPr>
            <w:rStyle w:val="Hipervnculo"/>
            <w:rFonts w:cs="Arial"/>
            <w:noProof/>
            <w:color w:val="auto"/>
          </w:rPr>
          <w:t>2.4.1. Pasivo total a patrimonio neto (veces)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_Toc38630795 \h </w:instrText>
        </w:r>
        <w:r w:rsidR="000A1A94" w:rsidRPr="006E6390">
          <w:rPr>
            <w:noProof/>
            <w:webHidden/>
          </w:rPr>
        </w:r>
        <w:r w:rsidR="000A1A94" w:rsidRPr="006E6390">
          <w:rPr>
            <w:noProof/>
            <w:webHidden/>
          </w:rPr>
          <w:fldChar w:fldCharType="separate"/>
        </w:r>
        <w:r w:rsidR="001F1C99">
          <w:rPr>
            <w:noProof/>
            <w:webHidden/>
          </w:rPr>
          <w:t>48</w:t>
        </w:r>
        <w:r w:rsidR="000A1A94" w:rsidRPr="006E6390">
          <w:rPr>
            <w:noProof/>
            <w:webHidden/>
          </w:rPr>
          <w:fldChar w:fldCharType="end"/>
        </w:r>
      </w:hyperlink>
    </w:p>
    <w:p w14:paraId="19A5E9CD"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6" w:history="1">
        <w:r w:rsidR="000A1A94" w:rsidRPr="006E6390">
          <w:rPr>
            <w:rStyle w:val="Hipervnculo"/>
            <w:noProof/>
            <w:color w:val="auto"/>
          </w:rPr>
          <w:t>2.4.2. Captaciones a pasivo total (porcentajes)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_Toc38630796 \h </w:instrText>
        </w:r>
        <w:r w:rsidR="000A1A94" w:rsidRPr="006E6390">
          <w:rPr>
            <w:noProof/>
            <w:webHidden/>
          </w:rPr>
        </w:r>
        <w:r w:rsidR="000A1A94" w:rsidRPr="006E6390">
          <w:rPr>
            <w:noProof/>
            <w:webHidden/>
          </w:rPr>
          <w:fldChar w:fldCharType="separate"/>
        </w:r>
        <w:r w:rsidR="001F1C99">
          <w:rPr>
            <w:noProof/>
            <w:webHidden/>
          </w:rPr>
          <w:t>49</w:t>
        </w:r>
        <w:r w:rsidR="000A1A94" w:rsidRPr="006E6390">
          <w:rPr>
            <w:noProof/>
            <w:webHidden/>
          </w:rPr>
          <w:fldChar w:fldCharType="end"/>
        </w:r>
      </w:hyperlink>
    </w:p>
    <w:p w14:paraId="0D07172C"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7" w:history="1">
        <w:r w:rsidR="000A1A94" w:rsidRPr="006E6390">
          <w:rPr>
            <w:rStyle w:val="Hipervnculo"/>
            <w:rFonts w:cs="Arial"/>
            <w:noProof/>
            <w:color w:val="auto"/>
          </w:rPr>
          <w:t>2.4.3. Proceso de adquisición de deudas para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_Toc38630797 \h </w:instrText>
        </w:r>
        <w:r w:rsidR="000A1A94" w:rsidRPr="006E6390">
          <w:rPr>
            <w:noProof/>
            <w:webHidden/>
          </w:rPr>
        </w:r>
        <w:r w:rsidR="000A1A94" w:rsidRPr="006E6390">
          <w:rPr>
            <w:noProof/>
            <w:webHidden/>
          </w:rPr>
          <w:fldChar w:fldCharType="separate"/>
        </w:r>
        <w:r w:rsidR="001F1C99">
          <w:rPr>
            <w:noProof/>
            <w:webHidden/>
          </w:rPr>
          <w:t>49</w:t>
        </w:r>
        <w:r w:rsidR="000A1A94" w:rsidRPr="006E6390">
          <w:rPr>
            <w:noProof/>
            <w:webHidden/>
          </w:rPr>
          <w:fldChar w:fldCharType="end"/>
        </w:r>
      </w:hyperlink>
    </w:p>
    <w:p w14:paraId="6410A137"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8" w:history="1">
        <w:r w:rsidR="000A1A94" w:rsidRPr="006E6390">
          <w:rPr>
            <w:rStyle w:val="Hipervnculo"/>
            <w:rFonts w:cs="Arial"/>
            <w:noProof/>
            <w:color w:val="auto"/>
          </w:rPr>
          <w:t>2.4.4 Pasivo total más pasivo contingente a patrimonio total (veces)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_Toc38630798 \h </w:instrText>
        </w:r>
        <w:r w:rsidR="000A1A94" w:rsidRPr="006E6390">
          <w:rPr>
            <w:noProof/>
            <w:webHidden/>
          </w:rPr>
        </w:r>
        <w:r w:rsidR="000A1A94" w:rsidRPr="006E6390">
          <w:rPr>
            <w:noProof/>
            <w:webHidden/>
          </w:rPr>
          <w:fldChar w:fldCharType="separate"/>
        </w:r>
        <w:r w:rsidR="001F1C99">
          <w:rPr>
            <w:noProof/>
            <w:webHidden/>
          </w:rPr>
          <w:t>50</w:t>
        </w:r>
        <w:r w:rsidR="000A1A94" w:rsidRPr="006E6390">
          <w:rPr>
            <w:noProof/>
            <w:webHidden/>
          </w:rPr>
          <w:fldChar w:fldCharType="end"/>
        </w:r>
      </w:hyperlink>
    </w:p>
    <w:p w14:paraId="6D059797"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799" w:history="1">
        <w:r w:rsidR="000A1A94" w:rsidRPr="006E6390">
          <w:rPr>
            <w:rStyle w:val="Hipervnculo"/>
            <w:rFonts w:cs="Arial"/>
            <w:noProof/>
            <w:color w:val="auto"/>
          </w:rPr>
          <w:t>2.4.5. Antigüedad de saldos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_Toc38630799 \h </w:instrText>
        </w:r>
        <w:r w:rsidR="000A1A94" w:rsidRPr="006E6390">
          <w:rPr>
            <w:noProof/>
            <w:webHidden/>
          </w:rPr>
        </w:r>
        <w:r w:rsidR="000A1A94" w:rsidRPr="006E6390">
          <w:rPr>
            <w:noProof/>
            <w:webHidden/>
          </w:rPr>
          <w:fldChar w:fldCharType="separate"/>
        </w:r>
        <w:r w:rsidR="001F1C99">
          <w:rPr>
            <w:noProof/>
            <w:webHidden/>
          </w:rPr>
          <w:t>51</w:t>
        </w:r>
        <w:r w:rsidR="000A1A94" w:rsidRPr="006E6390">
          <w:rPr>
            <w:noProof/>
            <w:webHidden/>
          </w:rPr>
          <w:fldChar w:fldCharType="end"/>
        </w:r>
      </w:hyperlink>
    </w:p>
    <w:p w14:paraId="0A95692E"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00" w:history="1">
        <w:r w:rsidR="000A1A94" w:rsidRPr="006E6390">
          <w:rPr>
            <w:rStyle w:val="Hipervnculo"/>
            <w:rFonts w:cs="Arial"/>
            <w:noProof/>
            <w:color w:val="auto"/>
          </w:rPr>
          <w:t>2.5 Capitalización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_Toc38630800 \h </w:instrText>
        </w:r>
        <w:r w:rsidR="000A1A94" w:rsidRPr="006E6390">
          <w:rPr>
            <w:noProof/>
            <w:webHidden/>
          </w:rPr>
        </w:r>
        <w:r w:rsidR="000A1A94" w:rsidRPr="006E6390">
          <w:rPr>
            <w:noProof/>
            <w:webHidden/>
          </w:rPr>
          <w:fldChar w:fldCharType="separate"/>
        </w:r>
        <w:r w:rsidR="001F1C99">
          <w:rPr>
            <w:noProof/>
            <w:webHidden/>
          </w:rPr>
          <w:t>51</w:t>
        </w:r>
        <w:r w:rsidR="000A1A94" w:rsidRPr="006E6390">
          <w:rPr>
            <w:noProof/>
            <w:webHidden/>
          </w:rPr>
          <w:fldChar w:fldCharType="end"/>
        </w:r>
      </w:hyperlink>
    </w:p>
    <w:p w14:paraId="20F0BDCA"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01" w:history="1">
        <w:r w:rsidR="000A1A94" w:rsidRPr="006E6390">
          <w:rPr>
            <w:rStyle w:val="Hipervnculo"/>
            <w:rFonts w:cs="Arial"/>
            <w:noProof/>
            <w:color w:val="auto"/>
          </w:rPr>
          <w:t>2.6. Exposición cambiaria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_Toc38630801 \h </w:instrText>
        </w:r>
        <w:r w:rsidR="000A1A94" w:rsidRPr="006E6390">
          <w:rPr>
            <w:noProof/>
            <w:webHidden/>
          </w:rPr>
        </w:r>
        <w:r w:rsidR="000A1A94" w:rsidRPr="006E6390">
          <w:rPr>
            <w:noProof/>
            <w:webHidden/>
          </w:rPr>
          <w:fldChar w:fldCharType="separate"/>
        </w:r>
        <w:r w:rsidR="001F1C99">
          <w:rPr>
            <w:noProof/>
            <w:webHidden/>
          </w:rPr>
          <w:t>52</w:t>
        </w:r>
        <w:r w:rsidR="000A1A94" w:rsidRPr="006E6390">
          <w:rPr>
            <w:noProof/>
            <w:webHidden/>
          </w:rPr>
          <w:fldChar w:fldCharType="end"/>
        </w:r>
      </w:hyperlink>
    </w:p>
    <w:p w14:paraId="4EADAB13"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02" w:history="1">
        <w:r w:rsidR="000A1A94" w:rsidRPr="006E6390">
          <w:rPr>
            <w:rStyle w:val="Hipervnculo"/>
            <w:rFonts w:cs="Arial"/>
            <w:color w:val="auto"/>
          </w:rPr>
          <w:t>3. Información sobre la empresa</w:t>
        </w:r>
        <w:r w:rsidR="000A1A94" w:rsidRPr="006E6390">
          <w:rPr>
            <w:webHidden/>
          </w:rPr>
          <w:tab/>
        </w:r>
        <w:r w:rsidR="000A1A94" w:rsidRPr="006E6390">
          <w:rPr>
            <w:webHidden/>
          </w:rPr>
          <w:fldChar w:fldCharType="begin"/>
        </w:r>
        <w:r w:rsidR="000A1A94" w:rsidRPr="006E6390">
          <w:rPr>
            <w:webHidden/>
          </w:rPr>
          <w:instrText xml:space="preserve"> PAGEREF _Toc38630802 \h </w:instrText>
        </w:r>
        <w:r w:rsidR="000A1A94" w:rsidRPr="006E6390">
          <w:rPr>
            <w:webHidden/>
          </w:rPr>
        </w:r>
        <w:r w:rsidR="000A1A94" w:rsidRPr="006E6390">
          <w:rPr>
            <w:webHidden/>
          </w:rPr>
          <w:fldChar w:fldCharType="separate"/>
        </w:r>
        <w:r w:rsidR="001F1C99">
          <w:rPr>
            <w:webHidden/>
          </w:rPr>
          <w:t>53</w:t>
        </w:r>
        <w:r w:rsidR="000A1A94" w:rsidRPr="006E6390">
          <w:rPr>
            <w:webHidden/>
          </w:rPr>
          <w:fldChar w:fldCharType="end"/>
        </w:r>
      </w:hyperlink>
    </w:p>
    <w:p w14:paraId="7788D6AF"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03" w:history="1">
        <w:r w:rsidR="000A1A94" w:rsidRPr="006E6390">
          <w:rPr>
            <w:rStyle w:val="Hipervnculo"/>
            <w:rFonts w:cs="Arial"/>
            <w:noProof/>
            <w:color w:val="auto"/>
          </w:rPr>
          <w:t>3.1. Historia y desarrollo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_Toc38630803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57A0EF2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4" w:history="1">
        <w:r w:rsidR="000A1A94" w:rsidRPr="006E6390">
          <w:rPr>
            <w:rStyle w:val="Hipervnculo"/>
            <w:rFonts w:cs="Arial"/>
            <w:noProof/>
            <w:color w:val="auto"/>
          </w:rPr>
          <w:t>3.1.1. Razón Social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_Toc38630804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5403CDD6"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5" w:history="1">
        <w:r w:rsidR="000A1A94" w:rsidRPr="006E6390">
          <w:rPr>
            <w:rStyle w:val="Hipervnculo"/>
            <w:rFonts w:cs="Arial"/>
            <w:noProof/>
            <w:color w:val="auto"/>
          </w:rPr>
          <w:t>3.1.2. Nombre comercial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_Toc38630805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30FC71B2"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6" w:history="1">
        <w:r w:rsidR="000A1A94" w:rsidRPr="006E6390">
          <w:rPr>
            <w:rStyle w:val="Hipervnculo"/>
            <w:rFonts w:cs="Arial"/>
            <w:noProof/>
            <w:color w:val="auto"/>
          </w:rPr>
          <w:t>3.1.3. Jurisdicción bajo la cual está constituida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_Toc38630806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5FA2832B"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7" w:history="1">
        <w:r w:rsidR="000A1A94" w:rsidRPr="006E6390">
          <w:rPr>
            <w:rStyle w:val="Hipervnculo"/>
            <w:rFonts w:cs="Arial"/>
            <w:noProof/>
            <w:color w:val="auto"/>
          </w:rPr>
          <w:t>3.1.4. Fecha de constitución y cita de inscripción del Registro Público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_Toc38630807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788EE9BA"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8" w:history="1">
        <w:r w:rsidR="000A1A94" w:rsidRPr="006E6390">
          <w:rPr>
            <w:rStyle w:val="Hipervnculo"/>
            <w:rFonts w:cs="Arial"/>
            <w:noProof/>
            <w:color w:val="auto"/>
          </w:rPr>
          <w:t>3.1.5. Número de cédula jurídica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_Toc38630808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1DA96DFF"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09" w:history="1">
        <w:r w:rsidR="000A1A94" w:rsidRPr="006E6390">
          <w:rPr>
            <w:rStyle w:val="Hipervnculo"/>
            <w:rFonts w:cs="Arial"/>
            <w:noProof/>
            <w:color w:val="auto"/>
          </w:rPr>
          <w:t>3.1.6. Composición del capital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_Toc38630809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07ED98FF"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0" w:history="1">
        <w:r w:rsidR="000A1A94" w:rsidRPr="006E6390">
          <w:rPr>
            <w:rStyle w:val="Hipervnculo"/>
            <w:rFonts w:cs="Arial"/>
            <w:noProof/>
            <w:color w:val="auto"/>
          </w:rPr>
          <w:t>3.1.7. Domicilio legal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_Toc38630810 \h </w:instrText>
        </w:r>
        <w:r w:rsidR="000A1A94" w:rsidRPr="006E6390">
          <w:rPr>
            <w:noProof/>
            <w:webHidden/>
          </w:rPr>
        </w:r>
        <w:r w:rsidR="000A1A94" w:rsidRPr="006E6390">
          <w:rPr>
            <w:noProof/>
            <w:webHidden/>
          </w:rPr>
          <w:fldChar w:fldCharType="separate"/>
        </w:r>
        <w:r w:rsidR="001F1C99">
          <w:rPr>
            <w:noProof/>
            <w:webHidden/>
          </w:rPr>
          <w:t>53</w:t>
        </w:r>
        <w:r w:rsidR="000A1A94" w:rsidRPr="006E6390">
          <w:rPr>
            <w:noProof/>
            <w:webHidden/>
          </w:rPr>
          <w:fldChar w:fldCharType="end"/>
        </w:r>
      </w:hyperlink>
    </w:p>
    <w:p w14:paraId="41131B72"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1" w:history="1">
        <w:r w:rsidR="000A1A94" w:rsidRPr="006E6390">
          <w:rPr>
            <w:rStyle w:val="Hipervnculo"/>
            <w:rFonts w:cs="Arial"/>
            <w:noProof/>
            <w:color w:val="auto"/>
          </w:rPr>
          <w:t>3.1.8. Fecha de cierre fiscal y económico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_Toc38630811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1510AFB8"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2" w:history="1">
        <w:r w:rsidR="000A1A94" w:rsidRPr="006E6390">
          <w:rPr>
            <w:rStyle w:val="Hipervnculo"/>
            <w:rFonts w:cs="Arial"/>
            <w:noProof/>
            <w:color w:val="auto"/>
          </w:rPr>
          <w:t>3.1.9. Auditoría externa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_Toc38630812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3C31EE60"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3" w:history="1">
        <w:r w:rsidR="000A1A94" w:rsidRPr="006E6390">
          <w:rPr>
            <w:rStyle w:val="Hipervnculo"/>
            <w:rFonts w:cs="Arial"/>
            <w:noProof/>
            <w:color w:val="auto"/>
          </w:rPr>
          <w:t>3.1.10. Asesoría legal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_Toc38630813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6292AC1E"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4" w:history="1">
        <w:r w:rsidR="000A1A94" w:rsidRPr="006E6390">
          <w:rPr>
            <w:rStyle w:val="Hipervnculo"/>
            <w:rFonts w:cs="Arial"/>
            <w:noProof/>
            <w:color w:val="auto"/>
          </w:rPr>
          <w:t>3.1.11. Moneda de la información financiera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_Toc38630814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2FE1F38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5" w:history="1">
        <w:r w:rsidR="000A1A94" w:rsidRPr="006E6390">
          <w:rPr>
            <w:rStyle w:val="Hipervnculo"/>
            <w:rFonts w:cs="Arial"/>
            <w:noProof/>
            <w:color w:val="auto"/>
          </w:rPr>
          <w:t>3.1.12. Números de teléfono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_Toc38630815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0A48932F"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6" w:history="1">
        <w:r w:rsidR="000A1A94" w:rsidRPr="006E6390">
          <w:rPr>
            <w:rStyle w:val="Hipervnculo"/>
            <w:rFonts w:cs="Arial"/>
            <w:noProof/>
            <w:color w:val="auto"/>
          </w:rPr>
          <w:t>3.1.13. Apartado postal</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_Toc38630816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1D431F55"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7" w:history="1">
        <w:r w:rsidR="000A1A94" w:rsidRPr="006E6390">
          <w:rPr>
            <w:rStyle w:val="Hipervnculo"/>
            <w:rFonts w:cs="Arial"/>
            <w:noProof/>
            <w:color w:val="auto"/>
          </w:rPr>
          <w:t>3.1.14. Sitio web</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_Toc38630817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3315CEA1"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8" w:history="1">
        <w:r w:rsidR="000A1A94" w:rsidRPr="006E6390">
          <w:rPr>
            <w:rStyle w:val="Hipervnculo"/>
            <w:rFonts w:cs="Arial"/>
            <w:noProof/>
            <w:color w:val="auto"/>
          </w:rPr>
          <w:t>3.1.15. Correo electrónico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_Toc38630818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66A4CCA7"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19" w:history="1">
        <w:r w:rsidR="000A1A94" w:rsidRPr="006E6390">
          <w:rPr>
            <w:rStyle w:val="Hipervnculo"/>
            <w:rFonts w:cs="Arial"/>
            <w:noProof/>
            <w:color w:val="auto"/>
          </w:rPr>
          <w:t>3.1.16. Fax</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_Toc38630819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5B4C1E86"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0" w:history="1">
        <w:r w:rsidR="000A1A94" w:rsidRPr="006E6390">
          <w:rPr>
            <w:rStyle w:val="Hipervnculo"/>
            <w:rFonts w:cs="Arial"/>
            <w:noProof/>
            <w:color w:val="auto"/>
          </w:rPr>
          <w:t>3.1.17. Asistencia Técnica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_Toc38630820 \h </w:instrText>
        </w:r>
        <w:r w:rsidR="000A1A94" w:rsidRPr="006E6390">
          <w:rPr>
            <w:noProof/>
            <w:webHidden/>
          </w:rPr>
        </w:r>
        <w:r w:rsidR="000A1A94" w:rsidRPr="006E6390">
          <w:rPr>
            <w:noProof/>
            <w:webHidden/>
          </w:rPr>
          <w:fldChar w:fldCharType="separate"/>
        </w:r>
        <w:r w:rsidR="001F1C99">
          <w:rPr>
            <w:noProof/>
            <w:webHidden/>
          </w:rPr>
          <w:t>54</w:t>
        </w:r>
        <w:r w:rsidR="000A1A94" w:rsidRPr="006E6390">
          <w:rPr>
            <w:noProof/>
            <w:webHidden/>
          </w:rPr>
          <w:fldChar w:fldCharType="end"/>
        </w:r>
      </w:hyperlink>
    </w:p>
    <w:p w14:paraId="123BDE30"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1" w:history="1">
        <w:r w:rsidR="000A1A94" w:rsidRPr="006E6390">
          <w:rPr>
            <w:rStyle w:val="Hipervnculo"/>
            <w:rFonts w:cs="Arial"/>
            <w:noProof/>
            <w:color w:val="auto"/>
          </w:rPr>
          <w:t>3.1.18. Acontecimientos más relevantes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_Toc38630821 \h </w:instrText>
        </w:r>
        <w:r w:rsidR="000A1A94" w:rsidRPr="006E6390">
          <w:rPr>
            <w:noProof/>
            <w:webHidden/>
          </w:rPr>
        </w:r>
        <w:r w:rsidR="000A1A94" w:rsidRPr="006E6390">
          <w:rPr>
            <w:noProof/>
            <w:webHidden/>
          </w:rPr>
          <w:fldChar w:fldCharType="separate"/>
        </w:r>
        <w:r w:rsidR="001F1C99">
          <w:rPr>
            <w:noProof/>
            <w:webHidden/>
          </w:rPr>
          <w:t>55</w:t>
        </w:r>
        <w:r w:rsidR="000A1A94" w:rsidRPr="006E6390">
          <w:rPr>
            <w:noProof/>
            <w:webHidden/>
          </w:rPr>
          <w:fldChar w:fldCharType="end"/>
        </w:r>
      </w:hyperlink>
    </w:p>
    <w:p w14:paraId="1DC7934F"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2" w:history="1">
        <w:r w:rsidR="000A1A94" w:rsidRPr="006E6390">
          <w:rPr>
            <w:rStyle w:val="Hipervnculo"/>
            <w:rFonts w:cs="Arial"/>
            <w:noProof/>
            <w:color w:val="auto"/>
          </w:rPr>
          <w:t>3.1.19. Actividades principales: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_Toc38630822 \h </w:instrText>
        </w:r>
        <w:r w:rsidR="000A1A94" w:rsidRPr="006E6390">
          <w:rPr>
            <w:noProof/>
            <w:webHidden/>
          </w:rPr>
        </w:r>
        <w:r w:rsidR="000A1A94" w:rsidRPr="006E6390">
          <w:rPr>
            <w:noProof/>
            <w:webHidden/>
          </w:rPr>
          <w:fldChar w:fldCharType="separate"/>
        </w:r>
        <w:r w:rsidR="001F1C99">
          <w:rPr>
            <w:noProof/>
            <w:webHidden/>
          </w:rPr>
          <w:t>60</w:t>
        </w:r>
        <w:r w:rsidR="000A1A94" w:rsidRPr="006E6390">
          <w:rPr>
            <w:noProof/>
            <w:webHidden/>
          </w:rPr>
          <w:fldChar w:fldCharType="end"/>
        </w:r>
      </w:hyperlink>
    </w:p>
    <w:p w14:paraId="0C6AF633"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3" w:history="1">
        <w:r w:rsidR="000A1A94" w:rsidRPr="006E6390">
          <w:rPr>
            <w:rStyle w:val="Hipervnculo"/>
            <w:rFonts w:cs="Arial"/>
            <w:noProof/>
            <w:color w:val="auto"/>
          </w:rPr>
          <w:t>3.1.20. Mercado que abastece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_Toc38630823 \h </w:instrText>
        </w:r>
        <w:r w:rsidR="000A1A94" w:rsidRPr="006E6390">
          <w:rPr>
            <w:noProof/>
            <w:webHidden/>
          </w:rPr>
        </w:r>
        <w:r w:rsidR="000A1A94" w:rsidRPr="006E6390">
          <w:rPr>
            <w:noProof/>
            <w:webHidden/>
          </w:rPr>
          <w:fldChar w:fldCharType="separate"/>
        </w:r>
        <w:r w:rsidR="001F1C99">
          <w:rPr>
            <w:noProof/>
            <w:webHidden/>
          </w:rPr>
          <w:t>63</w:t>
        </w:r>
        <w:r w:rsidR="000A1A94" w:rsidRPr="006E6390">
          <w:rPr>
            <w:noProof/>
            <w:webHidden/>
          </w:rPr>
          <w:fldChar w:fldCharType="end"/>
        </w:r>
      </w:hyperlink>
    </w:p>
    <w:p w14:paraId="7E73B45A"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4" w:history="1">
        <w:r w:rsidR="000A1A94" w:rsidRPr="006E6390">
          <w:rPr>
            <w:rStyle w:val="Hipervnculo"/>
            <w:rFonts w:cs="Arial"/>
            <w:noProof/>
            <w:color w:val="auto"/>
          </w:rPr>
          <w:t>3.1.21. Productos ofrecidos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_Toc38630824 \h </w:instrText>
        </w:r>
        <w:r w:rsidR="000A1A94" w:rsidRPr="006E6390">
          <w:rPr>
            <w:noProof/>
            <w:webHidden/>
          </w:rPr>
        </w:r>
        <w:r w:rsidR="000A1A94" w:rsidRPr="006E6390">
          <w:rPr>
            <w:noProof/>
            <w:webHidden/>
          </w:rPr>
          <w:fldChar w:fldCharType="separate"/>
        </w:r>
        <w:r w:rsidR="001F1C99">
          <w:rPr>
            <w:noProof/>
            <w:webHidden/>
          </w:rPr>
          <w:t>64</w:t>
        </w:r>
        <w:r w:rsidR="000A1A94" w:rsidRPr="006E6390">
          <w:rPr>
            <w:noProof/>
            <w:webHidden/>
          </w:rPr>
          <w:fldChar w:fldCharType="end"/>
        </w:r>
      </w:hyperlink>
    </w:p>
    <w:p w14:paraId="37DAD8E2"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5" w:history="1">
        <w:r w:rsidR="000A1A94" w:rsidRPr="006E6390">
          <w:rPr>
            <w:rStyle w:val="Hipervnculo"/>
            <w:rFonts w:cs="Arial"/>
            <w:noProof/>
            <w:color w:val="auto"/>
          </w:rPr>
          <w:t>3.1.22. Canales de distribución</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_Toc38630825 \h </w:instrText>
        </w:r>
        <w:r w:rsidR="000A1A94" w:rsidRPr="006E6390">
          <w:rPr>
            <w:noProof/>
            <w:webHidden/>
          </w:rPr>
        </w:r>
        <w:r w:rsidR="000A1A94" w:rsidRPr="006E6390">
          <w:rPr>
            <w:noProof/>
            <w:webHidden/>
          </w:rPr>
          <w:fldChar w:fldCharType="separate"/>
        </w:r>
        <w:r w:rsidR="001F1C99">
          <w:rPr>
            <w:noProof/>
            <w:webHidden/>
          </w:rPr>
          <w:t>71</w:t>
        </w:r>
        <w:r w:rsidR="000A1A94" w:rsidRPr="006E6390">
          <w:rPr>
            <w:noProof/>
            <w:webHidden/>
          </w:rPr>
          <w:fldChar w:fldCharType="end"/>
        </w:r>
      </w:hyperlink>
    </w:p>
    <w:p w14:paraId="61BF1710"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6" w:history="1">
        <w:r w:rsidR="000A1A94" w:rsidRPr="006E6390">
          <w:rPr>
            <w:rStyle w:val="Hipervnculo"/>
            <w:noProof/>
            <w:color w:val="auto"/>
          </w:rPr>
          <w:t>3.1.23. Litigios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_Toc38630826 \h </w:instrText>
        </w:r>
        <w:r w:rsidR="000A1A94" w:rsidRPr="006E6390">
          <w:rPr>
            <w:noProof/>
            <w:webHidden/>
          </w:rPr>
        </w:r>
        <w:r w:rsidR="000A1A94" w:rsidRPr="006E6390">
          <w:rPr>
            <w:noProof/>
            <w:webHidden/>
          </w:rPr>
          <w:fldChar w:fldCharType="separate"/>
        </w:r>
        <w:r w:rsidR="001F1C99">
          <w:rPr>
            <w:noProof/>
            <w:webHidden/>
          </w:rPr>
          <w:t>75</w:t>
        </w:r>
        <w:r w:rsidR="000A1A94" w:rsidRPr="006E6390">
          <w:rPr>
            <w:noProof/>
            <w:webHidden/>
          </w:rPr>
          <w:fldChar w:fldCharType="end"/>
        </w:r>
      </w:hyperlink>
    </w:p>
    <w:p w14:paraId="7AE4AD28"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27" w:history="1">
        <w:r w:rsidR="000A1A94" w:rsidRPr="006E6390">
          <w:rPr>
            <w:rStyle w:val="Hipervnculo"/>
            <w:noProof/>
            <w:color w:val="auto"/>
          </w:rPr>
          <w:t>3.1.24. Determinación de los precios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_Toc38630827 \h </w:instrText>
        </w:r>
        <w:r w:rsidR="000A1A94" w:rsidRPr="006E6390">
          <w:rPr>
            <w:noProof/>
            <w:webHidden/>
          </w:rPr>
        </w:r>
        <w:r w:rsidR="000A1A94" w:rsidRPr="006E6390">
          <w:rPr>
            <w:noProof/>
            <w:webHidden/>
          </w:rPr>
          <w:fldChar w:fldCharType="separate"/>
        </w:r>
        <w:r w:rsidR="001F1C99">
          <w:rPr>
            <w:noProof/>
            <w:webHidden/>
          </w:rPr>
          <w:t>80</w:t>
        </w:r>
        <w:r w:rsidR="000A1A94" w:rsidRPr="006E6390">
          <w:rPr>
            <w:noProof/>
            <w:webHidden/>
          </w:rPr>
          <w:fldChar w:fldCharType="end"/>
        </w:r>
      </w:hyperlink>
    </w:p>
    <w:p w14:paraId="31D3CA66"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28" w:history="1">
        <w:r w:rsidR="000A1A94" w:rsidRPr="006E6390">
          <w:rPr>
            <w:rStyle w:val="Hipervnculo"/>
            <w:color w:val="auto"/>
          </w:rPr>
          <w:t>4. Visión general de la empresa</w:t>
        </w:r>
        <w:r w:rsidR="000A1A94" w:rsidRPr="006E6390">
          <w:rPr>
            <w:webHidden/>
          </w:rPr>
          <w:tab/>
        </w:r>
        <w:r w:rsidR="000A1A94" w:rsidRPr="006E6390">
          <w:rPr>
            <w:webHidden/>
          </w:rPr>
          <w:fldChar w:fldCharType="begin"/>
        </w:r>
        <w:r w:rsidR="000A1A94" w:rsidRPr="006E6390">
          <w:rPr>
            <w:webHidden/>
          </w:rPr>
          <w:instrText xml:space="preserve"> PAGEREF _Toc38630828 \h </w:instrText>
        </w:r>
        <w:r w:rsidR="000A1A94" w:rsidRPr="006E6390">
          <w:rPr>
            <w:webHidden/>
          </w:rPr>
        </w:r>
        <w:r w:rsidR="000A1A94" w:rsidRPr="006E6390">
          <w:rPr>
            <w:webHidden/>
          </w:rPr>
          <w:fldChar w:fldCharType="separate"/>
        </w:r>
        <w:r w:rsidR="001F1C99">
          <w:rPr>
            <w:webHidden/>
          </w:rPr>
          <w:t>88</w:t>
        </w:r>
        <w:r w:rsidR="000A1A94" w:rsidRPr="006E6390">
          <w:rPr>
            <w:webHidden/>
          </w:rPr>
          <w:fldChar w:fldCharType="end"/>
        </w:r>
      </w:hyperlink>
    </w:p>
    <w:p w14:paraId="25087011"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29" w:history="1">
        <w:r w:rsidR="000A1A94" w:rsidRPr="006E6390">
          <w:rPr>
            <w:rStyle w:val="Hipervnculo"/>
            <w:noProof/>
            <w:color w:val="auto"/>
          </w:rPr>
          <w:t>4.1. Misión de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_Toc38630829 \h </w:instrText>
        </w:r>
        <w:r w:rsidR="000A1A94" w:rsidRPr="006E6390">
          <w:rPr>
            <w:noProof/>
            <w:webHidden/>
          </w:rPr>
        </w:r>
        <w:r w:rsidR="000A1A94" w:rsidRPr="006E6390">
          <w:rPr>
            <w:noProof/>
            <w:webHidden/>
          </w:rPr>
          <w:fldChar w:fldCharType="separate"/>
        </w:r>
        <w:r w:rsidR="001F1C99">
          <w:rPr>
            <w:noProof/>
            <w:webHidden/>
          </w:rPr>
          <w:t>88</w:t>
        </w:r>
        <w:r w:rsidR="000A1A94" w:rsidRPr="006E6390">
          <w:rPr>
            <w:noProof/>
            <w:webHidden/>
          </w:rPr>
          <w:fldChar w:fldCharType="end"/>
        </w:r>
      </w:hyperlink>
    </w:p>
    <w:p w14:paraId="4FBFFAD1"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0" w:history="1">
        <w:r w:rsidR="000A1A94" w:rsidRPr="006E6390">
          <w:rPr>
            <w:rStyle w:val="Hipervnculo"/>
            <w:rFonts w:ascii="Helvetica" w:hAnsi="Helvetica" w:cs="Helvetica"/>
            <w:noProof/>
            <w:color w:val="auto"/>
          </w:rPr>
          <w:t>4.2. Visión de la empresa: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_Toc38630830 \h </w:instrText>
        </w:r>
        <w:r w:rsidR="000A1A94" w:rsidRPr="006E6390">
          <w:rPr>
            <w:noProof/>
            <w:webHidden/>
          </w:rPr>
        </w:r>
        <w:r w:rsidR="000A1A94" w:rsidRPr="006E6390">
          <w:rPr>
            <w:noProof/>
            <w:webHidden/>
          </w:rPr>
          <w:fldChar w:fldCharType="separate"/>
        </w:r>
        <w:r w:rsidR="001F1C99">
          <w:rPr>
            <w:noProof/>
            <w:webHidden/>
          </w:rPr>
          <w:t>88</w:t>
        </w:r>
        <w:r w:rsidR="000A1A94" w:rsidRPr="006E6390">
          <w:rPr>
            <w:noProof/>
            <w:webHidden/>
          </w:rPr>
          <w:fldChar w:fldCharType="end"/>
        </w:r>
      </w:hyperlink>
    </w:p>
    <w:p w14:paraId="1305F813"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1" w:history="1">
        <w:r w:rsidR="000A1A94" w:rsidRPr="006E6390">
          <w:rPr>
            <w:rStyle w:val="Hipervnculo"/>
            <w:rFonts w:ascii="Helvetica" w:hAnsi="Helvetica" w:cs="Helvetica"/>
            <w:noProof/>
            <w:color w:val="auto"/>
          </w:rPr>
          <w:t>4.3. Objetivos estratégicos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_Toc38630831 \h </w:instrText>
        </w:r>
        <w:r w:rsidR="000A1A94" w:rsidRPr="006E6390">
          <w:rPr>
            <w:noProof/>
            <w:webHidden/>
          </w:rPr>
        </w:r>
        <w:r w:rsidR="000A1A94" w:rsidRPr="006E6390">
          <w:rPr>
            <w:noProof/>
            <w:webHidden/>
          </w:rPr>
          <w:fldChar w:fldCharType="separate"/>
        </w:r>
        <w:r w:rsidR="001F1C99">
          <w:rPr>
            <w:noProof/>
            <w:webHidden/>
          </w:rPr>
          <w:t>88</w:t>
        </w:r>
        <w:r w:rsidR="000A1A94" w:rsidRPr="006E6390">
          <w:rPr>
            <w:noProof/>
            <w:webHidden/>
          </w:rPr>
          <w:fldChar w:fldCharType="end"/>
        </w:r>
      </w:hyperlink>
    </w:p>
    <w:p w14:paraId="670AA3B4"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2" w:history="1">
        <w:r w:rsidR="000A1A94" w:rsidRPr="006E6390">
          <w:rPr>
            <w:rStyle w:val="Hipervnculo"/>
            <w:noProof/>
            <w:color w:val="auto"/>
          </w:rPr>
          <w:t>4.4. Organigrama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_Toc38630832 \h </w:instrText>
        </w:r>
        <w:r w:rsidR="000A1A94" w:rsidRPr="006E6390">
          <w:rPr>
            <w:noProof/>
            <w:webHidden/>
          </w:rPr>
        </w:r>
        <w:r w:rsidR="000A1A94" w:rsidRPr="006E6390">
          <w:rPr>
            <w:noProof/>
            <w:webHidden/>
          </w:rPr>
          <w:fldChar w:fldCharType="separate"/>
        </w:r>
        <w:r w:rsidR="001F1C99">
          <w:rPr>
            <w:noProof/>
            <w:webHidden/>
          </w:rPr>
          <w:t>89</w:t>
        </w:r>
        <w:r w:rsidR="000A1A94" w:rsidRPr="006E6390">
          <w:rPr>
            <w:noProof/>
            <w:webHidden/>
          </w:rPr>
          <w:fldChar w:fldCharType="end"/>
        </w:r>
      </w:hyperlink>
    </w:p>
    <w:p w14:paraId="1E371014"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3" w:history="1">
        <w:r w:rsidR="000A1A94" w:rsidRPr="006E6390">
          <w:rPr>
            <w:rStyle w:val="Hipervnculo"/>
            <w:rFonts w:cs="Arial"/>
            <w:noProof/>
            <w:color w:val="auto"/>
          </w:rPr>
          <w:t>4.5. Propiedades, planta y equipo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_Toc38630833 \h </w:instrText>
        </w:r>
        <w:r w:rsidR="000A1A94" w:rsidRPr="006E6390">
          <w:rPr>
            <w:noProof/>
            <w:webHidden/>
          </w:rPr>
        </w:r>
        <w:r w:rsidR="000A1A94" w:rsidRPr="006E6390">
          <w:rPr>
            <w:noProof/>
            <w:webHidden/>
          </w:rPr>
          <w:fldChar w:fldCharType="separate"/>
        </w:r>
        <w:r w:rsidR="001F1C99">
          <w:rPr>
            <w:noProof/>
            <w:webHidden/>
          </w:rPr>
          <w:t>91</w:t>
        </w:r>
        <w:r w:rsidR="000A1A94" w:rsidRPr="006E6390">
          <w:rPr>
            <w:noProof/>
            <w:webHidden/>
          </w:rPr>
          <w:fldChar w:fldCharType="end"/>
        </w:r>
      </w:hyperlink>
    </w:p>
    <w:p w14:paraId="41708105"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34" w:history="1">
        <w:r w:rsidR="000A1A94" w:rsidRPr="006E6390">
          <w:rPr>
            <w:rStyle w:val="Hipervnculo"/>
            <w:color w:val="auto"/>
          </w:rPr>
          <w:t>5. Resultados de operación y financieros e información prospectiva (Opinión de la Gerencia)</w:t>
        </w:r>
        <w:r w:rsidR="000A1A94" w:rsidRPr="006E6390">
          <w:rPr>
            <w:webHidden/>
          </w:rPr>
          <w:tab/>
        </w:r>
        <w:r w:rsidR="000A1A94" w:rsidRPr="006E6390">
          <w:rPr>
            <w:webHidden/>
          </w:rPr>
          <w:fldChar w:fldCharType="begin"/>
        </w:r>
        <w:r w:rsidR="000A1A94" w:rsidRPr="006E6390">
          <w:rPr>
            <w:webHidden/>
          </w:rPr>
          <w:instrText xml:space="preserve"> PAGEREF _Toc38630834 \h </w:instrText>
        </w:r>
        <w:r w:rsidR="000A1A94" w:rsidRPr="006E6390">
          <w:rPr>
            <w:webHidden/>
          </w:rPr>
        </w:r>
        <w:r w:rsidR="000A1A94" w:rsidRPr="006E6390">
          <w:rPr>
            <w:webHidden/>
          </w:rPr>
          <w:fldChar w:fldCharType="separate"/>
        </w:r>
        <w:r w:rsidR="001F1C99">
          <w:rPr>
            <w:webHidden/>
          </w:rPr>
          <w:t>93</w:t>
        </w:r>
        <w:r w:rsidR="000A1A94" w:rsidRPr="006E6390">
          <w:rPr>
            <w:webHidden/>
          </w:rPr>
          <w:fldChar w:fldCharType="end"/>
        </w:r>
      </w:hyperlink>
    </w:p>
    <w:p w14:paraId="141267AC"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5" w:history="1">
        <w:r w:rsidR="000A1A94" w:rsidRPr="006E6390">
          <w:rPr>
            <w:rStyle w:val="Hipervnculo"/>
            <w:noProof/>
            <w:color w:val="auto"/>
          </w:rPr>
          <w:t>5.1 Bases estratégicas de los últimos años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_Toc38630835 \h </w:instrText>
        </w:r>
        <w:r w:rsidR="000A1A94" w:rsidRPr="006E6390">
          <w:rPr>
            <w:noProof/>
            <w:webHidden/>
          </w:rPr>
        </w:r>
        <w:r w:rsidR="000A1A94" w:rsidRPr="006E6390">
          <w:rPr>
            <w:noProof/>
            <w:webHidden/>
          </w:rPr>
          <w:fldChar w:fldCharType="separate"/>
        </w:r>
        <w:r w:rsidR="001F1C99">
          <w:rPr>
            <w:noProof/>
            <w:webHidden/>
          </w:rPr>
          <w:t>93</w:t>
        </w:r>
        <w:r w:rsidR="000A1A94" w:rsidRPr="006E6390">
          <w:rPr>
            <w:noProof/>
            <w:webHidden/>
          </w:rPr>
          <w:fldChar w:fldCharType="end"/>
        </w:r>
      </w:hyperlink>
    </w:p>
    <w:p w14:paraId="211FF692"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6" w:history="1">
        <w:r w:rsidR="000A1A94" w:rsidRPr="006E6390">
          <w:rPr>
            <w:rStyle w:val="Hipervnculo"/>
            <w:noProof/>
            <w:color w:val="auto"/>
          </w:rPr>
          <w:t>5.2 Desarrollo de la infraestructura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_Toc38630836 \h </w:instrText>
        </w:r>
        <w:r w:rsidR="000A1A94" w:rsidRPr="006E6390">
          <w:rPr>
            <w:noProof/>
            <w:webHidden/>
          </w:rPr>
        </w:r>
        <w:r w:rsidR="000A1A94" w:rsidRPr="006E6390">
          <w:rPr>
            <w:noProof/>
            <w:webHidden/>
          </w:rPr>
          <w:fldChar w:fldCharType="separate"/>
        </w:r>
        <w:r w:rsidR="001F1C99">
          <w:rPr>
            <w:noProof/>
            <w:webHidden/>
          </w:rPr>
          <w:t>94</w:t>
        </w:r>
        <w:r w:rsidR="000A1A94" w:rsidRPr="006E6390">
          <w:rPr>
            <w:noProof/>
            <w:webHidden/>
          </w:rPr>
          <w:fldChar w:fldCharType="end"/>
        </w:r>
      </w:hyperlink>
    </w:p>
    <w:p w14:paraId="624304A5"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7" w:history="1">
        <w:r w:rsidR="000A1A94" w:rsidRPr="006E6390">
          <w:rPr>
            <w:rStyle w:val="Hipervnculo"/>
            <w:noProof/>
            <w:color w:val="auto"/>
          </w:rPr>
          <w:t>5.3  Compromiso con el ambiente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_Toc38630837 \h </w:instrText>
        </w:r>
        <w:r w:rsidR="000A1A94" w:rsidRPr="006E6390">
          <w:rPr>
            <w:noProof/>
            <w:webHidden/>
          </w:rPr>
        </w:r>
        <w:r w:rsidR="000A1A94" w:rsidRPr="006E6390">
          <w:rPr>
            <w:noProof/>
            <w:webHidden/>
          </w:rPr>
          <w:fldChar w:fldCharType="separate"/>
        </w:r>
        <w:r w:rsidR="001F1C99">
          <w:rPr>
            <w:noProof/>
            <w:webHidden/>
          </w:rPr>
          <w:t>96</w:t>
        </w:r>
        <w:r w:rsidR="000A1A94" w:rsidRPr="006E6390">
          <w:rPr>
            <w:noProof/>
            <w:webHidden/>
          </w:rPr>
          <w:fldChar w:fldCharType="end"/>
        </w:r>
      </w:hyperlink>
    </w:p>
    <w:p w14:paraId="40162454"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8" w:history="1">
        <w:r w:rsidR="000A1A94" w:rsidRPr="006E6390">
          <w:rPr>
            <w:rStyle w:val="Hipervnculo"/>
            <w:rFonts w:cs="Arial"/>
            <w:noProof/>
            <w:color w:val="auto"/>
          </w:rPr>
          <w:t>5.4  Eficiencia administrativa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_Toc38630838 \h </w:instrText>
        </w:r>
        <w:r w:rsidR="000A1A94" w:rsidRPr="006E6390">
          <w:rPr>
            <w:noProof/>
            <w:webHidden/>
          </w:rPr>
        </w:r>
        <w:r w:rsidR="000A1A94" w:rsidRPr="006E6390">
          <w:rPr>
            <w:noProof/>
            <w:webHidden/>
          </w:rPr>
          <w:fldChar w:fldCharType="separate"/>
        </w:r>
        <w:r w:rsidR="001F1C99">
          <w:rPr>
            <w:noProof/>
            <w:webHidden/>
          </w:rPr>
          <w:t>97</w:t>
        </w:r>
        <w:r w:rsidR="000A1A94" w:rsidRPr="006E6390">
          <w:rPr>
            <w:noProof/>
            <w:webHidden/>
          </w:rPr>
          <w:fldChar w:fldCharType="end"/>
        </w:r>
      </w:hyperlink>
    </w:p>
    <w:p w14:paraId="2C7C840E"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39" w:history="1">
        <w:r w:rsidR="000A1A94" w:rsidRPr="006E6390">
          <w:rPr>
            <w:rStyle w:val="Hipervnculo"/>
            <w:rFonts w:cs="Arial"/>
            <w:noProof/>
            <w:color w:val="auto"/>
          </w:rPr>
          <w:t>5.5  Evolución de las ventas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_Toc38630839 \h </w:instrText>
        </w:r>
        <w:r w:rsidR="000A1A94" w:rsidRPr="006E6390">
          <w:rPr>
            <w:noProof/>
            <w:webHidden/>
          </w:rPr>
        </w:r>
        <w:r w:rsidR="000A1A94" w:rsidRPr="006E6390">
          <w:rPr>
            <w:noProof/>
            <w:webHidden/>
          </w:rPr>
          <w:fldChar w:fldCharType="separate"/>
        </w:r>
        <w:r w:rsidR="001F1C99">
          <w:rPr>
            <w:noProof/>
            <w:webHidden/>
          </w:rPr>
          <w:t>97</w:t>
        </w:r>
        <w:r w:rsidR="000A1A94" w:rsidRPr="006E6390">
          <w:rPr>
            <w:noProof/>
            <w:webHidden/>
          </w:rPr>
          <w:fldChar w:fldCharType="end"/>
        </w:r>
      </w:hyperlink>
    </w:p>
    <w:p w14:paraId="3FE2E940"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40" w:history="1">
        <w:r w:rsidR="000A1A94" w:rsidRPr="006E6390">
          <w:rPr>
            <w:rStyle w:val="Hipervnculo"/>
            <w:rFonts w:cs="Arial"/>
            <w:noProof/>
            <w:color w:val="auto"/>
          </w:rPr>
          <w:t>5.6  Evolución del precio internacional de los combustibles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_Toc38630840 \h </w:instrText>
        </w:r>
        <w:r w:rsidR="000A1A94" w:rsidRPr="006E6390">
          <w:rPr>
            <w:noProof/>
            <w:webHidden/>
          </w:rPr>
        </w:r>
        <w:r w:rsidR="000A1A94" w:rsidRPr="006E6390">
          <w:rPr>
            <w:noProof/>
            <w:webHidden/>
          </w:rPr>
          <w:fldChar w:fldCharType="separate"/>
        </w:r>
        <w:r w:rsidR="001F1C99">
          <w:rPr>
            <w:noProof/>
            <w:webHidden/>
          </w:rPr>
          <w:t>100</w:t>
        </w:r>
        <w:r w:rsidR="000A1A94" w:rsidRPr="006E6390">
          <w:rPr>
            <w:noProof/>
            <w:webHidden/>
          </w:rPr>
          <w:fldChar w:fldCharType="end"/>
        </w:r>
      </w:hyperlink>
    </w:p>
    <w:p w14:paraId="7F1AFFC2"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41" w:history="1">
        <w:r w:rsidR="000A1A94" w:rsidRPr="006E6390">
          <w:rPr>
            <w:rStyle w:val="Hipervnculo"/>
            <w:noProof/>
            <w:color w:val="auto"/>
          </w:rPr>
          <w:t>5.7  Importación de combustibles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_Toc38630841 \h </w:instrText>
        </w:r>
        <w:r w:rsidR="000A1A94" w:rsidRPr="006E6390">
          <w:rPr>
            <w:noProof/>
            <w:webHidden/>
          </w:rPr>
        </w:r>
        <w:r w:rsidR="000A1A94" w:rsidRPr="006E6390">
          <w:rPr>
            <w:noProof/>
            <w:webHidden/>
          </w:rPr>
          <w:fldChar w:fldCharType="separate"/>
        </w:r>
        <w:r w:rsidR="001F1C99">
          <w:rPr>
            <w:noProof/>
            <w:webHidden/>
          </w:rPr>
          <w:t>109</w:t>
        </w:r>
        <w:r w:rsidR="000A1A94" w:rsidRPr="006E6390">
          <w:rPr>
            <w:noProof/>
            <w:webHidden/>
          </w:rPr>
          <w:fldChar w:fldCharType="end"/>
        </w:r>
      </w:hyperlink>
    </w:p>
    <w:p w14:paraId="49D2A891"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42" w:history="1">
        <w:r w:rsidR="000A1A94" w:rsidRPr="006E6390">
          <w:rPr>
            <w:rStyle w:val="Hipervnculo"/>
            <w:rFonts w:cs="Arial"/>
            <w:noProof/>
            <w:color w:val="auto"/>
          </w:rPr>
          <w:t>5.8  Fondo de pago de los bonos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_Toc38630842 \h </w:instrText>
        </w:r>
        <w:r w:rsidR="000A1A94" w:rsidRPr="006E6390">
          <w:rPr>
            <w:noProof/>
            <w:webHidden/>
          </w:rPr>
        </w:r>
        <w:r w:rsidR="000A1A94" w:rsidRPr="006E6390">
          <w:rPr>
            <w:noProof/>
            <w:webHidden/>
          </w:rPr>
          <w:fldChar w:fldCharType="separate"/>
        </w:r>
        <w:r w:rsidR="001F1C99">
          <w:rPr>
            <w:noProof/>
            <w:webHidden/>
          </w:rPr>
          <w:t>112</w:t>
        </w:r>
        <w:r w:rsidR="000A1A94" w:rsidRPr="006E6390">
          <w:rPr>
            <w:noProof/>
            <w:webHidden/>
          </w:rPr>
          <w:fldChar w:fldCharType="end"/>
        </w:r>
      </w:hyperlink>
    </w:p>
    <w:p w14:paraId="31999C84"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43" w:history="1">
        <w:r w:rsidR="000A1A94" w:rsidRPr="006E6390">
          <w:rPr>
            <w:rStyle w:val="Hipervnculo"/>
            <w:rFonts w:cs="Arial"/>
            <w:color w:val="auto"/>
          </w:rPr>
          <w:t>6.  Directores, personal gerencial, y empleados de RECOPE</w:t>
        </w:r>
        <w:r w:rsidR="000A1A94" w:rsidRPr="006E6390">
          <w:rPr>
            <w:webHidden/>
          </w:rPr>
          <w:tab/>
        </w:r>
        <w:r w:rsidR="000A1A94" w:rsidRPr="006E6390">
          <w:rPr>
            <w:webHidden/>
          </w:rPr>
          <w:fldChar w:fldCharType="begin"/>
        </w:r>
        <w:r w:rsidR="000A1A94" w:rsidRPr="006E6390">
          <w:rPr>
            <w:webHidden/>
          </w:rPr>
          <w:instrText xml:space="preserve"> PAGEREF _Toc38630843 \h </w:instrText>
        </w:r>
        <w:r w:rsidR="000A1A94" w:rsidRPr="006E6390">
          <w:rPr>
            <w:webHidden/>
          </w:rPr>
        </w:r>
        <w:r w:rsidR="000A1A94" w:rsidRPr="006E6390">
          <w:rPr>
            <w:webHidden/>
          </w:rPr>
          <w:fldChar w:fldCharType="separate"/>
        </w:r>
        <w:r w:rsidR="001F1C99">
          <w:rPr>
            <w:webHidden/>
          </w:rPr>
          <w:t>115</w:t>
        </w:r>
        <w:r w:rsidR="000A1A94" w:rsidRPr="006E6390">
          <w:rPr>
            <w:webHidden/>
          </w:rPr>
          <w:fldChar w:fldCharType="end"/>
        </w:r>
      </w:hyperlink>
    </w:p>
    <w:p w14:paraId="6D16459F"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44" w:history="1">
        <w:r w:rsidR="000A1A94" w:rsidRPr="006E6390">
          <w:rPr>
            <w:rStyle w:val="Hipervnculo"/>
            <w:rFonts w:cs="Arial"/>
            <w:noProof/>
            <w:color w:val="auto"/>
          </w:rPr>
          <w:t>6.1. Directores de RECOPE</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_Toc38630844 \h </w:instrText>
        </w:r>
        <w:r w:rsidR="000A1A94" w:rsidRPr="006E6390">
          <w:rPr>
            <w:noProof/>
            <w:webHidden/>
          </w:rPr>
        </w:r>
        <w:r w:rsidR="000A1A94" w:rsidRPr="006E6390">
          <w:rPr>
            <w:noProof/>
            <w:webHidden/>
          </w:rPr>
          <w:fldChar w:fldCharType="separate"/>
        </w:r>
        <w:r w:rsidR="001F1C99">
          <w:rPr>
            <w:noProof/>
            <w:webHidden/>
          </w:rPr>
          <w:t>115</w:t>
        </w:r>
        <w:r w:rsidR="000A1A94" w:rsidRPr="006E6390">
          <w:rPr>
            <w:noProof/>
            <w:webHidden/>
          </w:rPr>
          <w:fldChar w:fldCharType="end"/>
        </w:r>
      </w:hyperlink>
    </w:p>
    <w:p w14:paraId="0A79E485"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45" w:history="1">
        <w:r w:rsidR="000A1A94" w:rsidRPr="006E6390">
          <w:rPr>
            <w:rStyle w:val="Hipervnculo"/>
            <w:rFonts w:cs="Arial"/>
            <w:noProof/>
            <w:color w:val="auto"/>
          </w:rPr>
          <w:t>6.1.1. Miembros de la Junta Directiva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_Toc38630845 \h </w:instrText>
        </w:r>
        <w:r w:rsidR="000A1A94" w:rsidRPr="006E6390">
          <w:rPr>
            <w:noProof/>
            <w:webHidden/>
          </w:rPr>
        </w:r>
        <w:r w:rsidR="000A1A94" w:rsidRPr="006E6390">
          <w:rPr>
            <w:noProof/>
            <w:webHidden/>
          </w:rPr>
          <w:fldChar w:fldCharType="separate"/>
        </w:r>
        <w:r w:rsidR="001F1C99">
          <w:rPr>
            <w:noProof/>
            <w:webHidden/>
          </w:rPr>
          <w:t>115</w:t>
        </w:r>
        <w:r w:rsidR="000A1A94" w:rsidRPr="006E6390">
          <w:rPr>
            <w:noProof/>
            <w:webHidden/>
          </w:rPr>
          <w:fldChar w:fldCharType="end"/>
        </w:r>
      </w:hyperlink>
    </w:p>
    <w:p w14:paraId="01406A42"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46" w:history="1">
        <w:r w:rsidR="000A1A94" w:rsidRPr="006E6390">
          <w:rPr>
            <w:rStyle w:val="Hipervnculo"/>
            <w:rFonts w:cs="Arial"/>
            <w:noProof/>
            <w:color w:val="auto"/>
            <w:lang w:eastAsia="es-MX"/>
          </w:rPr>
          <w:t>6.1.2. Funciones de los miembros de la Junta Directiva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_Toc38630846 \h </w:instrText>
        </w:r>
        <w:r w:rsidR="000A1A94" w:rsidRPr="006E6390">
          <w:rPr>
            <w:noProof/>
            <w:webHidden/>
          </w:rPr>
        </w:r>
        <w:r w:rsidR="000A1A94" w:rsidRPr="006E6390">
          <w:rPr>
            <w:noProof/>
            <w:webHidden/>
          </w:rPr>
          <w:fldChar w:fldCharType="separate"/>
        </w:r>
        <w:r w:rsidR="001F1C99">
          <w:rPr>
            <w:noProof/>
            <w:webHidden/>
          </w:rPr>
          <w:t>122</w:t>
        </w:r>
        <w:r w:rsidR="000A1A94" w:rsidRPr="006E6390">
          <w:rPr>
            <w:noProof/>
            <w:webHidden/>
          </w:rPr>
          <w:fldChar w:fldCharType="end"/>
        </w:r>
      </w:hyperlink>
    </w:p>
    <w:p w14:paraId="1F391256"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47" w:history="1">
        <w:r w:rsidR="000A1A94" w:rsidRPr="006E6390">
          <w:rPr>
            <w:rStyle w:val="Hipervnculo"/>
            <w:rFonts w:cs="Arial"/>
            <w:noProof/>
            <w:color w:val="auto"/>
          </w:rPr>
          <w:t>6.1.3. Comité de Auditoría</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_Toc38630847 \h </w:instrText>
        </w:r>
        <w:r w:rsidR="000A1A94" w:rsidRPr="006E6390">
          <w:rPr>
            <w:noProof/>
            <w:webHidden/>
          </w:rPr>
        </w:r>
        <w:r w:rsidR="000A1A94" w:rsidRPr="006E6390">
          <w:rPr>
            <w:noProof/>
            <w:webHidden/>
          </w:rPr>
          <w:fldChar w:fldCharType="separate"/>
        </w:r>
        <w:r w:rsidR="001F1C99">
          <w:rPr>
            <w:noProof/>
            <w:webHidden/>
          </w:rPr>
          <w:t>126</w:t>
        </w:r>
        <w:r w:rsidR="000A1A94" w:rsidRPr="006E6390">
          <w:rPr>
            <w:noProof/>
            <w:webHidden/>
          </w:rPr>
          <w:fldChar w:fldCharType="end"/>
        </w:r>
      </w:hyperlink>
    </w:p>
    <w:p w14:paraId="6B813519" w14:textId="77777777" w:rsidR="000A1A94" w:rsidRPr="006E6390" w:rsidRDefault="00000000">
      <w:pPr>
        <w:pStyle w:val="TDC3"/>
        <w:tabs>
          <w:tab w:val="right" w:leader="dot" w:pos="9111"/>
        </w:tabs>
        <w:rPr>
          <w:rFonts w:asciiTheme="minorHAnsi" w:eastAsiaTheme="minorEastAsia" w:hAnsiTheme="minorHAnsi" w:cstheme="minorBidi"/>
          <w:noProof/>
          <w:lang w:val="es-ES" w:eastAsia="es-ES"/>
        </w:rPr>
      </w:pPr>
      <w:hyperlink w:anchor="_Toc38630848" w:history="1">
        <w:r w:rsidR="000A1A94" w:rsidRPr="006E6390">
          <w:rPr>
            <w:rStyle w:val="Hipervnculo"/>
            <w:rFonts w:cs="Arial"/>
            <w:noProof/>
            <w:color w:val="auto"/>
            <w:lang w:eastAsia="es-MX"/>
          </w:rPr>
          <w:t>6.1.4. Prácticas de selección del Consejo Directivo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_Toc38630848 \h </w:instrText>
        </w:r>
        <w:r w:rsidR="000A1A94" w:rsidRPr="006E6390">
          <w:rPr>
            <w:noProof/>
            <w:webHidden/>
          </w:rPr>
        </w:r>
        <w:r w:rsidR="000A1A94" w:rsidRPr="006E6390">
          <w:rPr>
            <w:noProof/>
            <w:webHidden/>
          </w:rPr>
          <w:fldChar w:fldCharType="separate"/>
        </w:r>
        <w:r w:rsidR="001F1C99">
          <w:rPr>
            <w:noProof/>
            <w:webHidden/>
          </w:rPr>
          <w:t>126</w:t>
        </w:r>
        <w:r w:rsidR="000A1A94" w:rsidRPr="006E6390">
          <w:rPr>
            <w:noProof/>
            <w:webHidden/>
          </w:rPr>
          <w:fldChar w:fldCharType="end"/>
        </w:r>
      </w:hyperlink>
    </w:p>
    <w:p w14:paraId="56DEECD7"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49" w:history="1">
        <w:r w:rsidR="000A1A94" w:rsidRPr="006E6390">
          <w:rPr>
            <w:rStyle w:val="Hipervnculo"/>
            <w:rFonts w:cs="Arial"/>
            <w:noProof/>
            <w:color w:val="auto"/>
            <w:lang w:eastAsia="es-MX"/>
          </w:rPr>
          <w:t>6.2. Consejo Consultivo</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_Toc38630849 \h </w:instrText>
        </w:r>
        <w:r w:rsidR="000A1A94" w:rsidRPr="006E6390">
          <w:rPr>
            <w:noProof/>
            <w:webHidden/>
          </w:rPr>
        </w:r>
        <w:r w:rsidR="000A1A94" w:rsidRPr="006E6390">
          <w:rPr>
            <w:noProof/>
            <w:webHidden/>
          </w:rPr>
          <w:fldChar w:fldCharType="separate"/>
        </w:r>
        <w:r w:rsidR="001F1C99">
          <w:rPr>
            <w:noProof/>
            <w:webHidden/>
          </w:rPr>
          <w:t>127</w:t>
        </w:r>
        <w:r w:rsidR="000A1A94" w:rsidRPr="006E6390">
          <w:rPr>
            <w:noProof/>
            <w:webHidden/>
          </w:rPr>
          <w:fldChar w:fldCharType="end"/>
        </w:r>
      </w:hyperlink>
    </w:p>
    <w:p w14:paraId="4130D3CA"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0" w:history="1">
        <w:r w:rsidR="000A1A94" w:rsidRPr="006E6390">
          <w:rPr>
            <w:rStyle w:val="Hipervnculo"/>
            <w:rFonts w:cs="Arial"/>
            <w:noProof/>
            <w:color w:val="auto"/>
          </w:rPr>
          <w:t>6.3. Organizaciones de trabajadores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_Toc38630850 \h </w:instrText>
        </w:r>
        <w:r w:rsidR="000A1A94" w:rsidRPr="006E6390">
          <w:rPr>
            <w:noProof/>
            <w:webHidden/>
          </w:rPr>
        </w:r>
        <w:r w:rsidR="000A1A94" w:rsidRPr="006E6390">
          <w:rPr>
            <w:noProof/>
            <w:webHidden/>
          </w:rPr>
          <w:fldChar w:fldCharType="separate"/>
        </w:r>
        <w:r w:rsidR="001F1C99">
          <w:rPr>
            <w:noProof/>
            <w:webHidden/>
          </w:rPr>
          <w:t>138</w:t>
        </w:r>
        <w:r w:rsidR="000A1A94" w:rsidRPr="006E6390">
          <w:rPr>
            <w:noProof/>
            <w:webHidden/>
          </w:rPr>
          <w:fldChar w:fldCharType="end"/>
        </w:r>
      </w:hyperlink>
    </w:p>
    <w:p w14:paraId="0939C481"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1" w:history="1">
        <w:r w:rsidR="000A1A94" w:rsidRPr="006E6390">
          <w:rPr>
            <w:rStyle w:val="Hipervnculo"/>
            <w:rFonts w:cs="Arial"/>
            <w:noProof/>
            <w:color w:val="auto"/>
          </w:rPr>
          <w:t>6.4. Participación social de directores, personal gerencial y empleados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_Toc38630851 \h </w:instrText>
        </w:r>
        <w:r w:rsidR="000A1A94" w:rsidRPr="006E6390">
          <w:rPr>
            <w:noProof/>
            <w:webHidden/>
          </w:rPr>
        </w:r>
        <w:r w:rsidR="000A1A94" w:rsidRPr="006E6390">
          <w:rPr>
            <w:noProof/>
            <w:webHidden/>
          </w:rPr>
          <w:fldChar w:fldCharType="separate"/>
        </w:r>
        <w:r w:rsidR="001F1C99">
          <w:rPr>
            <w:noProof/>
            <w:webHidden/>
          </w:rPr>
          <w:t>139</w:t>
        </w:r>
        <w:r w:rsidR="000A1A94" w:rsidRPr="006E6390">
          <w:rPr>
            <w:noProof/>
            <w:webHidden/>
          </w:rPr>
          <w:fldChar w:fldCharType="end"/>
        </w:r>
      </w:hyperlink>
    </w:p>
    <w:p w14:paraId="08342D5B"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52" w:history="1">
        <w:r w:rsidR="000A1A94" w:rsidRPr="006E6390">
          <w:rPr>
            <w:rStyle w:val="Hipervnculo"/>
            <w:rFonts w:cs="Arial"/>
            <w:color w:val="auto"/>
          </w:rPr>
          <w:t>7. Participaciones significativas y transacciones con partes relacionadas</w:t>
        </w:r>
        <w:r w:rsidR="000A1A94" w:rsidRPr="006E6390">
          <w:rPr>
            <w:webHidden/>
          </w:rPr>
          <w:tab/>
        </w:r>
        <w:r w:rsidR="000A1A94" w:rsidRPr="006E6390">
          <w:rPr>
            <w:webHidden/>
          </w:rPr>
          <w:fldChar w:fldCharType="begin"/>
        </w:r>
        <w:r w:rsidR="000A1A94" w:rsidRPr="006E6390">
          <w:rPr>
            <w:webHidden/>
          </w:rPr>
          <w:instrText xml:space="preserve"> PAGEREF _Toc38630852 \h </w:instrText>
        </w:r>
        <w:r w:rsidR="000A1A94" w:rsidRPr="006E6390">
          <w:rPr>
            <w:webHidden/>
          </w:rPr>
        </w:r>
        <w:r w:rsidR="000A1A94" w:rsidRPr="006E6390">
          <w:rPr>
            <w:webHidden/>
          </w:rPr>
          <w:fldChar w:fldCharType="separate"/>
        </w:r>
        <w:r w:rsidR="001F1C99">
          <w:rPr>
            <w:webHidden/>
          </w:rPr>
          <w:t>141</w:t>
        </w:r>
        <w:r w:rsidR="000A1A94" w:rsidRPr="006E6390">
          <w:rPr>
            <w:webHidden/>
          </w:rPr>
          <w:fldChar w:fldCharType="end"/>
        </w:r>
      </w:hyperlink>
    </w:p>
    <w:p w14:paraId="54BCC124"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3" w:history="1">
        <w:r w:rsidR="000A1A94" w:rsidRPr="006E6390">
          <w:rPr>
            <w:rStyle w:val="Hipervnculo"/>
            <w:rFonts w:cs="Arial"/>
            <w:noProof/>
            <w:color w:val="auto"/>
          </w:rPr>
          <w:t>7.1. Transacciones con partes relacionadas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_Toc38630853 \h </w:instrText>
        </w:r>
        <w:r w:rsidR="000A1A94" w:rsidRPr="006E6390">
          <w:rPr>
            <w:noProof/>
            <w:webHidden/>
          </w:rPr>
        </w:r>
        <w:r w:rsidR="000A1A94" w:rsidRPr="006E6390">
          <w:rPr>
            <w:noProof/>
            <w:webHidden/>
          </w:rPr>
          <w:fldChar w:fldCharType="separate"/>
        </w:r>
        <w:r w:rsidR="001F1C99">
          <w:rPr>
            <w:noProof/>
            <w:webHidden/>
          </w:rPr>
          <w:t>141</w:t>
        </w:r>
        <w:r w:rsidR="000A1A94" w:rsidRPr="006E6390">
          <w:rPr>
            <w:noProof/>
            <w:webHidden/>
          </w:rPr>
          <w:fldChar w:fldCharType="end"/>
        </w:r>
      </w:hyperlink>
    </w:p>
    <w:p w14:paraId="684A6E0C"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4" w:history="1">
        <w:r w:rsidR="000A1A94" w:rsidRPr="006E6390">
          <w:rPr>
            <w:rStyle w:val="Hipervnculo"/>
            <w:rFonts w:cs="Arial"/>
            <w:noProof/>
            <w:color w:val="auto"/>
          </w:rPr>
          <w:t>7.2. Participaciones significativas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_Toc38630854 \h </w:instrText>
        </w:r>
        <w:r w:rsidR="000A1A94" w:rsidRPr="006E6390">
          <w:rPr>
            <w:noProof/>
            <w:webHidden/>
          </w:rPr>
        </w:r>
        <w:r w:rsidR="000A1A94" w:rsidRPr="006E6390">
          <w:rPr>
            <w:noProof/>
            <w:webHidden/>
          </w:rPr>
          <w:fldChar w:fldCharType="separate"/>
        </w:r>
        <w:r w:rsidR="001F1C99">
          <w:rPr>
            <w:noProof/>
            <w:webHidden/>
          </w:rPr>
          <w:t>141</w:t>
        </w:r>
        <w:r w:rsidR="000A1A94" w:rsidRPr="006E6390">
          <w:rPr>
            <w:noProof/>
            <w:webHidden/>
          </w:rPr>
          <w:fldChar w:fldCharType="end"/>
        </w:r>
      </w:hyperlink>
    </w:p>
    <w:p w14:paraId="0A6CB8C0"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5" w:history="1">
        <w:r w:rsidR="000A1A94" w:rsidRPr="006E6390">
          <w:rPr>
            <w:rStyle w:val="Hipervnculo"/>
            <w:rFonts w:cs="Arial"/>
            <w:noProof/>
            <w:color w:val="auto"/>
          </w:rPr>
          <w:t>7.3. Participaciones de asesores y consejeros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_Toc38630855 \h </w:instrText>
        </w:r>
        <w:r w:rsidR="000A1A94" w:rsidRPr="006E6390">
          <w:rPr>
            <w:noProof/>
            <w:webHidden/>
          </w:rPr>
        </w:r>
        <w:r w:rsidR="000A1A94" w:rsidRPr="006E6390">
          <w:rPr>
            <w:noProof/>
            <w:webHidden/>
          </w:rPr>
          <w:fldChar w:fldCharType="separate"/>
        </w:r>
        <w:r w:rsidR="001F1C99">
          <w:rPr>
            <w:noProof/>
            <w:webHidden/>
          </w:rPr>
          <w:t>141</w:t>
        </w:r>
        <w:r w:rsidR="000A1A94" w:rsidRPr="006E6390">
          <w:rPr>
            <w:noProof/>
            <w:webHidden/>
          </w:rPr>
          <w:fldChar w:fldCharType="end"/>
        </w:r>
      </w:hyperlink>
    </w:p>
    <w:p w14:paraId="07F850EE" w14:textId="77777777" w:rsidR="000A1A94" w:rsidRPr="006E6390" w:rsidRDefault="00000000">
      <w:pPr>
        <w:pStyle w:val="TDC1"/>
        <w:rPr>
          <w:rFonts w:asciiTheme="minorHAnsi" w:eastAsiaTheme="minorEastAsia" w:hAnsiTheme="minorHAnsi" w:cstheme="minorBidi"/>
          <w:b w:val="0"/>
          <w:szCs w:val="22"/>
          <w:lang w:val="es-ES" w:eastAsia="es-ES"/>
        </w:rPr>
      </w:pPr>
      <w:hyperlink w:anchor="_Toc38630856" w:history="1">
        <w:r w:rsidR="000A1A94" w:rsidRPr="006E6390">
          <w:rPr>
            <w:rStyle w:val="Hipervnculo"/>
            <w:rFonts w:cs="Arial"/>
            <w:color w:val="auto"/>
          </w:rPr>
          <w:t>8. Información financiera</w:t>
        </w:r>
        <w:r w:rsidR="000A1A94" w:rsidRPr="006E6390">
          <w:rPr>
            <w:webHidden/>
          </w:rPr>
          <w:tab/>
        </w:r>
        <w:r w:rsidR="000A1A94" w:rsidRPr="006E6390">
          <w:rPr>
            <w:webHidden/>
          </w:rPr>
          <w:fldChar w:fldCharType="begin"/>
        </w:r>
        <w:r w:rsidR="000A1A94" w:rsidRPr="006E6390">
          <w:rPr>
            <w:webHidden/>
          </w:rPr>
          <w:instrText xml:space="preserve"> PAGEREF _Toc38630856 \h </w:instrText>
        </w:r>
        <w:r w:rsidR="000A1A94" w:rsidRPr="006E6390">
          <w:rPr>
            <w:webHidden/>
          </w:rPr>
        </w:r>
        <w:r w:rsidR="000A1A94" w:rsidRPr="006E6390">
          <w:rPr>
            <w:webHidden/>
          </w:rPr>
          <w:fldChar w:fldCharType="separate"/>
        </w:r>
        <w:r w:rsidR="001F1C99">
          <w:rPr>
            <w:webHidden/>
          </w:rPr>
          <w:t>142</w:t>
        </w:r>
        <w:r w:rsidR="000A1A94" w:rsidRPr="006E6390">
          <w:rPr>
            <w:webHidden/>
          </w:rPr>
          <w:fldChar w:fldCharType="end"/>
        </w:r>
      </w:hyperlink>
    </w:p>
    <w:p w14:paraId="5C457042" w14:textId="77777777" w:rsidR="000A1A94" w:rsidRPr="006E6390" w:rsidRDefault="00000000">
      <w:pPr>
        <w:pStyle w:val="TDC2"/>
        <w:tabs>
          <w:tab w:val="right" w:leader="dot" w:pos="9111"/>
        </w:tabs>
        <w:rPr>
          <w:rFonts w:asciiTheme="minorHAnsi" w:eastAsiaTheme="minorEastAsia" w:hAnsiTheme="minorHAnsi" w:cstheme="minorBidi"/>
          <w:noProof/>
          <w:lang w:val="es-ES" w:eastAsia="es-ES"/>
        </w:rPr>
      </w:pPr>
      <w:hyperlink w:anchor="_Toc38630857" w:history="1">
        <w:r w:rsidR="000A1A94" w:rsidRPr="006E6390">
          <w:rPr>
            <w:rStyle w:val="Hipervnculo"/>
            <w:rFonts w:cs="Arial"/>
            <w:noProof/>
            <w:color w:val="auto"/>
          </w:rPr>
          <w:t>8.1 Periodicidad de la información a los inversionistas</w:t>
        </w:r>
        <w:r w:rsidR="000A1A94" w:rsidRPr="006E6390">
          <w:rPr>
            <w:noProof/>
            <w:webHidden/>
          </w:rPr>
          <w:tab/>
        </w:r>
        <w:r w:rsidR="000A1A94" w:rsidRPr="006E6390">
          <w:rPr>
            <w:noProof/>
            <w:webHidden/>
          </w:rPr>
          <w:fldChar w:fldCharType="begin"/>
        </w:r>
        <w:r w:rsidR="000A1A94" w:rsidRPr="006E6390">
          <w:rPr>
            <w:noProof/>
            <w:webHidden/>
          </w:rPr>
          <w:instrText xml:space="preserve"> PAGEREF _Toc38630857 \h </w:instrText>
        </w:r>
        <w:r w:rsidR="000A1A94" w:rsidRPr="006E6390">
          <w:rPr>
            <w:noProof/>
            <w:webHidden/>
          </w:rPr>
        </w:r>
        <w:r w:rsidR="000A1A94" w:rsidRPr="006E6390">
          <w:rPr>
            <w:noProof/>
            <w:webHidden/>
          </w:rPr>
          <w:fldChar w:fldCharType="separate"/>
        </w:r>
        <w:r w:rsidR="001F1C99">
          <w:rPr>
            <w:noProof/>
            <w:webHidden/>
          </w:rPr>
          <w:t>142</w:t>
        </w:r>
        <w:r w:rsidR="000A1A94" w:rsidRPr="006E6390">
          <w:rPr>
            <w:noProof/>
            <w:webHidden/>
          </w:rPr>
          <w:fldChar w:fldCharType="end"/>
        </w:r>
      </w:hyperlink>
    </w:p>
    <w:p w14:paraId="6EF07DD9" w14:textId="77777777" w:rsidR="005B390E" w:rsidRPr="006E6390" w:rsidRDefault="00BC5999" w:rsidP="000D56DE">
      <w:pPr>
        <w:tabs>
          <w:tab w:val="left" w:pos="9270"/>
        </w:tabs>
      </w:pPr>
      <w:r w:rsidRPr="006E6390">
        <w:rPr>
          <w:rFonts w:ascii="Helvetica" w:hAnsi="Helvetica" w:cs="Helvetica"/>
          <w:szCs w:val="24"/>
        </w:rPr>
        <w:fldChar w:fldCharType="end"/>
      </w:r>
    </w:p>
    <w:p w14:paraId="1B18E0ED" w14:textId="77777777" w:rsidR="005B390E" w:rsidRPr="006E6390" w:rsidRDefault="005B390E" w:rsidP="000D56DE">
      <w:pPr>
        <w:tabs>
          <w:tab w:val="left" w:pos="9270"/>
        </w:tabs>
        <w:rPr>
          <w:lang w:eastAsia="es-MX"/>
        </w:rPr>
      </w:pPr>
      <w:r w:rsidRPr="006E6390">
        <w:rPr>
          <w:lang w:eastAsia="es-MX"/>
        </w:rPr>
        <w:br w:type="page"/>
      </w:r>
    </w:p>
    <w:p w14:paraId="24799793" w14:textId="77777777" w:rsidR="005B390E" w:rsidRPr="006E6390" w:rsidRDefault="006B3E85" w:rsidP="006B3E85">
      <w:pPr>
        <w:tabs>
          <w:tab w:val="left" w:pos="9270"/>
        </w:tabs>
        <w:jc w:val="center"/>
        <w:rPr>
          <w:sz w:val="28"/>
        </w:rPr>
      </w:pPr>
      <w:r w:rsidRPr="006E6390">
        <w:rPr>
          <w:noProof/>
          <w:sz w:val="28"/>
        </w:rPr>
        <w:lastRenderedPageBreak/>
        <w:drawing>
          <wp:inline distT="0" distB="0" distL="0" distR="0" wp14:anchorId="3BE6EEBB" wp14:editId="25614F2E">
            <wp:extent cx="2066925" cy="69152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334" cy="690990"/>
                    </a:xfrm>
                    <a:prstGeom prst="rect">
                      <a:avLst/>
                    </a:prstGeom>
                    <a:noFill/>
                    <a:ln>
                      <a:noFill/>
                    </a:ln>
                  </pic:spPr>
                </pic:pic>
              </a:graphicData>
            </a:graphic>
          </wp:inline>
        </w:drawing>
      </w:r>
    </w:p>
    <w:p w14:paraId="67B8B412" w14:textId="77777777" w:rsidR="005B390E" w:rsidRPr="006E6390" w:rsidRDefault="005B390E" w:rsidP="002331C3">
      <w:pPr>
        <w:pStyle w:val="Ttulo"/>
        <w:tabs>
          <w:tab w:val="left" w:pos="9270"/>
        </w:tabs>
        <w:rPr>
          <w:rFonts w:cs="Arial"/>
          <w:sz w:val="28"/>
        </w:rPr>
      </w:pPr>
      <w:r w:rsidRPr="006E6390">
        <w:rPr>
          <w:rFonts w:cs="Arial"/>
          <w:sz w:val="28"/>
        </w:rPr>
        <w:t xml:space="preserve">Prospecto de Inversión </w:t>
      </w:r>
    </w:p>
    <w:p w14:paraId="33E1164B" w14:textId="77777777" w:rsidR="005B390E" w:rsidRPr="006E6390" w:rsidRDefault="005B390E" w:rsidP="002331C3">
      <w:pPr>
        <w:tabs>
          <w:tab w:val="left" w:pos="9270"/>
        </w:tabs>
        <w:jc w:val="center"/>
        <w:rPr>
          <w:rFonts w:cs="Arial"/>
          <w:b/>
        </w:rPr>
      </w:pPr>
      <w:r w:rsidRPr="006E6390">
        <w:rPr>
          <w:rFonts w:cs="Arial"/>
          <w:b/>
        </w:rPr>
        <w:t>REFINADORA COSTARRICENSE DE PETRÓLEO S.A.</w:t>
      </w:r>
    </w:p>
    <w:p w14:paraId="5D210978" w14:textId="77777777" w:rsidR="005B390E" w:rsidRPr="006E6390" w:rsidRDefault="00C112E1" w:rsidP="00B86698">
      <w:pPr>
        <w:pStyle w:val="Ttulo1"/>
      </w:pPr>
      <w:bookmarkStart w:id="2" w:name="_Toc146599920"/>
      <w:bookmarkStart w:id="3" w:name="_Toc262483783"/>
      <w:bookmarkStart w:id="4" w:name="_Toc38630767"/>
      <w:r w:rsidRPr="006E6390">
        <w:t xml:space="preserve">1. </w:t>
      </w:r>
      <w:r w:rsidR="005B390E" w:rsidRPr="006E6390">
        <w:t>Información sobre las emisiones, la oferta e identificación de los directores, gerentes y asesores involucrados con el proceso de oferta pública</w:t>
      </w:r>
      <w:bookmarkEnd w:id="2"/>
      <w:bookmarkEnd w:id="3"/>
      <w:bookmarkEnd w:id="4"/>
    </w:p>
    <w:p w14:paraId="577532B5" w14:textId="77777777" w:rsidR="005B390E" w:rsidRPr="006E6390" w:rsidRDefault="005B390E" w:rsidP="002331C3">
      <w:pPr>
        <w:pStyle w:val="Ttulo2"/>
        <w:tabs>
          <w:tab w:val="left" w:pos="9270"/>
        </w:tabs>
        <w:rPr>
          <w:rFonts w:cs="Arial"/>
          <w:szCs w:val="22"/>
        </w:rPr>
      </w:pPr>
      <w:bookmarkStart w:id="5" w:name="_Toc38630768"/>
      <w:r w:rsidRPr="006E6390">
        <w:rPr>
          <w:rFonts w:cs="Arial"/>
          <w:szCs w:val="22"/>
        </w:rPr>
        <w:t>1.1</w:t>
      </w:r>
      <w:r w:rsidR="00C112E1" w:rsidRPr="006E6390">
        <w:rPr>
          <w:rFonts w:cs="Arial"/>
          <w:szCs w:val="22"/>
        </w:rPr>
        <w:t>.</w:t>
      </w:r>
      <w:r w:rsidRPr="006E6390">
        <w:rPr>
          <w:rFonts w:cs="Arial"/>
          <w:szCs w:val="22"/>
        </w:rPr>
        <w:t xml:space="preserve"> Información sobre la emisión y la oferta</w:t>
      </w:r>
      <w:bookmarkEnd w:id="5"/>
    </w:p>
    <w:p w14:paraId="46273C18" w14:textId="77777777" w:rsidR="005B390E" w:rsidRPr="006E6390" w:rsidRDefault="005B390E" w:rsidP="002331C3">
      <w:pPr>
        <w:pStyle w:val="Ttulo3"/>
        <w:tabs>
          <w:tab w:val="left" w:pos="9270"/>
        </w:tabs>
        <w:rPr>
          <w:rFonts w:cs="Arial"/>
        </w:rPr>
      </w:pPr>
      <w:bookmarkStart w:id="6" w:name="_Toc229150713"/>
      <w:bookmarkStart w:id="7" w:name="_Toc262483785"/>
      <w:bookmarkStart w:id="8" w:name="_Toc38630769"/>
      <w:bookmarkEnd w:id="6"/>
      <w:r w:rsidRPr="006E6390">
        <w:rPr>
          <w:rFonts w:cs="Arial"/>
        </w:rPr>
        <w:t>1.1.1</w:t>
      </w:r>
      <w:r w:rsidR="00C112E1" w:rsidRPr="006E6390">
        <w:rPr>
          <w:rFonts w:cs="Arial"/>
        </w:rPr>
        <w:t>.</w:t>
      </w:r>
      <w:r w:rsidRPr="006E6390">
        <w:rPr>
          <w:rFonts w:cs="Arial"/>
        </w:rPr>
        <w:t xml:space="preserve"> Programa de Emisión de Bonos Estandarizados</w:t>
      </w:r>
      <w:bookmarkEnd w:id="7"/>
      <w:bookmarkEnd w:id="8"/>
    </w:p>
    <w:p w14:paraId="6A394599" w14:textId="77777777" w:rsidR="005B390E" w:rsidRPr="006E6390" w:rsidRDefault="005B390E" w:rsidP="004A26B9">
      <w:pPr>
        <w:rPr>
          <w:rFonts w:cs="Arial"/>
        </w:rPr>
      </w:pPr>
      <w:r w:rsidRPr="006E6390">
        <w:rPr>
          <w:rFonts w:cs="Arial"/>
        </w:rPr>
        <w:t xml:space="preserve">La inscripción del programa A de emisiones de Bonos Estandarizados, de la Refinadora Costarricense de Petróleo S.A. – en adelante RECOPE – fue autorizada por la Junta Directiva en el artículo 5 de la sesión ordinaria N°4519-72 celebrada el miércoles 26 de enero del 2011, el cual fue reformado por el artículo 4.1 del acta de la sesión ordinara N° 4574-127, celebrada el miércoles 24 de agosto del 2011. </w:t>
      </w:r>
      <w:r w:rsidR="00DF75B3" w:rsidRPr="006E6390">
        <w:rPr>
          <w:rFonts w:cs="Arial"/>
        </w:rPr>
        <w:t>Finalmente,</w:t>
      </w:r>
      <w:r w:rsidRPr="006E6390">
        <w:rPr>
          <w:rFonts w:cs="Arial"/>
        </w:rPr>
        <w:t xml:space="preserve"> en la Sesión Ordinaria #4638-191, celebrada el miércoles 16 de mayo de 2012 Artículo #3.3 se modificaron estos acuerdos para autorizar “la colocación de los títulos valores tanto en el mercado de valores costarricense como en mercados extranjeros”.</w:t>
      </w:r>
    </w:p>
    <w:p w14:paraId="322FF977" w14:textId="77777777" w:rsidR="005B390E" w:rsidRPr="006E6390" w:rsidRDefault="005B390E" w:rsidP="004A26B9">
      <w:pPr>
        <w:rPr>
          <w:rFonts w:cs="Arial"/>
        </w:rPr>
      </w:pPr>
      <w:r w:rsidRPr="006E6390">
        <w:rPr>
          <w:rFonts w:cs="Arial"/>
        </w:rPr>
        <w:t>Las características del programa A de emisiones de bonos, se detalla a continuación:</w:t>
      </w:r>
    </w:p>
    <w:tbl>
      <w:tblPr>
        <w:tblStyle w:val="Tablaconcuadrculaclara"/>
        <w:tblW w:w="8550" w:type="dxa"/>
        <w:tblLook w:val="0000" w:firstRow="0" w:lastRow="0" w:firstColumn="0" w:lastColumn="0" w:noHBand="0" w:noVBand="0"/>
      </w:tblPr>
      <w:tblGrid>
        <w:gridCol w:w="3060"/>
        <w:gridCol w:w="5490"/>
      </w:tblGrid>
      <w:tr w:rsidR="005B390E" w:rsidRPr="006E6390" w14:paraId="51AAFF47" w14:textId="77777777" w:rsidTr="00477242">
        <w:tc>
          <w:tcPr>
            <w:tcW w:w="3060" w:type="dxa"/>
          </w:tcPr>
          <w:p w14:paraId="75821FDF"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Clase de instrumento</w:t>
            </w:r>
          </w:p>
        </w:tc>
        <w:tc>
          <w:tcPr>
            <w:tcW w:w="5490" w:type="dxa"/>
          </w:tcPr>
          <w:p w14:paraId="1C0D9F75"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Bonos</w:t>
            </w:r>
          </w:p>
        </w:tc>
      </w:tr>
      <w:tr w:rsidR="005B390E" w:rsidRPr="006E6390" w14:paraId="7FCA8F4F" w14:textId="77777777" w:rsidTr="00477242">
        <w:tc>
          <w:tcPr>
            <w:tcW w:w="3060" w:type="dxa"/>
          </w:tcPr>
          <w:p w14:paraId="28103457"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Nombre del programa</w:t>
            </w:r>
          </w:p>
        </w:tc>
        <w:tc>
          <w:tcPr>
            <w:tcW w:w="5490" w:type="dxa"/>
          </w:tcPr>
          <w:p w14:paraId="10B4B684"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Programa A de Emisiones de Bonos Estandarizados</w:t>
            </w:r>
          </w:p>
        </w:tc>
      </w:tr>
      <w:tr w:rsidR="005B390E" w:rsidRPr="006E6390" w14:paraId="7D6EBF3E" w14:textId="77777777" w:rsidTr="00477242">
        <w:tc>
          <w:tcPr>
            <w:tcW w:w="3060" w:type="dxa"/>
          </w:tcPr>
          <w:p w14:paraId="18E8D418"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Monto total del programa y moneda</w:t>
            </w:r>
          </w:p>
        </w:tc>
        <w:tc>
          <w:tcPr>
            <w:tcW w:w="5490" w:type="dxa"/>
          </w:tcPr>
          <w:p w14:paraId="371D6314"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$200</w:t>
            </w:r>
            <w:r w:rsidR="00560980" w:rsidRPr="006E6390">
              <w:rPr>
                <w:rFonts w:cs="Arial"/>
              </w:rPr>
              <w:t xml:space="preserve"> </w:t>
            </w:r>
            <w:r w:rsidRPr="006E6390">
              <w:rPr>
                <w:rFonts w:cs="Arial"/>
              </w:rPr>
              <w:t>000</w:t>
            </w:r>
            <w:r w:rsidR="00560980" w:rsidRPr="006E6390">
              <w:rPr>
                <w:rFonts w:cs="Arial"/>
              </w:rPr>
              <w:t xml:space="preserve"> </w:t>
            </w:r>
            <w:r w:rsidRPr="006E6390">
              <w:rPr>
                <w:rFonts w:cs="Arial"/>
              </w:rPr>
              <w:t>000 dólares</w:t>
            </w:r>
            <w:r w:rsidR="007B007B">
              <w:rPr>
                <w:rFonts w:cs="Arial"/>
              </w:rPr>
              <w:t>,</w:t>
            </w:r>
            <w:r w:rsidRPr="006E6390">
              <w:rPr>
                <w:rFonts w:cs="Arial"/>
              </w:rPr>
              <w:t xml:space="preserve"> moneda del curso legal de Estados Unidos</w:t>
            </w:r>
          </w:p>
        </w:tc>
      </w:tr>
      <w:tr w:rsidR="005B390E" w:rsidRPr="006E6390" w14:paraId="401DC660" w14:textId="77777777" w:rsidTr="00477242">
        <w:trPr>
          <w:trHeight w:val="540"/>
        </w:trPr>
        <w:tc>
          <w:tcPr>
            <w:tcW w:w="3060" w:type="dxa"/>
          </w:tcPr>
          <w:p w14:paraId="1CABAA95"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Series y plazos del </w:t>
            </w:r>
            <w:r w:rsidR="006B4CA2" w:rsidRPr="006E6390">
              <w:rPr>
                <w:rFonts w:cs="Arial"/>
              </w:rPr>
              <w:t>programa (</w:t>
            </w:r>
            <w:r w:rsidRPr="006E6390">
              <w:rPr>
                <w:rFonts w:cs="Arial"/>
              </w:rPr>
              <w:t>1</w:t>
            </w:r>
            <w:r w:rsidR="00CF7125" w:rsidRPr="006E6390">
              <w:rPr>
                <w:rFonts w:cs="Arial"/>
              </w:rPr>
              <w:t>)</w:t>
            </w:r>
          </w:p>
        </w:tc>
        <w:tc>
          <w:tcPr>
            <w:tcW w:w="5490" w:type="dxa"/>
          </w:tcPr>
          <w:p w14:paraId="00BBCFC1"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El nombre de las series y el plazo de las mismas se definirán previos a la colocación mediante</w:t>
            </w:r>
            <w:r w:rsidR="00965240" w:rsidRPr="006E6390">
              <w:rPr>
                <w:rFonts w:cs="Arial"/>
              </w:rPr>
              <w:t xml:space="preserve"> Comunicado de Hecho Relevante</w:t>
            </w:r>
          </w:p>
        </w:tc>
      </w:tr>
      <w:tr w:rsidR="005B390E" w:rsidRPr="006E6390" w14:paraId="71DE0BB5" w14:textId="77777777" w:rsidTr="00477242">
        <w:tc>
          <w:tcPr>
            <w:tcW w:w="3060" w:type="dxa"/>
          </w:tcPr>
          <w:p w14:paraId="5150319C"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Moneda de las </w:t>
            </w:r>
            <w:r w:rsidR="00DF75B3" w:rsidRPr="006E6390">
              <w:rPr>
                <w:rFonts w:cs="Arial"/>
              </w:rPr>
              <w:t>emisiones (</w:t>
            </w:r>
            <w:r w:rsidRPr="006E6390">
              <w:rPr>
                <w:rFonts w:cs="Arial"/>
              </w:rPr>
              <w:t>1</w:t>
            </w:r>
            <w:r w:rsidR="00CF7125" w:rsidRPr="006E6390">
              <w:rPr>
                <w:rFonts w:cs="Arial"/>
              </w:rPr>
              <w:t>)</w:t>
            </w:r>
          </w:p>
        </w:tc>
        <w:tc>
          <w:tcPr>
            <w:tcW w:w="5490" w:type="dxa"/>
          </w:tcPr>
          <w:p w14:paraId="0C8BFFB9"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 xml:space="preserve">Las series del Programa A podrán ser emitidas en colones </w:t>
            </w:r>
            <w:r w:rsidR="00162456" w:rsidRPr="006E6390">
              <w:rPr>
                <w:rFonts w:cs="Arial"/>
              </w:rPr>
              <w:t xml:space="preserve">o </w:t>
            </w:r>
            <w:r w:rsidRPr="006E6390">
              <w:rPr>
                <w:rFonts w:cs="Arial"/>
              </w:rPr>
              <w:t>dólares, moneda del cu</w:t>
            </w:r>
            <w:r w:rsidR="00965240" w:rsidRPr="006E6390">
              <w:rPr>
                <w:rFonts w:cs="Arial"/>
              </w:rPr>
              <w:t>rso legal de los Estados Unidos</w:t>
            </w:r>
          </w:p>
        </w:tc>
      </w:tr>
      <w:tr w:rsidR="005B390E" w:rsidRPr="006E6390" w14:paraId="7E378737" w14:textId="77777777" w:rsidTr="00477242">
        <w:tc>
          <w:tcPr>
            <w:tcW w:w="3060" w:type="dxa"/>
          </w:tcPr>
          <w:p w14:paraId="6E742519"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Monto de cada </w:t>
            </w:r>
            <w:r w:rsidR="00DF75B3" w:rsidRPr="006E6390">
              <w:rPr>
                <w:rFonts w:cs="Arial"/>
              </w:rPr>
              <w:t>emisión (</w:t>
            </w:r>
            <w:r w:rsidR="00CF7125" w:rsidRPr="006E6390">
              <w:rPr>
                <w:rFonts w:cs="Arial"/>
              </w:rPr>
              <w:t>1)</w:t>
            </w:r>
          </w:p>
        </w:tc>
        <w:tc>
          <w:tcPr>
            <w:tcW w:w="5490" w:type="dxa"/>
          </w:tcPr>
          <w:p w14:paraId="78C02425"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 definirse previo a la colocación mediante Comunicado de Hecho Relevante</w:t>
            </w:r>
          </w:p>
        </w:tc>
      </w:tr>
      <w:tr w:rsidR="005B390E" w:rsidRPr="006E6390" w14:paraId="4E16697B" w14:textId="77777777" w:rsidTr="00477242">
        <w:tc>
          <w:tcPr>
            <w:tcW w:w="3060" w:type="dxa"/>
          </w:tcPr>
          <w:p w14:paraId="334B38D9"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lastRenderedPageBreak/>
              <w:t xml:space="preserve">Fecha de emisión y de </w:t>
            </w:r>
            <w:r w:rsidR="00DF75B3" w:rsidRPr="006E6390">
              <w:rPr>
                <w:rFonts w:cs="Arial"/>
              </w:rPr>
              <w:t>vencimiento (</w:t>
            </w:r>
            <w:r w:rsidR="00CF7125" w:rsidRPr="006E6390">
              <w:rPr>
                <w:rFonts w:cs="Arial"/>
              </w:rPr>
              <w:t>1)</w:t>
            </w:r>
          </w:p>
        </w:tc>
        <w:tc>
          <w:tcPr>
            <w:tcW w:w="5490" w:type="dxa"/>
          </w:tcPr>
          <w:p w14:paraId="67D0BE03"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 definirse previo a la colocación mediante Comunicado de Hecho Relevante</w:t>
            </w:r>
          </w:p>
        </w:tc>
      </w:tr>
      <w:tr w:rsidR="005B390E" w:rsidRPr="006E6390" w14:paraId="304B1748" w14:textId="77777777" w:rsidTr="00477242">
        <w:tc>
          <w:tcPr>
            <w:tcW w:w="3060" w:type="dxa"/>
          </w:tcPr>
          <w:p w14:paraId="4CD97F35"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Denominación o valor facial</w:t>
            </w:r>
          </w:p>
        </w:tc>
        <w:tc>
          <w:tcPr>
            <w:tcW w:w="5490" w:type="dxa"/>
          </w:tcPr>
          <w:p w14:paraId="4EF1E0D4" w14:textId="77777777" w:rsidR="005B390E" w:rsidRPr="006E6390" w:rsidRDefault="00965240" w:rsidP="007B007B">
            <w:pPr>
              <w:pStyle w:val="Tablas"/>
              <w:tabs>
                <w:tab w:val="left" w:pos="9270"/>
              </w:tabs>
              <w:spacing w:beforeLines="60" w:before="144" w:afterLines="60" w:after="144"/>
              <w:jc w:val="both"/>
              <w:rPr>
                <w:rFonts w:cs="Arial"/>
              </w:rPr>
            </w:pPr>
            <w:r w:rsidRPr="006E6390">
              <w:rPr>
                <w:rFonts w:cs="Arial"/>
              </w:rPr>
              <w:t>$1</w:t>
            </w:r>
            <w:r w:rsidR="00560980" w:rsidRPr="006E6390">
              <w:rPr>
                <w:rFonts w:cs="Arial"/>
              </w:rPr>
              <w:t xml:space="preserve"> </w:t>
            </w:r>
            <w:r w:rsidR="005B390E" w:rsidRPr="006E6390">
              <w:rPr>
                <w:rFonts w:cs="Arial"/>
              </w:rPr>
              <w:t>000 (</w:t>
            </w:r>
            <w:r w:rsidRPr="006E6390">
              <w:rPr>
                <w:rFonts w:cs="Arial"/>
              </w:rPr>
              <w:t>m</w:t>
            </w:r>
            <w:r w:rsidR="005B390E" w:rsidRPr="006E6390">
              <w:rPr>
                <w:rFonts w:cs="Arial"/>
              </w:rPr>
              <w:t>il dólares) y ¢1</w:t>
            </w:r>
            <w:r w:rsidR="00560980" w:rsidRPr="006E6390">
              <w:rPr>
                <w:rFonts w:cs="Arial"/>
              </w:rPr>
              <w:t xml:space="preserve"> </w:t>
            </w:r>
            <w:r w:rsidR="005B390E" w:rsidRPr="006E6390">
              <w:rPr>
                <w:rFonts w:cs="Arial"/>
              </w:rPr>
              <w:t>000</w:t>
            </w:r>
            <w:r w:rsidR="00560980" w:rsidRPr="006E6390">
              <w:rPr>
                <w:rFonts w:cs="Arial"/>
              </w:rPr>
              <w:t xml:space="preserve"> </w:t>
            </w:r>
            <w:r w:rsidR="005B390E" w:rsidRPr="006E6390">
              <w:rPr>
                <w:rFonts w:cs="Arial"/>
              </w:rPr>
              <w:t>000 (</w:t>
            </w:r>
            <w:r w:rsidRPr="006E6390">
              <w:rPr>
                <w:rFonts w:cs="Arial"/>
              </w:rPr>
              <w:t>u</w:t>
            </w:r>
            <w:r w:rsidR="005B390E" w:rsidRPr="006E6390">
              <w:rPr>
                <w:rFonts w:cs="Arial"/>
              </w:rPr>
              <w:t>n millón de colones), para las emisiones en dólar</w:t>
            </w:r>
            <w:r w:rsidRPr="006E6390">
              <w:rPr>
                <w:rFonts w:cs="Arial"/>
              </w:rPr>
              <w:t>es y en colones respectivamente</w:t>
            </w:r>
          </w:p>
        </w:tc>
      </w:tr>
      <w:tr w:rsidR="005B390E" w:rsidRPr="006E6390" w14:paraId="646E6FFA" w14:textId="77777777" w:rsidTr="00477242">
        <w:tc>
          <w:tcPr>
            <w:tcW w:w="3060" w:type="dxa"/>
          </w:tcPr>
          <w:p w14:paraId="4BC8FF12"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Tasa de interés </w:t>
            </w:r>
            <w:r w:rsidR="00DF75B3" w:rsidRPr="006E6390">
              <w:rPr>
                <w:rFonts w:cs="Arial"/>
              </w:rPr>
              <w:t>bruta (</w:t>
            </w:r>
            <w:r w:rsidR="00CF7125" w:rsidRPr="006E6390">
              <w:rPr>
                <w:rFonts w:cs="Arial"/>
              </w:rPr>
              <w:t>1, 3)</w:t>
            </w:r>
          </w:p>
        </w:tc>
        <w:tc>
          <w:tcPr>
            <w:tcW w:w="5490" w:type="dxa"/>
          </w:tcPr>
          <w:p w14:paraId="78EE2E2D"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 definirse previo a la colocación mediante Comunicado de Hecho Relevante</w:t>
            </w:r>
          </w:p>
        </w:tc>
      </w:tr>
      <w:tr w:rsidR="005B390E" w:rsidRPr="006E6390" w14:paraId="56F861EA" w14:textId="77777777" w:rsidTr="00477242">
        <w:tc>
          <w:tcPr>
            <w:tcW w:w="3060" w:type="dxa"/>
          </w:tcPr>
          <w:p w14:paraId="7BCABEEE"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Tasa de interés </w:t>
            </w:r>
            <w:r w:rsidR="00DF75B3" w:rsidRPr="006E6390">
              <w:rPr>
                <w:rFonts w:cs="Arial"/>
              </w:rPr>
              <w:t>neta (</w:t>
            </w:r>
            <w:r w:rsidR="00CF7125" w:rsidRPr="006E6390">
              <w:rPr>
                <w:rFonts w:cs="Arial"/>
              </w:rPr>
              <w:t>3)</w:t>
            </w:r>
          </w:p>
        </w:tc>
        <w:tc>
          <w:tcPr>
            <w:tcW w:w="5490" w:type="dxa"/>
          </w:tcPr>
          <w:p w14:paraId="2C0BACFE"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 xml:space="preserve">Tasa </w:t>
            </w:r>
            <w:r w:rsidR="00965240" w:rsidRPr="006E6390">
              <w:rPr>
                <w:rFonts w:cs="Arial"/>
              </w:rPr>
              <w:t>b</w:t>
            </w:r>
            <w:r w:rsidRPr="006E6390">
              <w:rPr>
                <w:rFonts w:cs="Arial"/>
              </w:rPr>
              <w:t>ruta menos Impuesto sobre la renta vi</w:t>
            </w:r>
            <w:r w:rsidR="00965240" w:rsidRPr="006E6390">
              <w:rPr>
                <w:rFonts w:cs="Arial"/>
              </w:rPr>
              <w:t>gente aplicable a los intereses</w:t>
            </w:r>
          </w:p>
        </w:tc>
      </w:tr>
      <w:tr w:rsidR="005B390E" w:rsidRPr="006E6390" w14:paraId="660356CF" w14:textId="77777777" w:rsidTr="00477242">
        <w:tc>
          <w:tcPr>
            <w:tcW w:w="3060" w:type="dxa"/>
          </w:tcPr>
          <w:p w14:paraId="11D13F74" w14:textId="77777777" w:rsidR="005B390E" w:rsidRPr="006E6390" w:rsidRDefault="00DF2474" w:rsidP="00FB5A98">
            <w:pPr>
              <w:pStyle w:val="Tablas"/>
              <w:tabs>
                <w:tab w:val="left" w:pos="9270"/>
              </w:tabs>
              <w:spacing w:beforeLines="60" w:before="144" w:afterLines="60" w:after="144"/>
              <w:rPr>
                <w:rFonts w:cs="Arial"/>
              </w:rPr>
            </w:pPr>
            <w:r w:rsidRPr="006E6390">
              <w:rPr>
                <w:rFonts w:cs="Arial"/>
              </w:rPr>
              <w:t>Opción r</w:t>
            </w:r>
            <w:r w:rsidR="005B390E" w:rsidRPr="006E6390">
              <w:rPr>
                <w:rFonts w:cs="Arial"/>
              </w:rPr>
              <w:t xml:space="preserve">edención </w:t>
            </w:r>
            <w:r w:rsidR="00DF75B3" w:rsidRPr="006E6390">
              <w:rPr>
                <w:rFonts w:cs="Arial"/>
              </w:rPr>
              <w:t>anticipada (</w:t>
            </w:r>
            <w:r w:rsidR="00CF7125" w:rsidRPr="006E6390">
              <w:rPr>
                <w:rFonts w:cs="Arial"/>
              </w:rPr>
              <w:t>1, 2)</w:t>
            </w:r>
          </w:p>
        </w:tc>
        <w:tc>
          <w:tcPr>
            <w:tcW w:w="5490" w:type="dxa"/>
          </w:tcPr>
          <w:p w14:paraId="237BF8C5"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 xml:space="preserve">Se definirá previo a la colocación mediante Comunicado de Hecho Relevante, si la serie tiene una opción de redención </w:t>
            </w:r>
            <w:r w:rsidR="00DF75B3" w:rsidRPr="006E6390">
              <w:rPr>
                <w:rFonts w:cs="Arial"/>
              </w:rPr>
              <w:t>anticipada, la</w:t>
            </w:r>
            <w:r w:rsidRPr="006E6390">
              <w:rPr>
                <w:rFonts w:cs="Arial"/>
              </w:rPr>
              <w:t xml:space="preserve"> fecha a partir de la cual se puede ejecutar la opción de redención anti</w:t>
            </w:r>
            <w:r w:rsidR="00965240" w:rsidRPr="006E6390">
              <w:rPr>
                <w:rFonts w:cs="Arial"/>
              </w:rPr>
              <w:t>cipada y el precio de redención</w:t>
            </w:r>
          </w:p>
        </w:tc>
      </w:tr>
      <w:tr w:rsidR="005B390E" w:rsidRPr="006E6390" w14:paraId="3993886E" w14:textId="77777777" w:rsidTr="00477242">
        <w:tc>
          <w:tcPr>
            <w:tcW w:w="3060" w:type="dxa"/>
          </w:tcPr>
          <w:p w14:paraId="29263AB6"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Factor de cálculo </w:t>
            </w:r>
          </w:p>
        </w:tc>
        <w:tc>
          <w:tcPr>
            <w:tcW w:w="5490" w:type="dxa"/>
          </w:tcPr>
          <w:p w14:paraId="3AA72718"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30 / 360</w:t>
            </w:r>
          </w:p>
        </w:tc>
      </w:tr>
      <w:tr w:rsidR="005B390E" w:rsidRPr="006E6390" w14:paraId="37F3AE4A" w14:textId="77777777" w:rsidTr="00477242">
        <w:tc>
          <w:tcPr>
            <w:tcW w:w="3060" w:type="dxa"/>
          </w:tcPr>
          <w:p w14:paraId="6BE5AD17" w14:textId="77777777" w:rsidR="005B390E" w:rsidRPr="006E6390" w:rsidRDefault="00076A36" w:rsidP="00FB5A98">
            <w:pPr>
              <w:pStyle w:val="Tablas"/>
              <w:tabs>
                <w:tab w:val="left" w:pos="9270"/>
              </w:tabs>
              <w:spacing w:beforeLines="60" w:before="144" w:afterLines="60" w:after="144"/>
              <w:rPr>
                <w:rFonts w:cs="Arial"/>
              </w:rPr>
            </w:pPr>
            <w:r w:rsidRPr="006E6390">
              <w:rPr>
                <w:rFonts w:cs="Arial"/>
              </w:rPr>
              <w:t>Periodicidad</w:t>
            </w:r>
            <w:r w:rsidR="005B390E" w:rsidRPr="006E6390">
              <w:rPr>
                <w:rFonts w:cs="Arial"/>
              </w:rPr>
              <w:t>1</w:t>
            </w:r>
          </w:p>
        </w:tc>
        <w:tc>
          <w:tcPr>
            <w:tcW w:w="5490" w:type="dxa"/>
          </w:tcPr>
          <w:p w14:paraId="652E2FFB"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 definirse previo a la colocación mediante</w:t>
            </w:r>
            <w:r w:rsidR="00965240" w:rsidRPr="006E6390">
              <w:rPr>
                <w:rFonts w:cs="Arial"/>
              </w:rPr>
              <w:t xml:space="preserve"> Comunicado de Hecho Relevante</w:t>
            </w:r>
          </w:p>
        </w:tc>
      </w:tr>
      <w:tr w:rsidR="005B390E" w:rsidRPr="006E6390" w14:paraId="78FD3FDA" w14:textId="77777777" w:rsidTr="00477242">
        <w:tc>
          <w:tcPr>
            <w:tcW w:w="3060" w:type="dxa"/>
          </w:tcPr>
          <w:p w14:paraId="1A721B43" w14:textId="77777777" w:rsidR="005B390E" w:rsidRPr="006E6390" w:rsidRDefault="00DF2474" w:rsidP="00FB5A98">
            <w:pPr>
              <w:pStyle w:val="Tablas"/>
              <w:tabs>
                <w:tab w:val="left" w:pos="9270"/>
              </w:tabs>
              <w:spacing w:beforeLines="60" w:before="144" w:afterLines="60" w:after="144"/>
              <w:rPr>
                <w:rFonts w:cs="Arial"/>
              </w:rPr>
            </w:pPr>
            <w:r w:rsidRPr="006E6390">
              <w:rPr>
                <w:rFonts w:cs="Arial"/>
              </w:rPr>
              <w:t>Amortización del p</w:t>
            </w:r>
            <w:r w:rsidR="005B390E" w:rsidRPr="006E6390">
              <w:rPr>
                <w:rFonts w:cs="Arial"/>
              </w:rPr>
              <w:t>rincipal</w:t>
            </w:r>
          </w:p>
        </w:tc>
        <w:tc>
          <w:tcPr>
            <w:tcW w:w="5490" w:type="dxa"/>
          </w:tcPr>
          <w:p w14:paraId="268C8CAB"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Al vencimiento</w:t>
            </w:r>
          </w:p>
        </w:tc>
      </w:tr>
      <w:tr w:rsidR="005B390E" w:rsidRPr="006E6390" w14:paraId="331C8D76" w14:textId="77777777" w:rsidTr="00477242">
        <w:tc>
          <w:tcPr>
            <w:tcW w:w="3060" w:type="dxa"/>
          </w:tcPr>
          <w:p w14:paraId="26879631"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Forma de representación</w:t>
            </w:r>
          </w:p>
        </w:tc>
        <w:tc>
          <w:tcPr>
            <w:tcW w:w="5490" w:type="dxa"/>
          </w:tcPr>
          <w:p w14:paraId="3A99A35A" w14:textId="77777777" w:rsidR="005B390E" w:rsidRPr="006E6390" w:rsidRDefault="00EB2760" w:rsidP="007B007B">
            <w:pPr>
              <w:pStyle w:val="Tablas"/>
              <w:tabs>
                <w:tab w:val="left" w:pos="9270"/>
              </w:tabs>
              <w:spacing w:beforeLines="60" w:before="144" w:afterLines="60" w:after="144"/>
              <w:jc w:val="both"/>
              <w:rPr>
                <w:rFonts w:cs="Arial"/>
              </w:rPr>
            </w:pPr>
            <w:r w:rsidRPr="006E6390">
              <w:rPr>
                <w:rFonts w:cs="Arial"/>
              </w:rPr>
              <w:t>Anotación electrónica en cuenta</w:t>
            </w:r>
          </w:p>
        </w:tc>
      </w:tr>
      <w:tr w:rsidR="005B390E" w:rsidRPr="006E6390" w14:paraId="34EDB713" w14:textId="77777777" w:rsidTr="00477242">
        <w:tc>
          <w:tcPr>
            <w:tcW w:w="3060" w:type="dxa"/>
          </w:tcPr>
          <w:p w14:paraId="696BB292"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Ley de circulación</w:t>
            </w:r>
          </w:p>
        </w:tc>
        <w:tc>
          <w:tcPr>
            <w:tcW w:w="5490" w:type="dxa"/>
          </w:tcPr>
          <w:p w14:paraId="63AE688C"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A la orden</w:t>
            </w:r>
          </w:p>
        </w:tc>
      </w:tr>
      <w:tr w:rsidR="005B390E" w:rsidRPr="006E6390" w14:paraId="15B46A79" w14:textId="77777777" w:rsidTr="00477242">
        <w:tc>
          <w:tcPr>
            <w:tcW w:w="3060" w:type="dxa"/>
          </w:tcPr>
          <w:p w14:paraId="1E95232E" w14:textId="77777777" w:rsidR="005B390E" w:rsidRPr="006E6390" w:rsidRDefault="005B390E" w:rsidP="00FB5A98">
            <w:pPr>
              <w:pStyle w:val="Tablas"/>
              <w:tabs>
                <w:tab w:val="left" w:pos="9270"/>
              </w:tabs>
              <w:spacing w:beforeLines="60" w:before="144" w:afterLines="60" w:after="144"/>
              <w:rPr>
                <w:rFonts w:cs="Arial"/>
              </w:rPr>
            </w:pPr>
            <w:r w:rsidRPr="006E6390">
              <w:rPr>
                <w:rFonts w:cs="Arial"/>
              </w:rPr>
              <w:t xml:space="preserve">Forma de colocación </w:t>
            </w:r>
          </w:p>
        </w:tc>
        <w:tc>
          <w:tcPr>
            <w:tcW w:w="5490" w:type="dxa"/>
          </w:tcPr>
          <w:p w14:paraId="5A7355EE" w14:textId="77777777" w:rsidR="005B390E" w:rsidRPr="006E6390" w:rsidRDefault="005B390E" w:rsidP="007B007B">
            <w:pPr>
              <w:pStyle w:val="Tablas"/>
              <w:tabs>
                <w:tab w:val="left" w:pos="9270"/>
              </w:tabs>
              <w:spacing w:beforeLines="60" w:before="144" w:afterLines="60" w:after="144"/>
              <w:jc w:val="both"/>
              <w:rPr>
                <w:rFonts w:cs="Arial"/>
              </w:rPr>
            </w:pPr>
            <w:r w:rsidRPr="006E6390">
              <w:rPr>
                <w:rFonts w:cs="Arial"/>
              </w:rPr>
              <w:t xml:space="preserve">Contratos de </w:t>
            </w:r>
            <w:r w:rsidR="00426181" w:rsidRPr="006E6390">
              <w:rPr>
                <w:rFonts w:cs="Arial"/>
              </w:rPr>
              <w:t>colocación</w:t>
            </w:r>
            <w:r w:rsidRPr="006E6390">
              <w:rPr>
                <w:rFonts w:cs="Arial"/>
              </w:rPr>
              <w:t xml:space="preserve">, por </w:t>
            </w:r>
            <w:r w:rsidR="00426181" w:rsidRPr="006E6390">
              <w:rPr>
                <w:rFonts w:cs="Arial"/>
              </w:rPr>
              <w:t>colocación directa</w:t>
            </w:r>
            <w:r w:rsidRPr="006E6390">
              <w:rPr>
                <w:rFonts w:cs="Arial"/>
              </w:rPr>
              <w:t xml:space="preserve"> y subasta por Bolsa</w:t>
            </w:r>
          </w:p>
        </w:tc>
      </w:tr>
    </w:tbl>
    <w:p w14:paraId="456563B9"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1</w:t>
      </w:r>
      <w:r w:rsidRPr="006E6390">
        <w:rPr>
          <w:rFonts w:cs="Arial"/>
          <w:sz w:val="16"/>
          <w:szCs w:val="16"/>
        </w:rPr>
        <w:t xml:space="preserve">) </w:t>
      </w:r>
      <w:r w:rsidR="005B390E" w:rsidRPr="006E6390">
        <w:rPr>
          <w:rFonts w:cs="Arial"/>
          <w:sz w:val="16"/>
          <w:szCs w:val="16"/>
        </w:rPr>
        <w:t>La fecha de emisión, la fecha de vencimiento, el nombre, el plazo y el monto y moneda de la serie, la tasa de interés bruta, la tasa de interés neta, la periodicidad en el pago de intereses, si la serie cuenta con una opción de redención anticipada</w:t>
      </w:r>
      <w:r w:rsidR="005F21AF" w:rsidRPr="006E6390">
        <w:rPr>
          <w:rFonts w:cs="Arial"/>
          <w:sz w:val="16"/>
          <w:szCs w:val="16"/>
        </w:rPr>
        <w:t>,</w:t>
      </w:r>
      <w:r w:rsidR="005B390E" w:rsidRPr="006E6390">
        <w:rPr>
          <w:rFonts w:cs="Arial"/>
          <w:sz w:val="16"/>
          <w:szCs w:val="16"/>
        </w:rPr>
        <w:t xml:space="preserve"> la fecha a partir de la cual se puede ejecutar dicha opción</w:t>
      </w:r>
      <w:r w:rsidR="005F21AF" w:rsidRPr="006E6390">
        <w:rPr>
          <w:rFonts w:cs="Arial"/>
          <w:sz w:val="16"/>
          <w:szCs w:val="16"/>
        </w:rPr>
        <w:t xml:space="preserve"> y el precio de redención</w:t>
      </w:r>
      <w:r w:rsidR="005B390E" w:rsidRPr="006E6390">
        <w:rPr>
          <w:rFonts w:cs="Arial"/>
          <w:sz w:val="16"/>
          <w:szCs w:val="16"/>
        </w:rPr>
        <w:t>, el código ISIN y el nemotécnico de cada emisión que compone el programa serán informados mediante un Comunicado de Hecho Relevante, al menos 5 días hábiles antes de la primera colocación de la primera serie y al menos dos días hábiles para las siguientes colocaciones.</w:t>
      </w:r>
    </w:p>
    <w:p w14:paraId="5DAF79C9"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2</w:t>
      </w:r>
      <w:r w:rsidRPr="006E6390">
        <w:rPr>
          <w:rFonts w:cs="Arial"/>
          <w:sz w:val="16"/>
          <w:szCs w:val="16"/>
        </w:rPr>
        <w:t xml:space="preserve">) </w:t>
      </w:r>
      <w:r w:rsidR="005B390E" w:rsidRPr="006E6390">
        <w:rPr>
          <w:rFonts w:cs="Arial"/>
          <w:sz w:val="16"/>
          <w:szCs w:val="16"/>
        </w:rPr>
        <w:t xml:space="preserve">Las series podrán o no tener una opción de redención anticipada. Si la serie se define con una opción de redención anticipada, dicha opción de redención seguirá los lineamientos establecidos en el punto 1.1.6. del presente prospecto. </w:t>
      </w:r>
    </w:p>
    <w:p w14:paraId="2FDFFC19" w14:textId="77777777" w:rsidR="005B390E" w:rsidRPr="006E6390" w:rsidRDefault="00CF7125" w:rsidP="002331C3">
      <w:pPr>
        <w:pStyle w:val="piedepgina0"/>
        <w:tabs>
          <w:tab w:val="left" w:pos="9270"/>
        </w:tabs>
        <w:rPr>
          <w:rFonts w:cs="Arial"/>
          <w:sz w:val="16"/>
          <w:szCs w:val="16"/>
        </w:rPr>
      </w:pPr>
      <w:r w:rsidRPr="006E6390">
        <w:rPr>
          <w:rFonts w:cs="Arial"/>
          <w:sz w:val="16"/>
          <w:szCs w:val="16"/>
        </w:rPr>
        <w:t>(</w:t>
      </w:r>
      <w:r w:rsidR="005B390E" w:rsidRPr="006E6390">
        <w:rPr>
          <w:rFonts w:cs="Arial"/>
          <w:sz w:val="16"/>
          <w:szCs w:val="16"/>
        </w:rPr>
        <w:t>3</w:t>
      </w:r>
      <w:r w:rsidRPr="006E6390">
        <w:rPr>
          <w:rFonts w:cs="Arial"/>
          <w:sz w:val="16"/>
          <w:szCs w:val="16"/>
        </w:rPr>
        <w:t xml:space="preserve">) </w:t>
      </w:r>
      <w:r w:rsidR="005B390E" w:rsidRPr="006E6390">
        <w:rPr>
          <w:rFonts w:cs="Arial"/>
          <w:sz w:val="16"/>
          <w:szCs w:val="16"/>
        </w:rPr>
        <w:t>En el caso de emisiones con tasa de interés ajustable, la tasa de referencia que se utilizará será la vigente un (1) día hábil antes del inicio de cada periodo de pago de intereses, de acuerdo con el inciso e) del artículo 9 del Reglamento sobre Oferta Pública de Valores.</w:t>
      </w:r>
    </w:p>
    <w:p w14:paraId="3ED70A06" w14:textId="77777777" w:rsidR="005B390E" w:rsidRPr="006E6390" w:rsidRDefault="005B390E" w:rsidP="004A26B9">
      <w:pPr>
        <w:rPr>
          <w:rFonts w:cs="Arial"/>
        </w:rPr>
      </w:pPr>
      <w:r w:rsidRPr="006E6390">
        <w:rPr>
          <w:rFonts w:cs="Arial"/>
        </w:rPr>
        <w:lastRenderedPageBreak/>
        <w:t>Según el artículo 11 del Reglamento sobre oferta pública de valores, cada emisión de los programas deberá m</w:t>
      </w:r>
      <w:r w:rsidR="00965240" w:rsidRPr="006E6390">
        <w:rPr>
          <w:rFonts w:cs="Arial"/>
        </w:rPr>
        <w:t xml:space="preserve">antener un monto mínimo de </w:t>
      </w:r>
      <w:r w:rsidR="009C64BA" w:rsidRPr="009C64BA">
        <w:rPr>
          <w:rFonts w:cs="Arial"/>
        </w:rPr>
        <w:t>₡</w:t>
      </w:r>
      <w:r w:rsidR="00965240" w:rsidRPr="006E6390">
        <w:rPr>
          <w:rFonts w:cs="Arial"/>
        </w:rPr>
        <w:t>100</w:t>
      </w:r>
      <w:r w:rsidR="00560980" w:rsidRPr="006E6390">
        <w:rPr>
          <w:rFonts w:cs="Arial"/>
        </w:rPr>
        <w:t xml:space="preserve"> </w:t>
      </w:r>
      <w:r w:rsidRPr="006E6390">
        <w:rPr>
          <w:rFonts w:cs="Arial"/>
        </w:rPr>
        <w:t>000</w:t>
      </w:r>
      <w:r w:rsidR="00560980" w:rsidRPr="006E6390">
        <w:rPr>
          <w:rFonts w:cs="Arial"/>
        </w:rPr>
        <w:t xml:space="preserve"> </w:t>
      </w:r>
      <w:r w:rsidRPr="006E6390">
        <w:rPr>
          <w:rFonts w:cs="Arial"/>
        </w:rPr>
        <w:t xml:space="preserve">000 o su equivalente en dólares y un número mínimo de 200 valores, con el propósito de asegurar la existencia de un volumen suficiente de títulos para dar profundidad al mercado secundario. </w:t>
      </w:r>
    </w:p>
    <w:p w14:paraId="5AA851D5" w14:textId="77777777" w:rsidR="005B390E" w:rsidRPr="006E6390" w:rsidRDefault="005B390E" w:rsidP="004A26B9">
      <w:pPr>
        <w:rPr>
          <w:rFonts w:cs="Arial"/>
        </w:rPr>
      </w:pPr>
      <w:r w:rsidRPr="006E6390">
        <w:rPr>
          <w:rFonts w:cs="Arial"/>
        </w:rPr>
        <w:t xml:space="preserve">La colocación del saldo por inscribir de los programas antes descritos deberá de realizarse dentro de los </w:t>
      </w:r>
      <w:r w:rsidR="00C112E1" w:rsidRPr="006E6390">
        <w:rPr>
          <w:rFonts w:cs="Arial"/>
        </w:rPr>
        <w:t>cuatro</w:t>
      </w:r>
      <w:r w:rsidRPr="006E6390">
        <w:rPr>
          <w:rFonts w:cs="Arial"/>
        </w:rPr>
        <w:t xml:space="preserve"> años siguientes a la fecha de registro del programa, de acuerdo con el artículo 17 del Reglamento sobre oferta pública de valores. </w:t>
      </w:r>
      <w:r w:rsidR="004D2AD6">
        <w:rPr>
          <w:rFonts w:cs="Arial"/>
        </w:rPr>
        <w:t xml:space="preserve"> </w:t>
      </w:r>
      <w:r w:rsidRPr="006E6390">
        <w:rPr>
          <w:rFonts w:cs="Arial"/>
        </w:rPr>
        <w:t>El Superintendente podrá autorizar en condiciones excepcionales, a partir de una solicitud justificada, que el plazo del programa se extienda hasta por un año más.</w:t>
      </w:r>
    </w:p>
    <w:p w14:paraId="0658476D" w14:textId="77777777" w:rsidR="0041065F" w:rsidRPr="006E6390" w:rsidRDefault="0041065F" w:rsidP="00FB5A98">
      <w:pPr>
        <w:rPr>
          <w:rFonts w:cs="Arial"/>
          <w:b/>
        </w:rPr>
      </w:pPr>
      <w:r w:rsidRPr="006E6390">
        <w:rPr>
          <w:rFonts w:cs="Arial"/>
          <w:b/>
        </w:rPr>
        <w:t>Serie A2</w:t>
      </w:r>
    </w:p>
    <w:tbl>
      <w:tblPr>
        <w:tblStyle w:val="Tablaconcuadrculaclara"/>
        <w:tblW w:w="8514" w:type="dxa"/>
        <w:tblLook w:val="0000" w:firstRow="0" w:lastRow="0" w:firstColumn="0" w:lastColumn="0" w:noHBand="0" w:noVBand="0"/>
      </w:tblPr>
      <w:tblGrid>
        <w:gridCol w:w="4515"/>
        <w:gridCol w:w="3999"/>
      </w:tblGrid>
      <w:tr w:rsidR="001C4887" w:rsidRPr="006E6390" w14:paraId="06A6A015" w14:textId="77777777" w:rsidTr="00477242">
        <w:tc>
          <w:tcPr>
            <w:tcW w:w="4515" w:type="dxa"/>
          </w:tcPr>
          <w:p w14:paraId="03B8DB6C"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Clase de instrumento</w:t>
            </w:r>
          </w:p>
        </w:tc>
        <w:tc>
          <w:tcPr>
            <w:tcW w:w="3999" w:type="dxa"/>
          </w:tcPr>
          <w:p w14:paraId="65C661E6"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Bonos Estandarizados</w:t>
            </w:r>
          </w:p>
        </w:tc>
      </w:tr>
      <w:tr w:rsidR="001C4887" w:rsidRPr="006E6390" w14:paraId="3A45DB6D" w14:textId="77777777" w:rsidTr="00477242">
        <w:tc>
          <w:tcPr>
            <w:tcW w:w="4515" w:type="dxa"/>
          </w:tcPr>
          <w:p w14:paraId="4157EBD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Nombre del programa</w:t>
            </w:r>
          </w:p>
        </w:tc>
        <w:tc>
          <w:tcPr>
            <w:tcW w:w="3999" w:type="dxa"/>
          </w:tcPr>
          <w:p w14:paraId="64FF895F"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Programa A de Emisiones de Bonos Estandarizados</w:t>
            </w:r>
          </w:p>
        </w:tc>
      </w:tr>
      <w:tr w:rsidR="0041065F" w:rsidRPr="006E6390" w14:paraId="13632490" w14:textId="77777777" w:rsidTr="00477242">
        <w:tc>
          <w:tcPr>
            <w:tcW w:w="4515" w:type="dxa"/>
          </w:tcPr>
          <w:p w14:paraId="24FFBD3D" w14:textId="77777777" w:rsidR="0041065F"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3999" w:type="dxa"/>
          </w:tcPr>
          <w:p w14:paraId="020BA26F"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SERIE A2</w:t>
            </w:r>
          </w:p>
        </w:tc>
      </w:tr>
      <w:tr w:rsidR="0041065F" w:rsidRPr="006E6390" w14:paraId="4B27CC7C" w14:textId="77777777" w:rsidTr="00477242">
        <w:tc>
          <w:tcPr>
            <w:tcW w:w="4515" w:type="dxa"/>
          </w:tcPr>
          <w:p w14:paraId="5D7E708B" w14:textId="77777777" w:rsidR="0041065F" w:rsidRPr="006E6390" w:rsidRDefault="0041065F" w:rsidP="00FB5A98">
            <w:pPr>
              <w:pStyle w:val="Tablas"/>
              <w:spacing w:beforeLines="60" w:before="144" w:afterLines="60" w:after="144"/>
              <w:rPr>
                <w:rFonts w:cs="Arial"/>
                <w:sz w:val="20"/>
                <w:szCs w:val="20"/>
                <w:lang w:eastAsia="es-ES"/>
              </w:rPr>
            </w:pPr>
            <w:r w:rsidRPr="006E6390">
              <w:rPr>
                <w:rFonts w:cs="Arial"/>
                <w:sz w:val="20"/>
                <w:szCs w:val="20"/>
                <w:lang w:eastAsia="es-ES"/>
              </w:rPr>
              <w:t>Monto total del programa y moneda</w:t>
            </w:r>
          </w:p>
        </w:tc>
        <w:tc>
          <w:tcPr>
            <w:tcW w:w="3999" w:type="dxa"/>
          </w:tcPr>
          <w:p w14:paraId="56B0793C" w14:textId="77777777" w:rsidR="0041065F" w:rsidRPr="006E6390" w:rsidRDefault="0041065F" w:rsidP="005B5F45">
            <w:pPr>
              <w:pStyle w:val="Tablas"/>
              <w:spacing w:beforeLines="60" w:before="144" w:afterLines="60" w:after="144"/>
              <w:jc w:val="both"/>
              <w:rPr>
                <w:rFonts w:cs="Arial"/>
                <w:sz w:val="20"/>
                <w:szCs w:val="20"/>
                <w:lang w:eastAsia="es-ES"/>
              </w:rPr>
            </w:pPr>
            <w:r w:rsidRPr="006E6390">
              <w:rPr>
                <w:rFonts w:cs="Arial"/>
                <w:sz w:val="20"/>
                <w:szCs w:val="20"/>
                <w:lang w:eastAsia="es-ES"/>
              </w:rPr>
              <w:t>$ 200</w:t>
            </w:r>
            <w:r w:rsidR="00F41A48" w:rsidRPr="006E6390">
              <w:rPr>
                <w:rFonts w:cs="Arial"/>
                <w:sz w:val="20"/>
                <w:szCs w:val="20"/>
                <w:lang w:eastAsia="es-ES"/>
              </w:rPr>
              <w:t xml:space="preserve"> </w:t>
            </w:r>
            <w:r w:rsidRPr="006E6390">
              <w:rPr>
                <w:rFonts w:cs="Arial"/>
                <w:sz w:val="20"/>
                <w:szCs w:val="20"/>
                <w:lang w:eastAsia="es-ES"/>
              </w:rPr>
              <w:t>000</w:t>
            </w:r>
            <w:r w:rsidR="00F41A48" w:rsidRPr="006E6390">
              <w:rPr>
                <w:rFonts w:cs="Arial"/>
                <w:sz w:val="20"/>
                <w:szCs w:val="20"/>
                <w:lang w:eastAsia="es-ES"/>
              </w:rPr>
              <w:t xml:space="preserve"> </w:t>
            </w:r>
            <w:r w:rsidRPr="006E6390">
              <w:rPr>
                <w:rFonts w:cs="Arial"/>
                <w:sz w:val="20"/>
                <w:szCs w:val="20"/>
                <w:lang w:eastAsia="es-ES"/>
              </w:rPr>
              <w:t>000 (</w:t>
            </w:r>
            <w:r w:rsidRPr="006E6390">
              <w:rPr>
                <w:rFonts w:cs="Arial"/>
                <w:sz w:val="20"/>
                <w:szCs w:val="20"/>
              </w:rPr>
              <w:t>doscientos millones de dólares</w:t>
            </w:r>
            <w:r w:rsidRPr="006E6390">
              <w:rPr>
                <w:rFonts w:cs="Arial"/>
                <w:sz w:val="20"/>
                <w:szCs w:val="20"/>
                <w:lang w:eastAsia="es-ES"/>
              </w:rPr>
              <w:t>)</w:t>
            </w:r>
          </w:p>
        </w:tc>
      </w:tr>
      <w:tr w:rsidR="0041065F" w:rsidRPr="006E6390" w14:paraId="2D93F261" w14:textId="77777777" w:rsidTr="00477242">
        <w:tc>
          <w:tcPr>
            <w:tcW w:w="4515" w:type="dxa"/>
          </w:tcPr>
          <w:p w14:paraId="50DC9B25"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Monto de Serie</w:t>
            </w:r>
          </w:p>
        </w:tc>
        <w:tc>
          <w:tcPr>
            <w:tcW w:w="3999" w:type="dxa"/>
          </w:tcPr>
          <w:p w14:paraId="3A38BC13"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$ 50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(cincuenta millones de dólares)</w:t>
            </w:r>
          </w:p>
        </w:tc>
      </w:tr>
      <w:tr w:rsidR="0041065F" w:rsidRPr="006E6390" w14:paraId="177FF3DB" w14:textId="77777777" w:rsidTr="00477242">
        <w:tc>
          <w:tcPr>
            <w:tcW w:w="4515" w:type="dxa"/>
          </w:tcPr>
          <w:p w14:paraId="1FC64609" w14:textId="77777777" w:rsidR="0041065F" w:rsidRPr="006E6390" w:rsidRDefault="00142BA0"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3999" w:type="dxa"/>
          </w:tcPr>
          <w:p w14:paraId="14799619" w14:textId="3E6D94C1"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 xml:space="preserve">$ </w:t>
            </w:r>
            <w:r w:rsidR="00142BA0" w:rsidRPr="006E6390">
              <w:rPr>
                <w:rFonts w:cs="Arial"/>
                <w:sz w:val="20"/>
                <w:szCs w:val="20"/>
              </w:rPr>
              <w:t>50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w:t>
            </w:r>
            <w:r w:rsidR="00621785">
              <w:rPr>
                <w:rFonts w:cs="Arial"/>
                <w:sz w:val="20"/>
                <w:szCs w:val="20"/>
              </w:rPr>
              <w:t>cincuenta</w:t>
            </w:r>
            <w:r w:rsidR="00621785" w:rsidRPr="006E6390">
              <w:rPr>
                <w:rFonts w:cs="Arial"/>
                <w:sz w:val="20"/>
                <w:szCs w:val="20"/>
              </w:rPr>
              <w:t xml:space="preserve"> </w:t>
            </w:r>
            <w:r w:rsidRPr="006E6390">
              <w:rPr>
                <w:rFonts w:cs="Arial"/>
                <w:sz w:val="20"/>
                <w:szCs w:val="20"/>
              </w:rPr>
              <w:t>millones de dólares)</w:t>
            </w:r>
          </w:p>
        </w:tc>
      </w:tr>
      <w:tr w:rsidR="0041065F" w:rsidRPr="006E6390" w14:paraId="4A976F51" w14:textId="77777777" w:rsidTr="00477242">
        <w:tc>
          <w:tcPr>
            <w:tcW w:w="4515" w:type="dxa"/>
          </w:tcPr>
          <w:p w14:paraId="22BAE9EF"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Código ISIN</w:t>
            </w:r>
          </w:p>
        </w:tc>
        <w:tc>
          <w:tcPr>
            <w:tcW w:w="3999" w:type="dxa"/>
          </w:tcPr>
          <w:p w14:paraId="77AD3356"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CRRECOPB0020</w:t>
            </w:r>
          </w:p>
        </w:tc>
      </w:tr>
      <w:tr w:rsidR="0041065F" w:rsidRPr="006E6390" w14:paraId="00A1BD03" w14:textId="77777777" w:rsidTr="00477242">
        <w:tc>
          <w:tcPr>
            <w:tcW w:w="4515" w:type="dxa"/>
          </w:tcPr>
          <w:p w14:paraId="2E9640A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Nemotécnico</w:t>
            </w:r>
          </w:p>
        </w:tc>
        <w:tc>
          <w:tcPr>
            <w:tcW w:w="3999" w:type="dxa"/>
          </w:tcPr>
          <w:p w14:paraId="553C2D46"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bra2$</w:t>
            </w:r>
          </w:p>
        </w:tc>
      </w:tr>
      <w:tr w:rsidR="0041065F" w:rsidRPr="006E6390" w14:paraId="6097E2E1" w14:textId="77777777" w:rsidTr="00477242">
        <w:tc>
          <w:tcPr>
            <w:tcW w:w="4515" w:type="dxa"/>
          </w:tcPr>
          <w:p w14:paraId="57DCC2C0"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Plazo de la emisión</w:t>
            </w:r>
          </w:p>
        </w:tc>
        <w:tc>
          <w:tcPr>
            <w:tcW w:w="3999" w:type="dxa"/>
          </w:tcPr>
          <w:p w14:paraId="4B283577"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15 años</w:t>
            </w:r>
          </w:p>
        </w:tc>
      </w:tr>
      <w:tr w:rsidR="0041065F" w:rsidRPr="006E6390" w14:paraId="5F11D843" w14:textId="77777777" w:rsidTr="00477242">
        <w:tc>
          <w:tcPr>
            <w:tcW w:w="4515" w:type="dxa"/>
          </w:tcPr>
          <w:p w14:paraId="3DE7CAF9"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Fecha de emisión</w:t>
            </w:r>
          </w:p>
        </w:tc>
        <w:tc>
          <w:tcPr>
            <w:tcW w:w="3999" w:type="dxa"/>
          </w:tcPr>
          <w:p w14:paraId="00628841"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3 de abril del 2013</w:t>
            </w:r>
          </w:p>
        </w:tc>
      </w:tr>
      <w:tr w:rsidR="0041065F" w:rsidRPr="006E6390" w14:paraId="02F5E5FE" w14:textId="77777777" w:rsidTr="00477242">
        <w:tc>
          <w:tcPr>
            <w:tcW w:w="4515" w:type="dxa"/>
          </w:tcPr>
          <w:p w14:paraId="4AA27A73"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Fecha de vencimiento</w:t>
            </w:r>
          </w:p>
        </w:tc>
        <w:tc>
          <w:tcPr>
            <w:tcW w:w="3999" w:type="dxa"/>
          </w:tcPr>
          <w:p w14:paraId="56407C85"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3 de abril del 2028</w:t>
            </w:r>
          </w:p>
        </w:tc>
      </w:tr>
      <w:tr w:rsidR="0041065F" w:rsidRPr="006E6390" w14:paraId="40A447A5" w14:textId="77777777" w:rsidTr="00477242">
        <w:tc>
          <w:tcPr>
            <w:tcW w:w="4515" w:type="dxa"/>
          </w:tcPr>
          <w:p w14:paraId="2E84F56D"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3999" w:type="dxa"/>
          </w:tcPr>
          <w:p w14:paraId="3DC81A43"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$ 1</w:t>
            </w:r>
            <w:r w:rsidR="00F41A48" w:rsidRPr="006E6390">
              <w:rPr>
                <w:rFonts w:cs="Arial"/>
                <w:sz w:val="20"/>
                <w:szCs w:val="20"/>
              </w:rPr>
              <w:t xml:space="preserve"> </w:t>
            </w:r>
            <w:r w:rsidRPr="006E6390">
              <w:rPr>
                <w:rFonts w:cs="Arial"/>
                <w:sz w:val="20"/>
                <w:szCs w:val="20"/>
              </w:rPr>
              <w:t>000 (mil dólares)</w:t>
            </w:r>
          </w:p>
        </w:tc>
      </w:tr>
      <w:tr w:rsidR="0041065F" w:rsidRPr="006E6390" w14:paraId="2CCC133D" w14:textId="77777777" w:rsidTr="00477242">
        <w:trPr>
          <w:trHeight w:val="283"/>
        </w:trPr>
        <w:tc>
          <w:tcPr>
            <w:tcW w:w="4515" w:type="dxa"/>
          </w:tcPr>
          <w:p w14:paraId="795D4D78"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3999" w:type="dxa"/>
          </w:tcPr>
          <w:p w14:paraId="0B71EE35" w14:textId="77777777" w:rsidR="0041065F" w:rsidRPr="006E6390" w:rsidRDefault="0041065F" w:rsidP="005B5F45">
            <w:pPr>
              <w:pStyle w:val="Tablas"/>
              <w:spacing w:beforeLines="60" w:before="144" w:afterLines="60" w:after="144"/>
              <w:jc w:val="both"/>
              <w:rPr>
                <w:rFonts w:cs="Arial"/>
                <w:sz w:val="20"/>
                <w:szCs w:val="20"/>
                <w:lang w:val="es-ES_tradnl"/>
              </w:rPr>
            </w:pPr>
            <w:r w:rsidRPr="006E6390">
              <w:rPr>
                <w:rFonts w:cs="Arial"/>
                <w:sz w:val="20"/>
                <w:szCs w:val="20"/>
                <w:lang w:val="es-ES_tradnl"/>
              </w:rPr>
              <w:t>6,36%</w:t>
            </w:r>
          </w:p>
        </w:tc>
      </w:tr>
      <w:tr w:rsidR="0041065F" w:rsidRPr="006E6390" w14:paraId="2D5D84FA" w14:textId="77777777" w:rsidTr="00477242">
        <w:tc>
          <w:tcPr>
            <w:tcW w:w="4515" w:type="dxa"/>
          </w:tcPr>
          <w:p w14:paraId="2C0AD68A"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3999" w:type="dxa"/>
          </w:tcPr>
          <w:p w14:paraId="36D53BA2"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lang w:val="es-ES_tradnl"/>
              </w:rPr>
              <w:t xml:space="preserve">Tasa bruta menos Impuesto sobre la renta vigente aplicable a los intereses. </w:t>
            </w:r>
          </w:p>
        </w:tc>
      </w:tr>
      <w:tr w:rsidR="0041065F" w:rsidRPr="006E6390" w14:paraId="34858536" w14:textId="77777777" w:rsidTr="00477242">
        <w:tc>
          <w:tcPr>
            <w:tcW w:w="4515" w:type="dxa"/>
          </w:tcPr>
          <w:p w14:paraId="77C33D77"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lastRenderedPageBreak/>
              <w:t xml:space="preserve">Factor de cálculo </w:t>
            </w:r>
          </w:p>
        </w:tc>
        <w:tc>
          <w:tcPr>
            <w:tcW w:w="3999" w:type="dxa"/>
          </w:tcPr>
          <w:p w14:paraId="1819E57C"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30 / 360</w:t>
            </w:r>
          </w:p>
        </w:tc>
      </w:tr>
      <w:tr w:rsidR="0041065F" w:rsidRPr="006E6390" w14:paraId="17AC2ADA" w14:textId="77777777" w:rsidTr="00477242">
        <w:tc>
          <w:tcPr>
            <w:tcW w:w="4515" w:type="dxa"/>
          </w:tcPr>
          <w:p w14:paraId="0154472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3999" w:type="dxa"/>
          </w:tcPr>
          <w:p w14:paraId="193B6C08"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 xml:space="preserve">La serie A2 no cuenta con la opción de redención anticipada </w:t>
            </w:r>
          </w:p>
        </w:tc>
      </w:tr>
      <w:tr w:rsidR="0041065F" w:rsidRPr="006E6390" w14:paraId="4A145C9B" w14:textId="77777777" w:rsidTr="00477242">
        <w:tc>
          <w:tcPr>
            <w:tcW w:w="4515" w:type="dxa"/>
          </w:tcPr>
          <w:p w14:paraId="42F4B829"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3999" w:type="dxa"/>
          </w:tcPr>
          <w:p w14:paraId="4149DF9D"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Cupón semestral</w:t>
            </w:r>
          </w:p>
        </w:tc>
      </w:tr>
      <w:tr w:rsidR="0041065F" w:rsidRPr="006E6390" w14:paraId="484FCB4E" w14:textId="77777777" w:rsidTr="00477242">
        <w:tc>
          <w:tcPr>
            <w:tcW w:w="4515" w:type="dxa"/>
          </w:tcPr>
          <w:p w14:paraId="0A318698"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3999" w:type="dxa"/>
          </w:tcPr>
          <w:p w14:paraId="2905385B"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Al vencimiento</w:t>
            </w:r>
          </w:p>
        </w:tc>
      </w:tr>
      <w:tr w:rsidR="0041065F" w:rsidRPr="006E6390" w14:paraId="3979FA24" w14:textId="77777777" w:rsidTr="00477242">
        <w:tc>
          <w:tcPr>
            <w:tcW w:w="4515" w:type="dxa"/>
          </w:tcPr>
          <w:p w14:paraId="38375DC8"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3999" w:type="dxa"/>
          </w:tcPr>
          <w:p w14:paraId="3F159175" w14:textId="77777777" w:rsidR="0041065F" w:rsidRPr="006E6390" w:rsidRDefault="00EB2760" w:rsidP="005B5F45">
            <w:pPr>
              <w:pStyle w:val="Tablas"/>
              <w:spacing w:beforeLines="60" w:before="144" w:afterLines="60" w:after="144"/>
              <w:jc w:val="both"/>
              <w:rPr>
                <w:rFonts w:cs="Arial"/>
                <w:sz w:val="20"/>
                <w:szCs w:val="20"/>
              </w:rPr>
            </w:pPr>
            <w:r w:rsidRPr="006E6390">
              <w:rPr>
                <w:rFonts w:cs="Arial"/>
                <w:sz w:val="20"/>
                <w:szCs w:val="20"/>
              </w:rPr>
              <w:t>Anotación electrónica en cuenta</w:t>
            </w:r>
            <w:r w:rsidR="0041065F" w:rsidRPr="006E6390">
              <w:rPr>
                <w:rFonts w:cs="Arial"/>
                <w:sz w:val="20"/>
                <w:szCs w:val="20"/>
              </w:rPr>
              <w:t xml:space="preserve"> </w:t>
            </w:r>
          </w:p>
        </w:tc>
      </w:tr>
      <w:tr w:rsidR="0041065F" w:rsidRPr="006E6390" w14:paraId="71B79EEF" w14:textId="77777777" w:rsidTr="00477242">
        <w:tc>
          <w:tcPr>
            <w:tcW w:w="4515" w:type="dxa"/>
          </w:tcPr>
          <w:p w14:paraId="177DF93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Ley de circulación</w:t>
            </w:r>
          </w:p>
        </w:tc>
        <w:tc>
          <w:tcPr>
            <w:tcW w:w="3999" w:type="dxa"/>
          </w:tcPr>
          <w:p w14:paraId="56CF81E9"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A la orden</w:t>
            </w:r>
          </w:p>
        </w:tc>
      </w:tr>
      <w:tr w:rsidR="0041065F" w:rsidRPr="006E6390" w14:paraId="7DFD9C20" w14:textId="77777777" w:rsidTr="00477242">
        <w:tc>
          <w:tcPr>
            <w:tcW w:w="4515" w:type="dxa"/>
          </w:tcPr>
          <w:p w14:paraId="2C59281E"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3999" w:type="dxa"/>
          </w:tcPr>
          <w:p w14:paraId="7364D2F3"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 xml:space="preserve">Subasta por bolsa </w:t>
            </w:r>
          </w:p>
        </w:tc>
      </w:tr>
      <w:tr w:rsidR="0041065F" w:rsidRPr="006E6390" w14:paraId="3330BBC2" w14:textId="77777777" w:rsidTr="00477242">
        <w:tc>
          <w:tcPr>
            <w:tcW w:w="4515" w:type="dxa"/>
          </w:tcPr>
          <w:p w14:paraId="055B6E8A"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Plazo de Liquidación</w:t>
            </w:r>
          </w:p>
        </w:tc>
        <w:tc>
          <w:tcPr>
            <w:tcW w:w="3999" w:type="dxa"/>
          </w:tcPr>
          <w:p w14:paraId="1FAC61CD"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T+2</w:t>
            </w:r>
          </w:p>
        </w:tc>
      </w:tr>
      <w:tr w:rsidR="0041065F" w:rsidRPr="006E6390" w14:paraId="01E86B7D" w14:textId="77777777" w:rsidTr="00477242">
        <w:tc>
          <w:tcPr>
            <w:tcW w:w="4515" w:type="dxa"/>
          </w:tcPr>
          <w:p w14:paraId="6F9FC37C"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 xml:space="preserve">Calificación de riesgo </w:t>
            </w:r>
            <w:r w:rsidRPr="006E6390">
              <w:rPr>
                <w:rFonts w:cs="Arial"/>
                <w:sz w:val="20"/>
                <w:szCs w:val="20"/>
                <w:vertAlign w:val="superscript"/>
              </w:rPr>
              <w:t>(1)</w:t>
            </w:r>
          </w:p>
        </w:tc>
        <w:tc>
          <w:tcPr>
            <w:tcW w:w="3999" w:type="dxa"/>
          </w:tcPr>
          <w:p w14:paraId="5F1B6D39"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AA</w:t>
            </w:r>
            <w:r w:rsidR="002E2A4A">
              <w:rPr>
                <w:rFonts w:cs="Arial"/>
                <w:sz w:val="20"/>
                <w:szCs w:val="20"/>
              </w:rPr>
              <w:t>+</w:t>
            </w:r>
            <w:r w:rsidRPr="006E6390">
              <w:rPr>
                <w:rFonts w:cs="Arial"/>
                <w:sz w:val="20"/>
                <w:szCs w:val="20"/>
              </w:rPr>
              <w:t xml:space="preserve"> (cri) Fitch Costa Rica</w:t>
            </w:r>
          </w:p>
          <w:p w14:paraId="3A3A033E"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AAA (slv) Fitch El Salvador</w:t>
            </w:r>
          </w:p>
          <w:p w14:paraId="5E9B2BB3"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rPr>
              <w:t>AAA PacificCredit Ratings El Salvador</w:t>
            </w:r>
          </w:p>
        </w:tc>
      </w:tr>
      <w:tr w:rsidR="0041065F" w:rsidRPr="006E6390" w14:paraId="3F08807B" w14:textId="77777777" w:rsidTr="00477242">
        <w:tc>
          <w:tcPr>
            <w:tcW w:w="4515" w:type="dxa"/>
          </w:tcPr>
          <w:p w14:paraId="4C705EBF" w14:textId="77777777" w:rsidR="0041065F" w:rsidRPr="006E6390" w:rsidRDefault="0041065F"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3999" w:type="dxa"/>
          </w:tcPr>
          <w:p w14:paraId="0DEF920B" w14:textId="77777777" w:rsidR="0041065F" w:rsidRPr="006E6390" w:rsidRDefault="0041065F" w:rsidP="005B5F45">
            <w:pPr>
              <w:pStyle w:val="Tablas"/>
              <w:spacing w:beforeLines="60" w:before="144" w:afterLines="60" w:after="144"/>
              <w:jc w:val="both"/>
              <w:rPr>
                <w:rFonts w:cs="Arial"/>
                <w:sz w:val="20"/>
                <w:szCs w:val="20"/>
              </w:rPr>
            </w:pPr>
            <w:r w:rsidRPr="006E6390">
              <w:rPr>
                <w:rFonts w:cs="Arial"/>
                <w:sz w:val="20"/>
                <w:szCs w:val="20"/>
                <w:lang w:val="es-ES_tradnl"/>
              </w:rPr>
              <w:t xml:space="preserve">Los recursos de esta emisión </w:t>
            </w:r>
            <w:r w:rsidRPr="006E6390">
              <w:rPr>
                <w:rFonts w:cs="Arial"/>
                <w:sz w:val="20"/>
                <w:szCs w:val="20"/>
              </w:rPr>
              <w:t>serán utilizados en la inversión en:</w:t>
            </w:r>
          </w:p>
          <w:p w14:paraId="3AC27382" w14:textId="77777777" w:rsidR="0041065F" w:rsidRPr="006E6390" w:rsidRDefault="0041065F" w:rsidP="005B5F45">
            <w:pPr>
              <w:pStyle w:val="Tablas"/>
              <w:numPr>
                <w:ilvl w:val="0"/>
                <w:numId w:val="7"/>
              </w:numPr>
              <w:spacing w:beforeLines="60" w:before="144" w:afterLines="60" w:after="144"/>
              <w:ind w:left="356"/>
              <w:jc w:val="both"/>
              <w:rPr>
                <w:rFonts w:cs="Arial"/>
                <w:sz w:val="20"/>
                <w:szCs w:val="20"/>
              </w:rPr>
            </w:pPr>
            <w:r w:rsidRPr="006E6390">
              <w:rPr>
                <w:rFonts w:cs="Arial"/>
                <w:sz w:val="20"/>
                <w:szCs w:val="20"/>
              </w:rPr>
              <w:t>Ampliación y optimización de la capacidad de almacenamiento</w:t>
            </w:r>
          </w:p>
          <w:p w14:paraId="50D60EF4" w14:textId="77777777" w:rsidR="0041065F" w:rsidRPr="006E6390" w:rsidRDefault="0041065F" w:rsidP="005B5F45">
            <w:pPr>
              <w:pStyle w:val="Tablas"/>
              <w:numPr>
                <w:ilvl w:val="0"/>
                <w:numId w:val="7"/>
              </w:numPr>
              <w:spacing w:beforeLines="60" w:before="144" w:afterLines="60" w:after="144"/>
              <w:ind w:left="356"/>
              <w:jc w:val="both"/>
              <w:rPr>
                <w:rFonts w:cs="Arial"/>
                <w:sz w:val="20"/>
                <w:szCs w:val="20"/>
              </w:rPr>
            </w:pPr>
            <w:r w:rsidRPr="006E6390">
              <w:rPr>
                <w:rFonts w:cs="Arial"/>
                <w:sz w:val="20"/>
                <w:szCs w:val="20"/>
              </w:rPr>
              <w:t>Ampliación de la Terminal Portuaria Petrolera del Atlántico</w:t>
            </w:r>
          </w:p>
        </w:tc>
      </w:tr>
    </w:tbl>
    <w:p w14:paraId="4435C05B" w14:textId="77777777" w:rsidR="0041065F" w:rsidRPr="006E6390" w:rsidRDefault="00490C9B" w:rsidP="002331C3">
      <w:pPr>
        <w:pStyle w:val="piedepgina0"/>
        <w:tabs>
          <w:tab w:val="left" w:pos="9270"/>
        </w:tabs>
        <w:rPr>
          <w:rFonts w:cs="Arial"/>
          <w:sz w:val="16"/>
          <w:szCs w:val="16"/>
          <w:lang w:eastAsia="es-CR"/>
        </w:rPr>
      </w:pPr>
      <w:r w:rsidRPr="006E6390">
        <w:rPr>
          <w:rFonts w:cs="Arial"/>
          <w:sz w:val="16"/>
          <w:szCs w:val="16"/>
          <w:lang w:eastAsia="es-CR"/>
        </w:rPr>
        <w:t>(</w:t>
      </w:r>
      <w:r w:rsidR="00DF75B3" w:rsidRPr="006E6390">
        <w:rPr>
          <w:rFonts w:cs="Arial"/>
          <w:sz w:val="16"/>
          <w:szCs w:val="16"/>
          <w:lang w:eastAsia="es-CR"/>
        </w:rPr>
        <w:t>1) Según</w:t>
      </w:r>
      <w:r w:rsidR="0041065F" w:rsidRPr="006E6390">
        <w:rPr>
          <w:rFonts w:cs="Arial"/>
          <w:sz w:val="16"/>
          <w:szCs w:val="16"/>
          <w:lang w:eastAsia="es-CR"/>
        </w:rPr>
        <w:t xml:space="preserve">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3" w:history="1">
        <w:r w:rsidR="0041065F" w:rsidRPr="006E6390">
          <w:rPr>
            <w:rFonts w:cs="Arial"/>
            <w:sz w:val="16"/>
            <w:szCs w:val="16"/>
            <w:lang w:eastAsia="es-CR"/>
          </w:rPr>
          <w:t>www.fitchca.com</w:t>
        </w:r>
      </w:hyperlink>
      <w:r w:rsidR="0041065F" w:rsidRPr="006E6390">
        <w:rPr>
          <w:rFonts w:cs="Arial"/>
          <w:sz w:val="16"/>
          <w:szCs w:val="16"/>
          <w:lang w:eastAsia="es-CR"/>
        </w:rPr>
        <w:t xml:space="preserve"> y en </w:t>
      </w:r>
      <w:hyperlink r:id="rId14" w:history="1">
        <w:r w:rsidR="0041065F" w:rsidRPr="006E6390">
          <w:rPr>
            <w:rFonts w:cs="Arial"/>
            <w:sz w:val="16"/>
            <w:szCs w:val="16"/>
            <w:lang w:eastAsia="es-CR"/>
          </w:rPr>
          <w:t>www.ratingspcr.com</w:t>
        </w:r>
      </w:hyperlink>
      <w:r w:rsidR="0041065F" w:rsidRPr="006E6390">
        <w:rPr>
          <w:rFonts w:cs="Arial"/>
          <w:sz w:val="16"/>
          <w:szCs w:val="16"/>
          <w:lang w:eastAsia="es-CR"/>
        </w:rPr>
        <w:t>.</w:t>
      </w:r>
    </w:p>
    <w:p w14:paraId="5D213C72" w14:textId="77777777" w:rsidR="00C64F56" w:rsidRPr="006E6390" w:rsidRDefault="00C64F56" w:rsidP="002331C3">
      <w:pPr>
        <w:tabs>
          <w:tab w:val="left" w:pos="9270"/>
        </w:tabs>
        <w:rPr>
          <w:rFonts w:cs="Arial"/>
          <w:b/>
          <w:i/>
        </w:rPr>
      </w:pPr>
      <w:bookmarkStart w:id="9" w:name="_Toc170110714"/>
      <w:bookmarkStart w:id="10" w:name="_Toc262483786"/>
      <w:r w:rsidRPr="006E6390">
        <w:rPr>
          <w:rFonts w:cs="Arial"/>
          <w:b/>
          <w:i/>
        </w:rPr>
        <w:t>Serie A4</w:t>
      </w:r>
    </w:p>
    <w:tbl>
      <w:tblPr>
        <w:tblStyle w:val="Tablaconcuadrculaclara"/>
        <w:tblW w:w="8547" w:type="dxa"/>
        <w:tblLook w:val="0000" w:firstRow="0" w:lastRow="0" w:firstColumn="0" w:lastColumn="0" w:noHBand="0" w:noVBand="0"/>
      </w:tblPr>
      <w:tblGrid>
        <w:gridCol w:w="3715"/>
        <w:gridCol w:w="4832"/>
      </w:tblGrid>
      <w:tr w:rsidR="001C4887" w:rsidRPr="006E6390" w14:paraId="052F3AE1" w14:textId="77777777" w:rsidTr="00477242">
        <w:tc>
          <w:tcPr>
            <w:tcW w:w="3715" w:type="dxa"/>
          </w:tcPr>
          <w:p w14:paraId="5F18D600"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56D6B01D"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Bonos Estandarizados</w:t>
            </w:r>
          </w:p>
        </w:tc>
      </w:tr>
      <w:tr w:rsidR="001C4887" w:rsidRPr="006E6390" w14:paraId="4E8E59C7" w14:textId="77777777" w:rsidTr="00477242">
        <w:tc>
          <w:tcPr>
            <w:tcW w:w="3715" w:type="dxa"/>
          </w:tcPr>
          <w:p w14:paraId="7FF28441"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15C8AC80"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Programa A de Emisiones de Bonos Estandarizados</w:t>
            </w:r>
          </w:p>
        </w:tc>
      </w:tr>
      <w:tr w:rsidR="001C4887" w:rsidRPr="006E6390" w14:paraId="0CBCD622" w14:textId="77777777" w:rsidTr="00477242">
        <w:tc>
          <w:tcPr>
            <w:tcW w:w="3715" w:type="dxa"/>
          </w:tcPr>
          <w:p w14:paraId="461718BC" w14:textId="77777777" w:rsidR="001C4887"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7F1CBE48"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SERIE A4</w:t>
            </w:r>
          </w:p>
        </w:tc>
      </w:tr>
      <w:tr w:rsidR="001C4887" w:rsidRPr="006E6390" w14:paraId="226D4D03" w14:textId="77777777" w:rsidTr="00477242">
        <w:tc>
          <w:tcPr>
            <w:tcW w:w="3715" w:type="dxa"/>
          </w:tcPr>
          <w:p w14:paraId="436F8123"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27B9EAB1"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$200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(doscientos millones de dólares)</w:t>
            </w:r>
          </w:p>
        </w:tc>
      </w:tr>
      <w:tr w:rsidR="001C4887" w:rsidRPr="006E6390" w14:paraId="6897ED1F" w14:textId="77777777" w:rsidTr="00477242">
        <w:tc>
          <w:tcPr>
            <w:tcW w:w="3715" w:type="dxa"/>
          </w:tcPr>
          <w:p w14:paraId="5630353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127689FA"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$40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(cuarenta millones de dólares)</w:t>
            </w:r>
          </w:p>
        </w:tc>
      </w:tr>
      <w:tr w:rsidR="001C4887" w:rsidRPr="006E6390" w14:paraId="00173235" w14:textId="77777777" w:rsidTr="00477242">
        <w:tc>
          <w:tcPr>
            <w:tcW w:w="3715" w:type="dxa"/>
          </w:tcPr>
          <w:p w14:paraId="2770AC0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lastRenderedPageBreak/>
              <w:t>Monto subastado/ colocado</w:t>
            </w:r>
          </w:p>
        </w:tc>
        <w:tc>
          <w:tcPr>
            <w:tcW w:w="4832" w:type="dxa"/>
          </w:tcPr>
          <w:p w14:paraId="28848CB8"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$40</w:t>
            </w:r>
            <w:r w:rsidR="00F41A48" w:rsidRPr="006E6390">
              <w:rPr>
                <w:rFonts w:cs="Arial"/>
                <w:sz w:val="20"/>
                <w:szCs w:val="20"/>
              </w:rPr>
              <w:t xml:space="preserve"> </w:t>
            </w:r>
            <w:r w:rsidRPr="006E6390">
              <w:rPr>
                <w:rFonts w:cs="Arial"/>
                <w:sz w:val="20"/>
                <w:szCs w:val="20"/>
              </w:rPr>
              <w:t>000</w:t>
            </w:r>
            <w:r w:rsidR="00F41A48" w:rsidRPr="006E6390">
              <w:rPr>
                <w:rFonts w:cs="Arial"/>
                <w:sz w:val="20"/>
                <w:szCs w:val="20"/>
              </w:rPr>
              <w:t xml:space="preserve"> </w:t>
            </w:r>
            <w:r w:rsidRPr="006E6390">
              <w:rPr>
                <w:rFonts w:cs="Arial"/>
                <w:sz w:val="20"/>
                <w:szCs w:val="20"/>
              </w:rPr>
              <w:t>000 (cuarenta millones de dólares)</w:t>
            </w:r>
          </w:p>
        </w:tc>
      </w:tr>
      <w:tr w:rsidR="001C4887" w:rsidRPr="006E6390" w14:paraId="46396FD8" w14:textId="77777777" w:rsidTr="00477242">
        <w:tc>
          <w:tcPr>
            <w:tcW w:w="3715" w:type="dxa"/>
          </w:tcPr>
          <w:p w14:paraId="14EDDA0C"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Código ISIN</w:t>
            </w:r>
          </w:p>
        </w:tc>
        <w:tc>
          <w:tcPr>
            <w:tcW w:w="4832" w:type="dxa"/>
          </w:tcPr>
          <w:p w14:paraId="03D2BA15"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CRRECOPB0046</w:t>
            </w:r>
          </w:p>
        </w:tc>
      </w:tr>
      <w:tr w:rsidR="001C4887" w:rsidRPr="006E6390" w14:paraId="0CD483FD" w14:textId="77777777" w:rsidTr="00477242">
        <w:tc>
          <w:tcPr>
            <w:tcW w:w="3715" w:type="dxa"/>
          </w:tcPr>
          <w:p w14:paraId="24848C4D"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0C073DA4"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bra4$</w:t>
            </w:r>
          </w:p>
        </w:tc>
      </w:tr>
      <w:tr w:rsidR="001C4887" w:rsidRPr="006E6390" w14:paraId="7EB3B1CE" w14:textId="77777777" w:rsidTr="00477242">
        <w:tc>
          <w:tcPr>
            <w:tcW w:w="3715" w:type="dxa"/>
          </w:tcPr>
          <w:p w14:paraId="4FD8385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la emisión</w:t>
            </w:r>
          </w:p>
        </w:tc>
        <w:tc>
          <w:tcPr>
            <w:tcW w:w="4832" w:type="dxa"/>
          </w:tcPr>
          <w:p w14:paraId="34F6E4C9"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15</w:t>
            </w:r>
            <w:r w:rsidR="001103ED" w:rsidRPr="006E6390">
              <w:rPr>
                <w:rFonts w:cs="Arial"/>
                <w:sz w:val="20"/>
                <w:szCs w:val="20"/>
              </w:rPr>
              <w:t xml:space="preserve"> </w:t>
            </w:r>
            <w:r w:rsidRPr="006E6390">
              <w:rPr>
                <w:rFonts w:cs="Arial"/>
                <w:sz w:val="20"/>
                <w:szCs w:val="20"/>
              </w:rPr>
              <w:t>años</w:t>
            </w:r>
          </w:p>
        </w:tc>
      </w:tr>
      <w:tr w:rsidR="001C4887" w:rsidRPr="006E6390" w14:paraId="4A75E292" w14:textId="77777777" w:rsidTr="00477242">
        <w:tc>
          <w:tcPr>
            <w:tcW w:w="3715" w:type="dxa"/>
          </w:tcPr>
          <w:p w14:paraId="4EB93448"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32177F28"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2 de julio de 2014</w:t>
            </w:r>
          </w:p>
        </w:tc>
      </w:tr>
      <w:tr w:rsidR="001C4887" w:rsidRPr="006E6390" w14:paraId="567EA957" w14:textId="77777777" w:rsidTr="00477242">
        <w:tc>
          <w:tcPr>
            <w:tcW w:w="3715" w:type="dxa"/>
          </w:tcPr>
          <w:p w14:paraId="2781C7F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38E223A8"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2 de julio de 2029</w:t>
            </w:r>
          </w:p>
        </w:tc>
      </w:tr>
      <w:tr w:rsidR="001C4887" w:rsidRPr="006E6390" w14:paraId="761C5165" w14:textId="77777777" w:rsidTr="00477242">
        <w:tc>
          <w:tcPr>
            <w:tcW w:w="3715" w:type="dxa"/>
          </w:tcPr>
          <w:p w14:paraId="5433491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4E88EDEC"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$ 1</w:t>
            </w:r>
            <w:r w:rsidR="002206C7" w:rsidRPr="006E6390">
              <w:rPr>
                <w:rFonts w:cs="Arial"/>
                <w:sz w:val="20"/>
                <w:szCs w:val="20"/>
              </w:rPr>
              <w:t xml:space="preserve"> </w:t>
            </w:r>
            <w:r w:rsidRPr="006E6390">
              <w:rPr>
                <w:rFonts w:cs="Arial"/>
                <w:sz w:val="20"/>
                <w:szCs w:val="20"/>
              </w:rPr>
              <w:t>000,00 (mil dólares)</w:t>
            </w:r>
          </w:p>
        </w:tc>
      </w:tr>
      <w:tr w:rsidR="001C4887" w:rsidRPr="006E6390" w14:paraId="3520F893" w14:textId="77777777" w:rsidTr="00477242">
        <w:trPr>
          <w:trHeight w:val="283"/>
        </w:trPr>
        <w:tc>
          <w:tcPr>
            <w:tcW w:w="3715" w:type="dxa"/>
          </w:tcPr>
          <w:p w14:paraId="376B87A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333FE42A"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7</w:t>
            </w:r>
            <w:r w:rsidR="002206C7" w:rsidRPr="006E6390">
              <w:rPr>
                <w:rFonts w:cs="Arial"/>
                <w:sz w:val="20"/>
                <w:szCs w:val="20"/>
              </w:rPr>
              <w:t>,</w:t>
            </w:r>
            <w:r w:rsidRPr="006E6390">
              <w:rPr>
                <w:rFonts w:cs="Arial"/>
                <w:sz w:val="20"/>
                <w:szCs w:val="20"/>
              </w:rPr>
              <w:t>07%</w:t>
            </w:r>
          </w:p>
        </w:tc>
      </w:tr>
      <w:tr w:rsidR="001C4887" w:rsidRPr="006E6390" w14:paraId="06F26FAC" w14:textId="77777777" w:rsidTr="00477242">
        <w:tc>
          <w:tcPr>
            <w:tcW w:w="3715" w:type="dxa"/>
          </w:tcPr>
          <w:p w14:paraId="4CECE6A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3759B145"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 xml:space="preserve">Tasa bruta menos Impuesto sobre la renta vigente aplicable a los intereses. </w:t>
            </w:r>
          </w:p>
        </w:tc>
      </w:tr>
      <w:tr w:rsidR="001C4887" w:rsidRPr="006E6390" w14:paraId="1EDB6A9C" w14:textId="77777777" w:rsidTr="00477242">
        <w:tc>
          <w:tcPr>
            <w:tcW w:w="3715" w:type="dxa"/>
          </w:tcPr>
          <w:p w14:paraId="1DB2D787"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710318CD"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30 / 360</w:t>
            </w:r>
          </w:p>
        </w:tc>
      </w:tr>
      <w:tr w:rsidR="001C4887" w:rsidRPr="006E6390" w14:paraId="2C7C0A56" w14:textId="77777777" w:rsidTr="00477242">
        <w:tc>
          <w:tcPr>
            <w:tcW w:w="3715" w:type="dxa"/>
          </w:tcPr>
          <w:p w14:paraId="6295992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2020FC4E"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 xml:space="preserve">La serie A4 no cuenta con la opción de redención anticipada </w:t>
            </w:r>
          </w:p>
        </w:tc>
      </w:tr>
      <w:tr w:rsidR="001C4887" w:rsidRPr="006E6390" w14:paraId="7FEA5270" w14:textId="77777777" w:rsidTr="00477242">
        <w:tc>
          <w:tcPr>
            <w:tcW w:w="3715" w:type="dxa"/>
          </w:tcPr>
          <w:p w14:paraId="2DA5627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4832" w:type="dxa"/>
          </w:tcPr>
          <w:p w14:paraId="3CBED47B"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Cupón semestral</w:t>
            </w:r>
          </w:p>
        </w:tc>
      </w:tr>
      <w:tr w:rsidR="001C4887" w:rsidRPr="006E6390" w14:paraId="408B0A1B" w14:textId="77777777" w:rsidTr="00477242">
        <w:tc>
          <w:tcPr>
            <w:tcW w:w="3715" w:type="dxa"/>
          </w:tcPr>
          <w:p w14:paraId="5B699822"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7CFE3D85"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Al vencimiento</w:t>
            </w:r>
          </w:p>
        </w:tc>
      </w:tr>
      <w:tr w:rsidR="001C4887" w:rsidRPr="006E6390" w14:paraId="138784E8" w14:textId="77777777" w:rsidTr="00477242">
        <w:tc>
          <w:tcPr>
            <w:tcW w:w="3715" w:type="dxa"/>
          </w:tcPr>
          <w:p w14:paraId="310F9224"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832" w:type="dxa"/>
          </w:tcPr>
          <w:p w14:paraId="3D662ADF" w14:textId="77777777" w:rsidR="001C4887" w:rsidRPr="006E6390" w:rsidRDefault="00EB2760" w:rsidP="005B5F45">
            <w:pPr>
              <w:pStyle w:val="Tablas"/>
              <w:spacing w:beforeLines="60" w:before="144" w:afterLines="60" w:after="144"/>
              <w:jc w:val="both"/>
              <w:rPr>
                <w:rFonts w:cs="Arial"/>
                <w:sz w:val="20"/>
                <w:szCs w:val="20"/>
              </w:rPr>
            </w:pPr>
            <w:r w:rsidRPr="006E6390">
              <w:rPr>
                <w:rFonts w:cs="Arial"/>
                <w:sz w:val="20"/>
                <w:szCs w:val="20"/>
              </w:rPr>
              <w:t>Anotación electrónica en cuenta</w:t>
            </w:r>
          </w:p>
        </w:tc>
      </w:tr>
      <w:tr w:rsidR="001C4887" w:rsidRPr="006E6390" w14:paraId="211B0897" w14:textId="77777777" w:rsidTr="00477242">
        <w:tc>
          <w:tcPr>
            <w:tcW w:w="3715" w:type="dxa"/>
          </w:tcPr>
          <w:p w14:paraId="51026E3B"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654B9EE1"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A la orden</w:t>
            </w:r>
          </w:p>
        </w:tc>
      </w:tr>
      <w:tr w:rsidR="001C4887" w:rsidRPr="006E6390" w14:paraId="78C6CF84" w14:textId="77777777" w:rsidTr="00477242">
        <w:tc>
          <w:tcPr>
            <w:tcW w:w="3715" w:type="dxa"/>
          </w:tcPr>
          <w:p w14:paraId="25253D15"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20A51942"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 xml:space="preserve">Subasta por bolsa </w:t>
            </w:r>
          </w:p>
        </w:tc>
      </w:tr>
      <w:tr w:rsidR="001C4887" w:rsidRPr="006E6390" w14:paraId="03ED9895" w14:textId="77777777" w:rsidTr="00477242">
        <w:tc>
          <w:tcPr>
            <w:tcW w:w="3715" w:type="dxa"/>
          </w:tcPr>
          <w:p w14:paraId="7E13F349"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5E692CEE"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T+2</w:t>
            </w:r>
          </w:p>
        </w:tc>
      </w:tr>
      <w:tr w:rsidR="001C4887" w:rsidRPr="006E6390" w14:paraId="4D36F60D" w14:textId="77777777" w:rsidTr="00477242">
        <w:tc>
          <w:tcPr>
            <w:tcW w:w="3715" w:type="dxa"/>
          </w:tcPr>
          <w:p w14:paraId="4D0331B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0E9826E9"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AA</w:t>
            </w:r>
            <w:r w:rsidR="002E2A4A">
              <w:rPr>
                <w:rFonts w:cs="Arial"/>
                <w:sz w:val="20"/>
                <w:szCs w:val="20"/>
              </w:rPr>
              <w:t>+</w:t>
            </w:r>
            <w:r w:rsidRPr="006E6390">
              <w:rPr>
                <w:rFonts w:cs="Arial"/>
                <w:sz w:val="20"/>
                <w:szCs w:val="20"/>
              </w:rPr>
              <w:t xml:space="preserve"> (cri) Fitch Costa Rica</w:t>
            </w:r>
          </w:p>
          <w:p w14:paraId="7E1966CC" w14:textId="77777777" w:rsidR="009F6C6C" w:rsidRPr="006E6390" w:rsidRDefault="009F6C6C" w:rsidP="005B5F45">
            <w:pPr>
              <w:pStyle w:val="Tablas"/>
              <w:spacing w:beforeLines="60" w:before="144" w:afterLines="60" w:after="144"/>
              <w:jc w:val="both"/>
              <w:rPr>
                <w:rFonts w:cs="Arial"/>
                <w:sz w:val="20"/>
                <w:szCs w:val="20"/>
              </w:rPr>
            </w:pPr>
            <w:r w:rsidRPr="006E6390">
              <w:rPr>
                <w:rFonts w:cs="Arial"/>
                <w:sz w:val="20"/>
                <w:szCs w:val="20"/>
              </w:rPr>
              <w:t>AAA (slv) Fitch El Salvador</w:t>
            </w:r>
          </w:p>
          <w:p w14:paraId="2F899C1E" w14:textId="77777777" w:rsidR="009F6C6C" w:rsidRPr="006E6390" w:rsidRDefault="009F6C6C" w:rsidP="005B5F45">
            <w:pPr>
              <w:pStyle w:val="Tablas"/>
              <w:spacing w:beforeLines="60" w:before="144" w:afterLines="60" w:after="144"/>
              <w:jc w:val="both"/>
              <w:rPr>
                <w:rFonts w:cs="Arial"/>
                <w:sz w:val="20"/>
                <w:szCs w:val="20"/>
              </w:rPr>
            </w:pPr>
            <w:r w:rsidRPr="006E6390">
              <w:rPr>
                <w:rFonts w:cs="Arial"/>
                <w:sz w:val="20"/>
                <w:szCs w:val="20"/>
              </w:rPr>
              <w:t>AAA PacificCredit Rating El Salvador</w:t>
            </w:r>
          </w:p>
        </w:tc>
      </w:tr>
      <w:tr w:rsidR="001C4887" w:rsidRPr="006E6390" w14:paraId="07F0EA52" w14:textId="77777777" w:rsidTr="00477242">
        <w:tc>
          <w:tcPr>
            <w:tcW w:w="3715" w:type="dxa"/>
          </w:tcPr>
          <w:p w14:paraId="508A31AE" w14:textId="77777777" w:rsidR="001C4887" w:rsidRPr="006E6390" w:rsidRDefault="001C4887"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60A0BBB2" w14:textId="77777777" w:rsidR="001C4887" w:rsidRPr="006E6390" w:rsidRDefault="001C4887" w:rsidP="005B5F45">
            <w:pPr>
              <w:pStyle w:val="Tablas"/>
              <w:spacing w:beforeLines="60" w:before="144" w:afterLines="60" w:after="144"/>
              <w:jc w:val="both"/>
              <w:rPr>
                <w:rFonts w:cs="Arial"/>
                <w:sz w:val="20"/>
                <w:szCs w:val="20"/>
              </w:rPr>
            </w:pPr>
            <w:r w:rsidRPr="006E6390">
              <w:rPr>
                <w:rFonts w:cs="Arial"/>
                <w:sz w:val="20"/>
                <w:szCs w:val="20"/>
              </w:rPr>
              <w:t>Los recursos de esta emisión serán utilizados en la inversión en:</w:t>
            </w:r>
          </w:p>
          <w:p w14:paraId="114D938D" w14:textId="77777777" w:rsidR="001C4887" w:rsidRPr="006E6390" w:rsidRDefault="001C4887" w:rsidP="005B5F45">
            <w:pPr>
              <w:pStyle w:val="Tablas"/>
              <w:numPr>
                <w:ilvl w:val="0"/>
                <w:numId w:val="7"/>
              </w:numPr>
              <w:spacing w:beforeLines="60" w:before="144" w:afterLines="60" w:after="144"/>
              <w:ind w:left="379" w:hanging="284"/>
              <w:jc w:val="both"/>
              <w:rPr>
                <w:rFonts w:cs="Arial"/>
                <w:sz w:val="20"/>
                <w:szCs w:val="20"/>
              </w:rPr>
            </w:pPr>
            <w:r w:rsidRPr="006E6390">
              <w:rPr>
                <w:rFonts w:cs="Arial"/>
                <w:sz w:val="20"/>
                <w:szCs w:val="20"/>
              </w:rPr>
              <w:t>Ampliación y optimización de la capacidad de almacenamiento</w:t>
            </w:r>
            <w:r w:rsidR="00781AAA" w:rsidRPr="006E6390">
              <w:rPr>
                <w:rFonts w:cs="Arial"/>
                <w:sz w:val="20"/>
                <w:szCs w:val="20"/>
              </w:rPr>
              <w:t>.</w:t>
            </w:r>
          </w:p>
          <w:p w14:paraId="682253AC" w14:textId="77777777" w:rsidR="001C4887" w:rsidRPr="006E6390" w:rsidRDefault="001C4887" w:rsidP="005B5F45">
            <w:pPr>
              <w:pStyle w:val="Tablas"/>
              <w:numPr>
                <w:ilvl w:val="0"/>
                <w:numId w:val="7"/>
              </w:numPr>
              <w:spacing w:beforeLines="60" w:before="144" w:afterLines="60" w:after="144"/>
              <w:ind w:left="379" w:hanging="284"/>
              <w:jc w:val="both"/>
              <w:rPr>
                <w:rFonts w:cs="Arial"/>
                <w:sz w:val="20"/>
                <w:szCs w:val="20"/>
              </w:rPr>
            </w:pPr>
            <w:r w:rsidRPr="006E6390">
              <w:rPr>
                <w:rFonts w:cs="Arial"/>
                <w:sz w:val="20"/>
                <w:szCs w:val="20"/>
              </w:rPr>
              <w:lastRenderedPageBreak/>
              <w:t>Ampliación de la Terminal Portuaria Petrolera del Atlántico</w:t>
            </w:r>
            <w:r w:rsidR="00781AAA" w:rsidRPr="006E6390">
              <w:rPr>
                <w:rFonts w:cs="Arial"/>
                <w:sz w:val="20"/>
                <w:szCs w:val="20"/>
              </w:rPr>
              <w:t>.</w:t>
            </w:r>
          </w:p>
        </w:tc>
      </w:tr>
    </w:tbl>
    <w:p w14:paraId="4059F06E" w14:textId="77777777" w:rsidR="00C64F56" w:rsidRPr="006E6390" w:rsidRDefault="00490C9B" w:rsidP="002331C3">
      <w:pPr>
        <w:pStyle w:val="piedepgina0"/>
        <w:tabs>
          <w:tab w:val="left" w:pos="9270"/>
        </w:tabs>
        <w:rPr>
          <w:rFonts w:cs="Arial"/>
          <w:sz w:val="16"/>
          <w:szCs w:val="16"/>
          <w:lang w:eastAsia="es-CR"/>
        </w:rPr>
      </w:pPr>
      <w:r w:rsidRPr="006E6390">
        <w:rPr>
          <w:rFonts w:cs="Arial"/>
          <w:sz w:val="16"/>
          <w:szCs w:val="16"/>
          <w:lang w:eastAsia="es-CR"/>
        </w:rPr>
        <w:lastRenderedPageBreak/>
        <w:t>(1)</w:t>
      </w:r>
      <w:r w:rsidR="00292B80" w:rsidRPr="006E6390">
        <w:rPr>
          <w:rFonts w:cs="Arial"/>
          <w:sz w:val="16"/>
          <w:szCs w:val="16"/>
          <w:lang w:eastAsia="es-CR"/>
        </w:rPr>
        <w:t xml:space="preserve"> </w:t>
      </w:r>
      <w:r w:rsidR="00C64F56" w:rsidRPr="006E6390">
        <w:rPr>
          <w:rFonts w:cs="Arial"/>
          <w:sz w:val="16"/>
          <w:szCs w:val="16"/>
          <w:lang w:eastAsia="es-CR"/>
        </w:rPr>
        <w:t xml:space="preserve">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5" w:history="1">
        <w:r w:rsidR="00C64F56" w:rsidRPr="006E6390">
          <w:rPr>
            <w:rFonts w:cs="Arial"/>
            <w:sz w:val="16"/>
            <w:szCs w:val="16"/>
            <w:lang w:eastAsia="es-CR"/>
          </w:rPr>
          <w:t>www.fitchca.com</w:t>
        </w:r>
      </w:hyperlink>
      <w:r w:rsidR="00C64F56" w:rsidRPr="006E6390">
        <w:rPr>
          <w:rFonts w:cs="Arial"/>
          <w:sz w:val="16"/>
          <w:szCs w:val="16"/>
          <w:lang w:eastAsia="es-CR"/>
        </w:rPr>
        <w:t xml:space="preserve"> y en </w:t>
      </w:r>
      <w:hyperlink r:id="rId16" w:history="1">
        <w:r w:rsidR="00C64F56" w:rsidRPr="006E6390">
          <w:rPr>
            <w:rFonts w:cs="Arial"/>
            <w:sz w:val="16"/>
            <w:szCs w:val="16"/>
            <w:lang w:eastAsia="es-CR"/>
          </w:rPr>
          <w:t>www.ratingspcr.com</w:t>
        </w:r>
      </w:hyperlink>
      <w:r w:rsidR="00C64F56" w:rsidRPr="006E6390">
        <w:rPr>
          <w:rFonts w:cs="Arial"/>
          <w:sz w:val="16"/>
          <w:szCs w:val="16"/>
          <w:lang w:eastAsia="es-CR"/>
        </w:rPr>
        <w:t>.</w:t>
      </w:r>
    </w:p>
    <w:p w14:paraId="55697EFB" w14:textId="77777777" w:rsidR="003D27ED" w:rsidRPr="006E6390" w:rsidRDefault="003D27ED" w:rsidP="00FB5A98">
      <w:pPr>
        <w:rPr>
          <w:rFonts w:cs="Arial"/>
          <w:b/>
        </w:rPr>
      </w:pPr>
      <w:r w:rsidRPr="006E6390">
        <w:rPr>
          <w:rFonts w:cs="Arial"/>
          <w:b/>
        </w:rPr>
        <w:t>Serie A</w:t>
      </w:r>
      <w:r w:rsidR="00A90C98" w:rsidRPr="006E6390">
        <w:rPr>
          <w:rFonts w:cs="Arial"/>
          <w:b/>
        </w:rPr>
        <w:t>5</w:t>
      </w:r>
    </w:p>
    <w:tbl>
      <w:tblPr>
        <w:tblStyle w:val="Tablaconcuadrculaclara"/>
        <w:tblW w:w="8547" w:type="dxa"/>
        <w:tblLook w:val="0000" w:firstRow="0" w:lastRow="0" w:firstColumn="0" w:lastColumn="0" w:noHBand="0" w:noVBand="0"/>
      </w:tblPr>
      <w:tblGrid>
        <w:gridCol w:w="3715"/>
        <w:gridCol w:w="4832"/>
      </w:tblGrid>
      <w:tr w:rsidR="003D27ED" w:rsidRPr="006E6390" w14:paraId="299B7E27" w14:textId="77777777" w:rsidTr="00477242">
        <w:tc>
          <w:tcPr>
            <w:tcW w:w="3715" w:type="dxa"/>
          </w:tcPr>
          <w:p w14:paraId="4B3946EA"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6F624FC7" w14:textId="77777777" w:rsidR="003D27ED" w:rsidRPr="006E6390" w:rsidRDefault="003D27ED" w:rsidP="005B5F45">
            <w:pPr>
              <w:pStyle w:val="Tablas"/>
              <w:spacing w:beforeLines="60" w:before="144" w:afterLines="60" w:after="144"/>
              <w:jc w:val="both"/>
              <w:rPr>
                <w:rFonts w:cs="Arial"/>
                <w:sz w:val="20"/>
                <w:szCs w:val="20"/>
              </w:rPr>
            </w:pPr>
            <w:r w:rsidRPr="006E6390">
              <w:rPr>
                <w:rFonts w:cs="Arial"/>
                <w:sz w:val="20"/>
                <w:szCs w:val="20"/>
              </w:rPr>
              <w:t>Bonos Estandarizados</w:t>
            </w:r>
          </w:p>
        </w:tc>
      </w:tr>
      <w:tr w:rsidR="003D27ED" w:rsidRPr="006E6390" w14:paraId="4D3EC51A" w14:textId="77777777" w:rsidTr="00477242">
        <w:tc>
          <w:tcPr>
            <w:tcW w:w="3715" w:type="dxa"/>
          </w:tcPr>
          <w:p w14:paraId="4D43778F"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304E772D" w14:textId="77777777" w:rsidR="003D27ED" w:rsidRPr="006E6390" w:rsidRDefault="003D27ED" w:rsidP="005B5F45">
            <w:pPr>
              <w:pStyle w:val="Tablas"/>
              <w:spacing w:beforeLines="60" w:before="144" w:afterLines="60" w:after="144"/>
              <w:jc w:val="both"/>
              <w:rPr>
                <w:rFonts w:cs="Arial"/>
                <w:sz w:val="20"/>
                <w:szCs w:val="20"/>
              </w:rPr>
            </w:pPr>
            <w:r w:rsidRPr="006E6390">
              <w:rPr>
                <w:rFonts w:cs="Arial"/>
                <w:sz w:val="20"/>
                <w:szCs w:val="20"/>
              </w:rPr>
              <w:t>Programa A de Emisiones de Bonos Estandarizados</w:t>
            </w:r>
          </w:p>
        </w:tc>
      </w:tr>
      <w:tr w:rsidR="003D27ED" w:rsidRPr="006E6390" w14:paraId="51E9F57E" w14:textId="77777777" w:rsidTr="00477242">
        <w:tc>
          <w:tcPr>
            <w:tcW w:w="3715" w:type="dxa"/>
          </w:tcPr>
          <w:p w14:paraId="7C1C426B" w14:textId="77777777" w:rsidR="003D27ED"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632D0A1D" w14:textId="77777777" w:rsidR="003D27ED" w:rsidRPr="006E6390" w:rsidRDefault="003D27ED" w:rsidP="005B5F45">
            <w:pPr>
              <w:pStyle w:val="Tablas"/>
              <w:spacing w:beforeLines="60" w:before="144" w:afterLines="60" w:after="144"/>
              <w:jc w:val="both"/>
              <w:rPr>
                <w:rFonts w:cs="Arial"/>
                <w:sz w:val="20"/>
                <w:szCs w:val="20"/>
              </w:rPr>
            </w:pPr>
            <w:r w:rsidRPr="006E6390">
              <w:rPr>
                <w:rFonts w:cs="Arial"/>
                <w:sz w:val="20"/>
                <w:szCs w:val="20"/>
              </w:rPr>
              <w:t>SERIE A</w:t>
            </w:r>
            <w:r w:rsidR="00A90C98" w:rsidRPr="006E6390">
              <w:rPr>
                <w:rFonts w:cs="Arial"/>
                <w:sz w:val="20"/>
                <w:szCs w:val="20"/>
              </w:rPr>
              <w:t>5</w:t>
            </w:r>
          </w:p>
        </w:tc>
      </w:tr>
      <w:tr w:rsidR="003D27ED" w:rsidRPr="006E6390" w14:paraId="5A8BDB19" w14:textId="77777777" w:rsidTr="00477242">
        <w:tc>
          <w:tcPr>
            <w:tcW w:w="3715" w:type="dxa"/>
          </w:tcPr>
          <w:p w14:paraId="177BBF63"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0169FFED" w14:textId="77777777" w:rsidR="003D27ED" w:rsidRPr="006E6390" w:rsidRDefault="003D27ED" w:rsidP="005B5F45">
            <w:pPr>
              <w:pStyle w:val="Tablas"/>
              <w:spacing w:beforeLines="60" w:before="144" w:afterLines="60" w:after="144"/>
              <w:jc w:val="both"/>
              <w:rPr>
                <w:rFonts w:cs="Arial"/>
                <w:sz w:val="20"/>
                <w:szCs w:val="20"/>
              </w:rPr>
            </w:pPr>
            <w:r w:rsidRPr="006E6390">
              <w:rPr>
                <w:rFonts w:cs="Arial"/>
                <w:sz w:val="20"/>
                <w:szCs w:val="20"/>
              </w:rPr>
              <w:t>$ 200</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 (doscientos millones de dólares)</w:t>
            </w:r>
          </w:p>
        </w:tc>
      </w:tr>
      <w:tr w:rsidR="003D27ED" w:rsidRPr="006E6390" w14:paraId="01A2561C" w14:textId="77777777" w:rsidTr="00477242">
        <w:tc>
          <w:tcPr>
            <w:tcW w:w="3715" w:type="dxa"/>
          </w:tcPr>
          <w:p w14:paraId="42612A2C" w14:textId="77777777" w:rsidR="003D27ED" w:rsidRPr="006E6390" w:rsidRDefault="003D27ED"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249BA1FE" w14:textId="77777777" w:rsidR="003D27ED" w:rsidRPr="006E6390" w:rsidRDefault="00842FA0" w:rsidP="005B5F45">
            <w:pPr>
              <w:pStyle w:val="Tablas"/>
              <w:spacing w:beforeLines="60" w:before="144" w:afterLines="60" w:after="144"/>
              <w:jc w:val="both"/>
              <w:rPr>
                <w:rFonts w:cs="Arial"/>
                <w:sz w:val="20"/>
                <w:szCs w:val="20"/>
              </w:rPr>
            </w:pPr>
            <w:r w:rsidRPr="006E6390">
              <w:rPr>
                <w:rFonts w:cs="Arial"/>
                <w:sz w:val="20"/>
                <w:szCs w:val="20"/>
              </w:rPr>
              <w:t>₡</w:t>
            </w:r>
            <w:r w:rsidR="00C50F30" w:rsidRPr="006E6390">
              <w:rPr>
                <w:rFonts w:cs="Arial"/>
                <w:sz w:val="20"/>
                <w:szCs w:val="20"/>
              </w:rPr>
              <w:t>20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(veinte mil millones de colones)</w:t>
            </w:r>
          </w:p>
        </w:tc>
      </w:tr>
      <w:tr w:rsidR="00C50F30" w:rsidRPr="006E6390" w14:paraId="2B23D49B" w14:textId="77777777" w:rsidTr="00477242">
        <w:tc>
          <w:tcPr>
            <w:tcW w:w="3715" w:type="dxa"/>
          </w:tcPr>
          <w:p w14:paraId="4BCE1290"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4832" w:type="dxa"/>
          </w:tcPr>
          <w:p w14:paraId="3BAB0677" w14:textId="77777777" w:rsidR="00C50F30" w:rsidRPr="006E6390" w:rsidRDefault="00842FA0" w:rsidP="005B5F45">
            <w:pPr>
              <w:pStyle w:val="Tablas"/>
              <w:spacing w:beforeLines="60" w:before="144" w:afterLines="60" w:after="144"/>
              <w:jc w:val="both"/>
              <w:rPr>
                <w:rFonts w:cs="Arial"/>
                <w:sz w:val="20"/>
                <w:szCs w:val="20"/>
              </w:rPr>
            </w:pPr>
            <w:r w:rsidRPr="006E6390">
              <w:rPr>
                <w:rFonts w:cs="Arial"/>
                <w:sz w:val="20"/>
                <w:szCs w:val="20"/>
              </w:rPr>
              <w:t>₡</w:t>
            </w:r>
            <w:r w:rsidR="007B0181" w:rsidRPr="006E6390">
              <w:rPr>
                <w:rFonts w:cs="Arial"/>
                <w:sz w:val="20"/>
                <w:szCs w:val="20"/>
              </w:rPr>
              <w:t>20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w:t>
            </w:r>
            <w:r w:rsidR="00142BA0" w:rsidRPr="006E6390">
              <w:rPr>
                <w:rFonts w:cs="Arial"/>
                <w:sz w:val="20"/>
                <w:szCs w:val="20"/>
              </w:rPr>
              <w:t xml:space="preserve">veinte </w:t>
            </w:r>
            <w:r w:rsidR="00C50F30" w:rsidRPr="006E6390">
              <w:rPr>
                <w:rFonts w:cs="Arial"/>
                <w:sz w:val="20"/>
                <w:szCs w:val="20"/>
              </w:rPr>
              <w:t>mil millones de colones)</w:t>
            </w:r>
          </w:p>
        </w:tc>
      </w:tr>
      <w:tr w:rsidR="00C50F30" w:rsidRPr="006E6390" w14:paraId="4BBD360A" w14:textId="77777777" w:rsidTr="003C10DD">
        <w:trPr>
          <w:trHeight w:val="416"/>
        </w:trPr>
        <w:tc>
          <w:tcPr>
            <w:tcW w:w="3715" w:type="dxa"/>
          </w:tcPr>
          <w:p w14:paraId="189FFBD4"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Código ISIN</w:t>
            </w:r>
          </w:p>
        </w:tc>
        <w:tc>
          <w:tcPr>
            <w:tcW w:w="4832" w:type="dxa"/>
          </w:tcPr>
          <w:p w14:paraId="4C8CAC5C"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CRRECOPB0053</w:t>
            </w:r>
          </w:p>
        </w:tc>
      </w:tr>
      <w:tr w:rsidR="00C50F30" w:rsidRPr="006E6390" w14:paraId="64236D8C" w14:textId="77777777" w:rsidTr="00477242">
        <w:tc>
          <w:tcPr>
            <w:tcW w:w="3715" w:type="dxa"/>
          </w:tcPr>
          <w:p w14:paraId="34CEF7B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03014E3F"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bra5c</w:t>
            </w:r>
          </w:p>
        </w:tc>
      </w:tr>
      <w:tr w:rsidR="00C50F30" w:rsidRPr="006E6390" w14:paraId="08972D0B" w14:textId="77777777" w:rsidTr="00477242">
        <w:tc>
          <w:tcPr>
            <w:tcW w:w="3715" w:type="dxa"/>
          </w:tcPr>
          <w:p w14:paraId="3E2E8993"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Plazo de la emisión</w:t>
            </w:r>
          </w:p>
        </w:tc>
        <w:tc>
          <w:tcPr>
            <w:tcW w:w="4832" w:type="dxa"/>
          </w:tcPr>
          <w:p w14:paraId="1A60A498"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10 años</w:t>
            </w:r>
          </w:p>
        </w:tc>
      </w:tr>
      <w:tr w:rsidR="00C50F30" w:rsidRPr="006E6390" w14:paraId="310C7733" w14:textId="77777777" w:rsidTr="00477242">
        <w:tc>
          <w:tcPr>
            <w:tcW w:w="3715" w:type="dxa"/>
          </w:tcPr>
          <w:p w14:paraId="2AA7BFF6"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007C065B"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24 de marzo de 2015</w:t>
            </w:r>
          </w:p>
        </w:tc>
      </w:tr>
      <w:tr w:rsidR="00C50F30" w:rsidRPr="006E6390" w14:paraId="728B525E" w14:textId="77777777" w:rsidTr="00477242">
        <w:tc>
          <w:tcPr>
            <w:tcW w:w="3715" w:type="dxa"/>
          </w:tcPr>
          <w:p w14:paraId="4645A476"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78C32C67"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24 de marzo de 2025</w:t>
            </w:r>
          </w:p>
        </w:tc>
      </w:tr>
      <w:tr w:rsidR="00C50F30" w:rsidRPr="006E6390" w14:paraId="2C21AD07" w14:textId="77777777" w:rsidTr="00477242">
        <w:tc>
          <w:tcPr>
            <w:tcW w:w="3715" w:type="dxa"/>
          </w:tcPr>
          <w:p w14:paraId="65E3D02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6FB5CA60" w14:textId="77777777" w:rsidR="00C50F30" w:rsidRPr="006E6390" w:rsidRDefault="00842FA0" w:rsidP="005B5F45">
            <w:pPr>
              <w:pStyle w:val="Tablas"/>
              <w:spacing w:beforeLines="60" w:before="144" w:afterLines="60" w:after="144"/>
              <w:jc w:val="both"/>
              <w:rPr>
                <w:rFonts w:cs="Arial"/>
                <w:sz w:val="20"/>
                <w:szCs w:val="20"/>
              </w:rPr>
            </w:pPr>
            <w:r w:rsidRPr="006E6390">
              <w:rPr>
                <w:rFonts w:cs="Arial"/>
                <w:sz w:val="20"/>
                <w:szCs w:val="20"/>
              </w:rPr>
              <w:t>₡</w:t>
            </w:r>
            <w:r w:rsidR="00C50F30" w:rsidRPr="006E6390">
              <w:rPr>
                <w:rFonts w:cs="Arial"/>
                <w:sz w:val="20"/>
                <w:szCs w:val="20"/>
              </w:rPr>
              <w:t>1</w:t>
            </w:r>
            <w:r w:rsidR="002206C7" w:rsidRPr="006E6390">
              <w:rPr>
                <w:rFonts w:cs="Arial"/>
                <w:sz w:val="20"/>
                <w:szCs w:val="20"/>
              </w:rPr>
              <w:t xml:space="preserve"> </w:t>
            </w:r>
            <w:r w:rsidR="00C50F30" w:rsidRPr="006E6390">
              <w:rPr>
                <w:rFonts w:cs="Arial"/>
                <w:sz w:val="20"/>
                <w:szCs w:val="20"/>
              </w:rPr>
              <w:t>000</w:t>
            </w:r>
            <w:r w:rsidR="002206C7" w:rsidRPr="006E6390">
              <w:rPr>
                <w:rFonts w:cs="Arial"/>
                <w:sz w:val="20"/>
                <w:szCs w:val="20"/>
              </w:rPr>
              <w:t xml:space="preserve"> </w:t>
            </w:r>
            <w:r w:rsidR="00C50F30" w:rsidRPr="006E6390">
              <w:rPr>
                <w:rFonts w:cs="Arial"/>
                <w:sz w:val="20"/>
                <w:szCs w:val="20"/>
              </w:rPr>
              <w:t>000 (un millón de colones)</w:t>
            </w:r>
          </w:p>
        </w:tc>
      </w:tr>
      <w:tr w:rsidR="00C50F30" w:rsidRPr="006E6390" w14:paraId="2E25F7AF" w14:textId="77777777" w:rsidTr="00477242">
        <w:trPr>
          <w:trHeight w:val="283"/>
        </w:trPr>
        <w:tc>
          <w:tcPr>
            <w:tcW w:w="3715" w:type="dxa"/>
          </w:tcPr>
          <w:p w14:paraId="22F7AB9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127F066B"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11,96%</w:t>
            </w:r>
          </w:p>
        </w:tc>
      </w:tr>
      <w:tr w:rsidR="00C50F30" w:rsidRPr="006E6390" w14:paraId="7A6B1B6E" w14:textId="77777777" w:rsidTr="003C10DD">
        <w:trPr>
          <w:trHeight w:val="592"/>
        </w:trPr>
        <w:tc>
          <w:tcPr>
            <w:tcW w:w="3715" w:type="dxa"/>
          </w:tcPr>
          <w:p w14:paraId="019BD2FD"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51F9E24A" w14:textId="77777777" w:rsidR="00C50F30" w:rsidRPr="006E6390" w:rsidRDefault="002E689E" w:rsidP="005B5F45">
            <w:pPr>
              <w:pStyle w:val="Tablas"/>
              <w:spacing w:beforeLines="60" w:before="144" w:afterLines="60" w:after="144"/>
              <w:jc w:val="both"/>
              <w:rPr>
                <w:rFonts w:cs="Arial"/>
                <w:sz w:val="20"/>
                <w:szCs w:val="20"/>
              </w:rPr>
            </w:pPr>
            <w:r w:rsidRPr="006E6390">
              <w:rPr>
                <w:rFonts w:cs="Arial"/>
                <w:sz w:val="20"/>
                <w:szCs w:val="20"/>
              </w:rPr>
              <w:t>T</w:t>
            </w:r>
            <w:r w:rsidR="00C50F30" w:rsidRPr="006E6390">
              <w:rPr>
                <w:rFonts w:cs="Arial"/>
                <w:sz w:val="20"/>
                <w:szCs w:val="20"/>
              </w:rPr>
              <w:t xml:space="preserve">asa bruta menos impuesto sobre la renta vigente aplicable a los intereses. </w:t>
            </w:r>
          </w:p>
        </w:tc>
      </w:tr>
      <w:tr w:rsidR="00C50F30" w:rsidRPr="006E6390" w14:paraId="24B4DF85" w14:textId="77777777" w:rsidTr="00477242">
        <w:tc>
          <w:tcPr>
            <w:tcW w:w="3715" w:type="dxa"/>
          </w:tcPr>
          <w:p w14:paraId="7A083B80"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28DF971C"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30 / 360</w:t>
            </w:r>
          </w:p>
        </w:tc>
      </w:tr>
      <w:tr w:rsidR="00C50F30" w:rsidRPr="006E6390" w14:paraId="23D9C262" w14:textId="77777777" w:rsidTr="00477242">
        <w:tc>
          <w:tcPr>
            <w:tcW w:w="3715" w:type="dxa"/>
          </w:tcPr>
          <w:p w14:paraId="49EFBCB2"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0D26C82B"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 xml:space="preserve">La serie A5 no cuenta con la opción de redención anticipada </w:t>
            </w:r>
          </w:p>
        </w:tc>
      </w:tr>
      <w:tr w:rsidR="00C50F30" w:rsidRPr="006E6390" w14:paraId="11A3F83F" w14:textId="77777777" w:rsidTr="00477242">
        <w:tc>
          <w:tcPr>
            <w:tcW w:w="3715" w:type="dxa"/>
          </w:tcPr>
          <w:p w14:paraId="7402FC3F"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4832" w:type="dxa"/>
          </w:tcPr>
          <w:p w14:paraId="3193E424"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Cupón semestral</w:t>
            </w:r>
          </w:p>
        </w:tc>
      </w:tr>
      <w:tr w:rsidR="00C50F30" w:rsidRPr="006E6390" w14:paraId="62BAAA01" w14:textId="77777777" w:rsidTr="00477242">
        <w:tc>
          <w:tcPr>
            <w:tcW w:w="3715" w:type="dxa"/>
          </w:tcPr>
          <w:p w14:paraId="5A774115"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2C08A550"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Al vencimiento</w:t>
            </w:r>
          </w:p>
        </w:tc>
      </w:tr>
      <w:tr w:rsidR="00C50F30" w:rsidRPr="006E6390" w14:paraId="23739A36" w14:textId="77777777" w:rsidTr="00477242">
        <w:tc>
          <w:tcPr>
            <w:tcW w:w="3715" w:type="dxa"/>
          </w:tcPr>
          <w:p w14:paraId="2E18CE31"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lastRenderedPageBreak/>
              <w:t>Forma de representación</w:t>
            </w:r>
          </w:p>
        </w:tc>
        <w:tc>
          <w:tcPr>
            <w:tcW w:w="4832" w:type="dxa"/>
          </w:tcPr>
          <w:p w14:paraId="08AB01E0" w14:textId="77777777" w:rsidR="00C50F30" w:rsidRPr="006E6390" w:rsidRDefault="00E96132" w:rsidP="005B5F45">
            <w:pPr>
              <w:pStyle w:val="Tablas"/>
              <w:spacing w:beforeLines="60" w:before="144" w:afterLines="60" w:after="144"/>
              <w:jc w:val="both"/>
              <w:rPr>
                <w:rFonts w:cs="Arial"/>
                <w:sz w:val="20"/>
                <w:szCs w:val="20"/>
              </w:rPr>
            </w:pPr>
            <w:r w:rsidRPr="006E6390">
              <w:rPr>
                <w:rFonts w:cs="Arial"/>
                <w:sz w:val="20"/>
                <w:szCs w:val="20"/>
              </w:rPr>
              <w:t>Anotación electrónica en cuenta</w:t>
            </w:r>
            <w:r w:rsidR="00C50F30" w:rsidRPr="006E6390">
              <w:rPr>
                <w:rFonts w:cs="Arial"/>
                <w:sz w:val="20"/>
                <w:szCs w:val="20"/>
              </w:rPr>
              <w:t xml:space="preserve"> </w:t>
            </w:r>
          </w:p>
        </w:tc>
      </w:tr>
      <w:tr w:rsidR="00C50F30" w:rsidRPr="006E6390" w14:paraId="2C27C02D" w14:textId="77777777" w:rsidTr="00477242">
        <w:tc>
          <w:tcPr>
            <w:tcW w:w="3715" w:type="dxa"/>
          </w:tcPr>
          <w:p w14:paraId="24EFC70F"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1DB46231"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A la orden</w:t>
            </w:r>
          </w:p>
        </w:tc>
      </w:tr>
      <w:tr w:rsidR="00C50F30" w:rsidRPr="006E6390" w14:paraId="599C66C7" w14:textId="77777777" w:rsidTr="00477242">
        <w:tc>
          <w:tcPr>
            <w:tcW w:w="3715" w:type="dxa"/>
          </w:tcPr>
          <w:p w14:paraId="0C04580A"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1DB23B5F"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 xml:space="preserve">Subasta por bolsa </w:t>
            </w:r>
          </w:p>
        </w:tc>
      </w:tr>
      <w:tr w:rsidR="00C50F30" w:rsidRPr="006E6390" w14:paraId="3DF853A1" w14:textId="77777777" w:rsidTr="003C10DD">
        <w:trPr>
          <w:trHeight w:val="381"/>
        </w:trPr>
        <w:tc>
          <w:tcPr>
            <w:tcW w:w="3715" w:type="dxa"/>
          </w:tcPr>
          <w:p w14:paraId="601FD421" w14:textId="77777777" w:rsidR="00C50F30" w:rsidRPr="006E6390" w:rsidRDefault="00C50F30"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4019EF26" w14:textId="77777777" w:rsidR="00C50F30" w:rsidRPr="006E6390" w:rsidRDefault="00C50F30" w:rsidP="005B5F45">
            <w:pPr>
              <w:pStyle w:val="Tablas"/>
              <w:spacing w:beforeLines="60" w:before="144" w:afterLines="60" w:after="144"/>
              <w:jc w:val="both"/>
              <w:rPr>
                <w:rFonts w:cs="Arial"/>
                <w:sz w:val="20"/>
                <w:szCs w:val="20"/>
              </w:rPr>
            </w:pPr>
            <w:r w:rsidRPr="006E6390">
              <w:rPr>
                <w:rFonts w:cs="Arial"/>
                <w:sz w:val="20"/>
                <w:szCs w:val="20"/>
              </w:rPr>
              <w:t>T+2</w:t>
            </w:r>
          </w:p>
        </w:tc>
      </w:tr>
      <w:tr w:rsidR="002E2A4A" w:rsidRPr="006E6390" w14:paraId="24C72872" w14:textId="77777777" w:rsidTr="003C10DD">
        <w:trPr>
          <w:trHeight w:val="1240"/>
        </w:trPr>
        <w:tc>
          <w:tcPr>
            <w:tcW w:w="3715" w:type="dxa"/>
          </w:tcPr>
          <w:p w14:paraId="7AAD249F"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5F62DF7F" w14:textId="77777777" w:rsidR="002E2A4A" w:rsidRPr="006E6390" w:rsidRDefault="002E2A4A" w:rsidP="005B5F45">
            <w:pPr>
              <w:pStyle w:val="Tablas"/>
              <w:spacing w:beforeLines="60" w:before="144" w:afterLines="60" w:after="144"/>
              <w:jc w:val="both"/>
              <w:rPr>
                <w:rFonts w:cs="Arial"/>
                <w:sz w:val="20"/>
                <w:szCs w:val="20"/>
              </w:rPr>
            </w:pPr>
            <w:r w:rsidRPr="006E6390">
              <w:rPr>
                <w:rFonts w:cs="Arial"/>
                <w:sz w:val="20"/>
                <w:szCs w:val="20"/>
              </w:rPr>
              <w:t>AA</w:t>
            </w:r>
            <w:r>
              <w:rPr>
                <w:rFonts w:cs="Arial"/>
                <w:sz w:val="20"/>
                <w:szCs w:val="20"/>
              </w:rPr>
              <w:t>+</w:t>
            </w:r>
            <w:r w:rsidRPr="006E6390">
              <w:rPr>
                <w:rFonts w:cs="Arial"/>
                <w:sz w:val="20"/>
                <w:szCs w:val="20"/>
              </w:rPr>
              <w:t xml:space="preserve"> (cri) Fitch Costa Rica</w:t>
            </w:r>
          </w:p>
          <w:p w14:paraId="6F24EF2A" w14:textId="77777777" w:rsidR="002E2A4A" w:rsidRPr="006E6390" w:rsidRDefault="002E2A4A" w:rsidP="005B5F45">
            <w:pPr>
              <w:pStyle w:val="Tablas"/>
              <w:spacing w:beforeLines="60" w:before="144" w:afterLines="60" w:after="144"/>
              <w:jc w:val="both"/>
              <w:rPr>
                <w:rFonts w:cs="Arial"/>
                <w:sz w:val="20"/>
                <w:szCs w:val="20"/>
              </w:rPr>
            </w:pPr>
            <w:r w:rsidRPr="006E6390">
              <w:rPr>
                <w:rFonts w:cs="Arial"/>
                <w:sz w:val="20"/>
                <w:szCs w:val="20"/>
              </w:rPr>
              <w:t>AAA (slv) Fitch El Salvador</w:t>
            </w:r>
          </w:p>
          <w:p w14:paraId="76F80AE7" w14:textId="77777777" w:rsidR="002E2A4A" w:rsidRPr="006E6390" w:rsidRDefault="002E2A4A" w:rsidP="005B5F45">
            <w:pPr>
              <w:pStyle w:val="Tablas"/>
              <w:spacing w:beforeLines="60" w:before="144" w:afterLines="60" w:after="144"/>
              <w:jc w:val="both"/>
              <w:rPr>
                <w:rFonts w:cs="Arial"/>
                <w:sz w:val="20"/>
                <w:szCs w:val="20"/>
              </w:rPr>
            </w:pPr>
            <w:r w:rsidRPr="006E6390">
              <w:rPr>
                <w:rFonts w:cs="Arial"/>
                <w:sz w:val="20"/>
                <w:szCs w:val="20"/>
              </w:rPr>
              <w:t>AAA PacificCredit Rating El Salvador</w:t>
            </w:r>
          </w:p>
        </w:tc>
      </w:tr>
      <w:tr w:rsidR="002E2A4A" w:rsidRPr="006E6390" w14:paraId="596156A3" w14:textId="77777777" w:rsidTr="00477242">
        <w:tc>
          <w:tcPr>
            <w:tcW w:w="3715" w:type="dxa"/>
          </w:tcPr>
          <w:p w14:paraId="07675FE1" w14:textId="77777777" w:rsidR="002E2A4A" w:rsidRPr="006E6390" w:rsidRDefault="002E2A4A" w:rsidP="003C10DD">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23D5F2A3" w14:textId="77777777" w:rsidR="002E2A4A" w:rsidRPr="006E6390" w:rsidRDefault="002E2A4A" w:rsidP="005B5F45">
            <w:pPr>
              <w:pStyle w:val="Tablas"/>
              <w:spacing w:beforeLines="60" w:before="144" w:afterLines="60" w:after="144"/>
              <w:jc w:val="both"/>
              <w:rPr>
                <w:rFonts w:cs="Arial"/>
                <w:sz w:val="20"/>
                <w:szCs w:val="20"/>
              </w:rPr>
            </w:pPr>
            <w:r w:rsidRPr="006E6390">
              <w:rPr>
                <w:rFonts w:cs="Arial"/>
                <w:sz w:val="20"/>
                <w:szCs w:val="20"/>
              </w:rPr>
              <w:t>Los recursos de esta emisión serán utilizados en la inversión en:</w:t>
            </w:r>
          </w:p>
          <w:p w14:paraId="61CA1E05" w14:textId="77777777" w:rsidR="003C10DD" w:rsidRDefault="002E2A4A" w:rsidP="005B5F45">
            <w:pPr>
              <w:pStyle w:val="Tablas"/>
              <w:spacing w:beforeLines="60" w:before="144" w:afterLines="60" w:after="144"/>
              <w:jc w:val="both"/>
              <w:rPr>
                <w:rFonts w:cs="Arial"/>
                <w:sz w:val="20"/>
                <w:szCs w:val="20"/>
              </w:rPr>
            </w:pPr>
            <w:r w:rsidRPr="006E6390">
              <w:rPr>
                <w:rFonts w:cs="Arial"/>
                <w:sz w:val="20"/>
                <w:szCs w:val="20"/>
              </w:rPr>
              <w:t>Ampliación y optimización de la capacidad de almacenamiento</w:t>
            </w:r>
            <w:r w:rsidR="003C10DD">
              <w:rPr>
                <w:rFonts w:cs="Arial"/>
                <w:sz w:val="20"/>
                <w:szCs w:val="20"/>
              </w:rPr>
              <w:t>.</w:t>
            </w:r>
          </w:p>
          <w:p w14:paraId="21EE989C" w14:textId="77777777" w:rsidR="002E2A4A" w:rsidRPr="006E6390" w:rsidRDefault="002E2A4A" w:rsidP="005B5F45">
            <w:pPr>
              <w:pStyle w:val="Tablas"/>
              <w:spacing w:beforeLines="60" w:before="144" w:afterLines="60" w:after="144"/>
              <w:jc w:val="both"/>
              <w:rPr>
                <w:rFonts w:cs="Arial"/>
                <w:sz w:val="20"/>
                <w:szCs w:val="20"/>
              </w:rPr>
            </w:pPr>
            <w:r w:rsidRPr="006E6390">
              <w:rPr>
                <w:rFonts w:cs="Arial"/>
                <w:sz w:val="20"/>
                <w:szCs w:val="20"/>
              </w:rPr>
              <w:t>Ampliación de la Terminal Portuaria Petrolera del Atlántico</w:t>
            </w:r>
          </w:p>
        </w:tc>
      </w:tr>
    </w:tbl>
    <w:p w14:paraId="06458D60" w14:textId="77777777" w:rsidR="003D27ED" w:rsidRPr="006E6390" w:rsidRDefault="003D27ED" w:rsidP="00FB5A98">
      <w:pPr>
        <w:rPr>
          <w:rFonts w:cs="Arial"/>
          <w:sz w:val="16"/>
          <w:szCs w:val="16"/>
        </w:rPr>
      </w:pPr>
      <w:r w:rsidRPr="006E6390">
        <w:rPr>
          <w:rFonts w:cs="Arial"/>
          <w:sz w:val="16"/>
          <w:szCs w:val="16"/>
        </w:rPr>
        <w:t xml:space="preserve">(1) 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7" w:history="1">
        <w:r w:rsidRPr="006E6390">
          <w:rPr>
            <w:rFonts w:cs="Arial"/>
            <w:sz w:val="16"/>
            <w:szCs w:val="16"/>
          </w:rPr>
          <w:t>www.fitchca.com</w:t>
        </w:r>
      </w:hyperlink>
      <w:r w:rsidRPr="006E6390">
        <w:rPr>
          <w:rFonts w:cs="Arial"/>
          <w:sz w:val="16"/>
          <w:szCs w:val="16"/>
        </w:rPr>
        <w:t xml:space="preserve"> y en </w:t>
      </w:r>
      <w:hyperlink r:id="rId18" w:history="1">
        <w:r w:rsidRPr="006E6390">
          <w:rPr>
            <w:rFonts w:cs="Arial"/>
            <w:sz w:val="16"/>
            <w:szCs w:val="16"/>
          </w:rPr>
          <w:t>www.ratingspcr.com</w:t>
        </w:r>
      </w:hyperlink>
      <w:r w:rsidRPr="006E6390">
        <w:rPr>
          <w:rFonts w:cs="Arial"/>
          <w:sz w:val="16"/>
          <w:szCs w:val="16"/>
        </w:rPr>
        <w:t>.</w:t>
      </w:r>
    </w:p>
    <w:p w14:paraId="354D4D67" w14:textId="77777777" w:rsidR="000E68CB" w:rsidRPr="006E6390" w:rsidRDefault="000E68CB" w:rsidP="00CC2BA1">
      <w:pPr>
        <w:ind w:left="720" w:hanging="720"/>
        <w:rPr>
          <w:rFonts w:cs="Arial"/>
          <w:b/>
        </w:rPr>
      </w:pPr>
      <w:r w:rsidRPr="006E6390">
        <w:rPr>
          <w:rFonts w:cs="Arial"/>
          <w:b/>
        </w:rPr>
        <w:t>Serie A6</w:t>
      </w:r>
    </w:p>
    <w:tbl>
      <w:tblPr>
        <w:tblStyle w:val="Tablaconcuadrculaclara"/>
        <w:tblW w:w="8547" w:type="dxa"/>
        <w:tblLook w:val="0000" w:firstRow="0" w:lastRow="0" w:firstColumn="0" w:lastColumn="0" w:noHBand="0" w:noVBand="0"/>
      </w:tblPr>
      <w:tblGrid>
        <w:gridCol w:w="3715"/>
        <w:gridCol w:w="4832"/>
      </w:tblGrid>
      <w:tr w:rsidR="000E68CB" w:rsidRPr="006E6390" w14:paraId="101BF32A" w14:textId="77777777" w:rsidTr="00477242">
        <w:tc>
          <w:tcPr>
            <w:tcW w:w="3715" w:type="dxa"/>
          </w:tcPr>
          <w:p w14:paraId="719F44BA"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Clase de instrumento</w:t>
            </w:r>
          </w:p>
        </w:tc>
        <w:tc>
          <w:tcPr>
            <w:tcW w:w="4832" w:type="dxa"/>
          </w:tcPr>
          <w:p w14:paraId="061C8B62"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Bonos Estandarizados</w:t>
            </w:r>
          </w:p>
        </w:tc>
      </w:tr>
      <w:tr w:rsidR="000E68CB" w:rsidRPr="006E6390" w14:paraId="25CBB439" w14:textId="77777777" w:rsidTr="00477242">
        <w:tc>
          <w:tcPr>
            <w:tcW w:w="3715" w:type="dxa"/>
          </w:tcPr>
          <w:p w14:paraId="1B4C4D74"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Nombre del programa</w:t>
            </w:r>
          </w:p>
        </w:tc>
        <w:tc>
          <w:tcPr>
            <w:tcW w:w="4832" w:type="dxa"/>
          </w:tcPr>
          <w:p w14:paraId="594421A6"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Programa A de Emisiones de Bonos Estandarizados</w:t>
            </w:r>
          </w:p>
        </w:tc>
      </w:tr>
      <w:tr w:rsidR="000E68CB" w:rsidRPr="006E6390" w14:paraId="691B7F6A" w14:textId="77777777" w:rsidTr="00477242">
        <w:tc>
          <w:tcPr>
            <w:tcW w:w="3715" w:type="dxa"/>
          </w:tcPr>
          <w:p w14:paraId="12CDBD29" w14:textId="77777777" w:rsidR="000E68CB" w:rsidRPr="006E6390" w:rsidRDefault="00477242" w:rsidP="00FB5A98">
            <w:pPr>
              <w:pStyle w:val="Tablas"/>
              <w:spacing w:beforeLines="60" w:before="144" w:afterLines="60" w:after="144"/>
              <w:rPr>
                <w:rFonts w:cs="Arial"/>
                <w:sz w:val="20"/>
                <w:szCs w:val="20"/>
              </w:rPr>
            </w:pPr>
            <w:r w:rsidRPr="006E6390">
              <w:rPr>
                <w:rFonts w:cs="Arial"/>
                <w:sz w:val="20"/>
                <w:szCs w:val="20"/>
              </w:rPr>
              <w:t>Serie colocada</w:t>
            </w:r>
          </w:p>
        </w:tc>
        <w:tc>
          <w:tcPr>
            <w:tcW w:w="4832" w:type="dxa"/>
          </w:tcPr>
          <w:p w14:paraId="79DE882F"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SERIE A</w:t>
            </w:r>
            <w:r w:rsidR="00C40668" w:rsidRPr="006E6390">
              <w:rPr>
                <w:rFonts w:cs="Arial"/>
                <w:sz w:val="20"/>
                <w:szCs w:val="20"/>
              </w:rPr>
              <w:t>6</w:t>
            </w:r>
          </w:p>
        </w:tc>
      </w:tr>
      <w:tr w:rsidR="000E68CB" w:rsidRPr="006E6390" w14:paraId="31DC1EBA" w14:textId="77777777" w:rsidTr="00477242">
        <w:tc>
          <w:tcPr>
            <w:tcW w:w="3715" w:type="dxa"/>
          </w:tcPr>
          <w:p w14:paraId="5EF3E796"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Monto total del programa y moneda</w:t>
            </w:r>
          </w:p>
        </w:tc>
        <w:tc>
          <w:tcPr>
            <w:tcW w:w="4832" w:type="dxa"/>
          </w:tcPr>
          <w:p w14:paraId="4E085CC7"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$ 200</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 (doscientos millones de dólares)</w:t>
            </w:r>
          </w:p>
        </w:tc>
      </w:tr>
      <w:tr w:rsidR="000E68CB" w:rsidRPr="006E6390" w14:paraId="6095D61B" w14:textId="77777777" w:rsidTr="00477242">
        <w:tc>
          <w:tcPr>
            <w:tcW w:w="3715" w:type="dxa"/>
          </w:tcPr>
          <w:p w14:paraId="649396A4"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Monto de Serie</w:t>
            </w:r>
          </w:p>
        </w:tc>
        <w:tc>
          <w:tcPr>
            <w:tcW w:w="4832" w:type="dxa"/>
          </w:tcPr>
          <w:p w14:paraId="0D06FFF3" w14:textId="77777777" w:rsidR="000E68CB" w:rsidRPr="006E6390" w:rsidRDefault="00842FA0" w:rsidP="005B5F45">
            <w:pPr>
              <w:pStyle w:val="Tablas"/>
              <w:spacing w:beforeLines="60" w:before="144" w:afterLines="60" w:after="144"/>
              <w:jc w:val="both"/>
              <w:rPr>
                <w:rFonts w:cs="Arial"/>
                <w:sz w:val="20"/>
                <w:szCs w:val="20"/>
              </w:rPr>
            </w:pPr>
            <w:r w:rsidRPr="006E6390">
              <w:rPr>
                <w:rFonts w:cs="Arial"/>
                <w:sz w:val="20"/>
                <w:szCs w:val="20"/>
              </w:rPr>
              <w:t>₡</w:t>
            </w:r>
            <w:r w:rsidR="005B2E09" w:rsidRPr="006E6390">
              <w:rPr>
                <w:rFonts w:cs="Arial"/>
                <w:sz w:val="20"/>
                <w:szCs w:val="20"/>
              </w:rPr>
              <w:t>5</w:t>
            </w:r>
            <w:r w:rsidR="002206C7" w:rsidRPr="006E6390">
              <w:rPr>
                <w:rFonts w:cs="Arial"/>
                <w:sz w:val="20"/>
                <w:szCs w:val="20"/>
              </w:rPr>
              <w:t xml:space="preserve"> </w:t>
            </w:r>
            <w:r w:rsidR="005B2E09" w:rsidRPr="006E6390">
              <w:rPr>
                <w:rFonts w:cs="Arial"/>
                <w:sz w:val="20"/>
                <w:szCs w:val="20"/>
              </w:rPr>
              <w:t>667</w:t>
            </w:r>
            <w:r w:rsidR="002206C7" w:rsidRPr="006E6390">
              <w:rPr>
                <w:rFonts w:cs="Arial"/>
                <w:sz w:val="20"/>
                <w:szCs w:val="20"/>
              </w:rPr>
              <w:t xml:space="preserve"> </w:t>
            </w:r>
            <w:r w:rsidR="000E68CB" w:rsidRPr="006E6390">
              <w:rPr>
                <w:rFonts w:cs="Arial"/>
                <w:sz w:val="20"/>
                <w:szCs w:val="20"/>
              </w:rPr>
              <w:t>000</w:t>
            </w:r>
            <w:r w:rsidR="002206C7" w:rsidRPr="006E6390">
              <w:rPr>
                <w:rFonts w:cs="Arial"/>
                <w:sz w:val="20"/>
                <w:szCs w:val="20"/>
              </w:rPr>
              <w:t xml:space="preserve"> </w:t>
            </w:r>
            <w:r w:rsidR="000E68CB" w:rsidRPr="006E6390">
              <w:rPr>
                <w:rFonts w:cs="Arial"/>
                <w:sz w:val="20"/>
                <w:szCs w:val="20"/>
              </w:rPr>
              <w:t>000 (</w:t>
            </w:r>
            <w:r w:rsidR="005B2E09" w:rsidRPr="006E6390">
              <w:rPr>
                <w:rFonts w:cs="Arial"/>
                <w:sz w:val="20"/>
                <w:szCs w:val="20"/>
              </w:rPr>
              <w:t xml:space="preserve">cinco </w:t>
            </w:r>
            <w:r w:rsidR="000E68CB" w:rsidRPr="006E6390">
              <w:rPr>
                <w:rFonts w:cs="Arial"/>
                <w:sz w:val="20"/>
                <w:szCs w:val="20"/>
              </w:rPr>
              <w:t xml:space="preserve">mil </w:t>
            </w:r>
            <w:r w:rsidR="005B2E09" w:rsidRPr="006E6390">
              <w:rPr>
                <w:rFonts w:cs="Arial"/>
                <w:sz w:val="20"/>
                <w:szCs w:val="20"/>
              </w:rPr>
              <w:t xml:space="preserve">seiscientos sesenta y siete </w:t>
            </w:r>
            <w:r w:rsidR="000E68CB" w:rsidRPr="006E6390">
              <w:rPr>
                <w:rFonts w:cs="Arial"/>
                <w:sz w:val="20"/>
                <w:szCs w:val="20"/>
              </w:rPr>
              <w:t>millones de colones)</w:t>
            </w:r>
            <w:r w:rsidR="00DB6CBE" w:rsidRPr="006E6390">
              <w:rPr>
                <w:rFonts w:cs="Arial"/>
                <w:sz w:val="20"/>
                <w:szCs w:val="20"/>
              </w:rPr>
              <w:t xml:space="preserve"> Según Comunicado de Hecho Relevante, nota GAF-0890-2018, el monto restante por ₡6</w:t>
            </w:r>
            <w:r w:rsidR="002206C7" w:rsidRPr="006E6390">
              <w:rPr>
                <w:rFonts w:cs="Arial"/>
                <w:sz w:val="20"/>
                <w:szCs w:val="20"/>
              </w:rPr>
              <w:t xml:space="preserve"> </w:t>
            </w:r>
            <w:r w:rsidR="00DB6CBE" w:rsidRPr="006E6390">
              <w:rPr>
                <w:rFonts w:cs="Arial"/>
                <w:sz w:val="20"/>
                <w:szCs w:val="20"/>
              </w:rPr>
              <w:t xml:space="preserve">443 millones </w:t>
            </w:r>
            <w:r w:rsidR="005B2E09" w:rsidRPr="006E6390">
              <w:rPr>
                <w:rFonts w:cs="Arial"/>
                <w:sz w:val="20"/>
                <w:szCs w:val="20"/>
              </w:rPr>
              <w:t xml:space="preserve">originalmente inscrito </w:t>
            </w:r>
            <w:r w:rsidR="00DB6CBE" w:rsidRPr="006E6390">
              <w:rPr>
                <w:rFonts w:cs="Arial"/>
                <w:sz w:val="20"/>
                <w:szCs w:val="20"/>
              </w:rPr>
              <w:t>no será colocado.</w:t>
            </w:r>
          </w:p>
        </w:tc>
      </w:tr>
      <w:tr w:rsidR="0078480D" w:rsidRPr="006E6390" w14:paraId="4EB9114F" w14:textId="77777777" w:rsidTr="00477242">
        <w:tc>
          <w:tcPr>
            <w:tcW w:w="3715" w:type="dxa"/>
          </w:tcPr>
          <w:p w14:paraId="6F43B8ED" w14:textId="77777777" w:rsidR="0078480D" w:rsidRPr="006E6390" w:rsidRDefault="0078480D" w:rsidP="00FB5A98">
            <w:pPr>
              <w:pStyle w:val="Tablas"/>
              <w:spacing w:beforeLines="60" w:before="144" w:afterLines="60" w:after="144"/>
              <w:rPr>
                <w:rFonts w:cs="Arial"/>
                <w:sz w:val="20"/>
                <w:szCs w:val="20"/>
              </w:rPr>
            </w:pPr>
            <w:r w:rsidRPr="006E6390">
              <w:rPr>
                <w:rFonts w:cs="Arial"/>
                <w:sz w:val="20"/>
                <w:szCs w:val="20"/>
              </w:rPr>
              <w:t>Monto subastado/ colocado</w:t>
            </w:r>
          </w:p>
        </w:tc>
        <w:tc>
          <w:tcPr>
            <w:tcW w:w="4832" w:type="dxa"/>
          </w:tcPr>
          <w:p w14:paraId="141A4440" w14:textId="77777777" w:rsidR="0078480D" w:rsidRPr="006E6390" w:rsidRDefault="00825046" w:rsidP="005B5F45">
            <w:pPr>
              <w:pStyle w:val="Tablas"/>
              <w:spacing w:beforeLines="60" w:before="144" w:afterLines="60" w:after="144"/>
              <w:jc w:val="both"/>
              <w:rPr>
                <w:rFonts w:cs="Arial"/>
                <w:sz w:val="20"/>
                <w:szCs w:val="20"/>
              </w:rPr>
            </w:pPr>
            <w:r w:rsidRPr="006E6390">
              <w:rPr>
                <w:rFonts w:cs="Arial"/>
                <w:sz w:val="20"/>
                <w:szCs w:val="20"/>
              </w:rPr>
              <w:t>₡</w:t>
            </w:r>
            <w:r w:rsidR="00C93DA6" w:rsidRPr="006E6390">
              <w:rPr>
                <w:rFonts w:cs="Arial"/>
                <w:sz w:val="20"/>
                <w:szCs w:val="20"/>
              </w:rPr>
              <w:t>5</w:t>
            </w:r>
            <w:r w:rsidR="002206C7" w:rsidRPr="006E6390">
              <w:rPr>
                <w:rFonts w:cs="Arial"/>
                <w:sz w:val="20"/>
                <w:szCs w:val="20"/>
              </w:rPr>
              <w:t xml:space="preserve"> </w:t>
            </w:r>
            <w:r w:rsidR="00C93DA6" w:rsidRPr="006E6390">
              <w:rPr>
                <w:rFonts w:cs="Arial"/>
                <w:sz w:val="20"/>
                <w:szCs w:val="20"/>
              </w:rPr>
              <w:t>667</w:t>
            </w:r>
            <w:r w:rsidR="002206C7" w:rsidRPr="006E6390">
              <w:rPr>
                <w:rFonts w:cs="Arial"/>
                <w:sz w:val="20"/>
                <w:szCs w:val="20"/>
              </w:rPr>
              <w:t xml:space="preserve"> </w:t>
            </w:r>
            <w:r w:rsidRPr="006E6390">
              <w:rPr>
                <w:rFonts w:cs="Arial"/>
                <w:sz w:val="20"/>
                <w:szCs w:val="20"/>
              </w:rPr>
              <w:t>000</w:t>
            </w:r>
            <w:r w:rsidR="002206C7" w:rsidRPr="006E6390">
              <w:rPr>
                <w:rFonts w:cs="Arial"/>
                <w:sz w:val="20"/>
                <w:szCs w:val="20"/>
              </w:rPr>
              <w:t xml:space="preserve"> </w:t>
            </w:r>
            <w:r w:rsidRPr="006E6390">
              <w:rPr>
                <w:rFonts w:cs="Arial"/>
                <w:sz w:val="20"/>
                <w:szCs w:val="20"/>
              </w:rPr>
              <w:t>000</w:t>
            </w:r>
          </w:p>
        </w:tc>
      </w:tr>
      <w:tr w:rsidR="000E68CB" w:rsidRPr="006E6390" w14:paraId="44073785" w14:textId="77777777" w:rsidTr="00477242">
        <w:tc>
          <w:tcPr>
            <w:tcW w:w="3715" w:type="dxa"/>
          </w:tcPr>
          <w:p w14:paraId="2CD9D72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Código ISIN</w:t>
            </w:r>
          </w:p>
        </w:tc>
        <w:tc>
          <w:tcPr>
            <w:tcW w:w="4832" w:type="dxa"/>
          </w:tcPr>
          <w:p w14:paraId="3C2073CC"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CRRECOPB00</w:t>
            </w:r>
            <w:r w:rsidR="00DD0F20" w:rsidRPr="006E6390">
              <w:rPr>
                <w:rFonts w:cs="Arial"/>
                <w:sz w:val="20"/>
                <w:szCs w:val="20"/>
              </w:rPr>
              <w:t>61</w:t>
            </w:r>
          </w:p>
        </w:tc>
      </w:tr>
      <w:tr w:rsidR="000E68CB" w:rsidRPr="006E6390" w14:paraId="75972EB6" w14:textId="77777777" w:rsidTr="00477242">
        <w:tc>
          <w:tcPr>
            <w:tcW w:w="3715" w:type="dxa"/>
          </w:tcPr>
          <w:p w14:paraId="63E9BE0F"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Nemotécnico</w:t>
            </w:r>
          </w:p>
        </w:tc>
        <w:tc>
          <w:tcPr>
            <w:tcW w:w="4832" w:type="dxa"/>
          </w:tcPr>
          <w:p w14:paraId="192D3000" w14:textId="77777777" w:rsidR="000E68CB" w:rsidRPr="006E6390" w:rsidRDefault="00DD0F20" w:rsidP="005B5F45">
            <w:pPr>
              <w:pStyle w:val="Tablas"/>
              <w:spacing w:beforeLines="60" w:before="144" w:afterLines="60" w:after="144"/>
              <w:jc w:val="both"/>
              <w:rPr>
                <w:rFonts w:cs="Arial"/>
                <w:sz w:val="20"/>
                <w:szCs w:val="20"/>
              </w:rPr>
            </w:pPr>
            <w:r w:rsidRPr="006E6390">
              <w:rPr>
                <w:rFonts w:cs="Arial"/>
                <w:sz w:val="20"/>
                <w:szCs w:val="20"/>
              </w:rPr>
              <w:t>B</w:t>
            </w:r>
            <w:r w:rsidR="000E68CB" w:rsidRPr="006E6390">
              <w:rPr>
                <w:rFonts w:cs="Arial"/>
                <w:sz w:val="20"/>
                <w:szCs w:val="20"/>
              </w:rPr>
              <w:t>ra</w:t>
            </w:r>
            <w:r w:rsidRPr="006E6390">
              <w:rPr>
                <w:rFonts w:cs="Arial"/>
                <w:sz w:val="20"/>
                <w:szCs w:val="20"/>
              </w:rPr>
              <w:t>6</w:t>
            </w:r>
            <w:r w:rsidR="000E68CB" w:rsidRPr="006E6390">
              <w:rPr>
                <w:rFonts w:cs="Arial"/>
                <w:sz w:val="20"/>
                <w:szCs w:val="20"/>
              </w:rPr>
              <w:t>c</w:t>
            </w:r>
          </w:p>
        </w:tc>
      </w:tr>
      <w:tr w:rsidR="000E68CB" w:rsidRPr="006E6390" w14:paraId="1A1D3B67" w14:textId="77777777" w:rsidTr="00477242">
        <w:tc>
          <w:tcPr>
            <w:tcW w:w="3715" w:type="dxa"/>
          </w:tcPr>
          <w:p w14:paraId="43E7FD98"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lastRenderedPageBreak/>
              <w:t>Plazo de la emisión</w:t>
            </w:r>
          </w:p>
        </w:tc>
        <w:tc>
          <w:tcPr>
            <w:tcW w:w="4832" w:type="dxa"/>
          </w:tcPr>
          <w:p w14:paraId="35F88543"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10 años</w:t>
            </w:r>
          </w:p>
        </w:tc>
      </w:tr>
      <w:tr w:rsidR="000E68CB" w:rsidRPr="006E6390" w14:paraId="38F33654" w14:textId="77777777" w:rsidTr="00477242">
        <w:tc>
          <w:tcPr>
            <w:tcW w:w="3715" w:type="dxa"/>
          </w:tcPr>
          <w:p w14:paraId="6E7C8CA5"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Fecha de emisión</w:t>
            </w:r>
          </w:p>
        </w:tc>
        <w:tc>
          <w:tcPr>
            <w:tcW w:w="4832" w:type="dxa"/>
          </w:tcPr>
          <w:p w14:paraId="3B2C98EB" w14:textId="77777777" w:rsidR="000E68CB" w:rsidRPr="006E6390" w:rsidRDefault="00CF7A42" w:rsidP="005B5F45">
            <w:pPr>
              <w:pStyle w:val="Tablas"/>
              <w:spacing w:beforeLines="60" w:before="144" w:afterLines="60" w:after="144"/>
              <w:jc w:val="both"/>
              <w:rPr>
                <w:rFonts w:cs="Arial"/>
                <w:sz w:val="20"/>
                <w:szCs w:val="20"/>
              </w:rPr>
            </w:pPr>
            <w:r w:rsidRPr="006E6390">
              <w:rPr>
                <w:rFonts w:cs="Arial"/>
                <w:sz w:val="20"/>
                <w:szCs w:val="20"/>
              </w:rPr>
              <w:t>16</w:t>
            </w:r>
            <w:r w:rsidR="000E68CB" w:rsidRPr="006E6390">
              <w:rPr>
                <w:rFonts w:cs="Arial"/>
                <w:sz w:val="20"/>
                <w:szCs w:val="20"/>
              </w:rPr>
              <w:t xml:space="preserve"> de </w:t>
            </w:r>
            <w:r w:rsidRPr="006E6390">
              <w:rPr>
                <w:rFonts w:cs="Arial"/>
                <w:sz w:val="20"/>
                <w:szCs w:val="20"/>
              </w:rPr>
              <w:t>juni</w:t>
            </w:r>
            <w:r w:rsidR="000E68CB" w:rsidRPr="006E6390">
              <w:rPr>
                <w:rFonts w:cs="Arial"/>
                <w:sz w:val="20"/>
                <w:szCs w:val="20"/>
              </w:rPr>
              <w:t>o de 201</w:t>
            </w:r>
            <w:r w:rsidRPr="006E6390">
              <w:rPr>
                <w:rFonts w:cs="Arial"/>
                <w:sz w:val="20"/>
                <w:szCs w:val="20"/>
              </w:rPr>
              <w:t>6</w:t>
            </w:r>
          </w:p>
        </w:tc>
      </w:tr>
      <w:tr w:rsidR="000E68CB" w:rsidRPr="006E6390" w14:paraId="2482E68F" w14:textId="77777777" w:rsidTr="00477242">
        <w:trPr>
          <w:trHeight w:val="311"/>
        </w:trPr>
        <w:tc>
          <w:tcPr>
            <w:tcW w:w="3715" w:type="dxa"/>
          </w:tcPr>
          <w:p w14:paraId="65780EE1"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Fecha de vencimiento</w:t>
            </w:r>
          </w:p>
        </w:tc>
        <w:tc>
          <w:tcPr>
            <w:tcW w:w="4832" w:type="dxa"/>
          </w:tcPr>
          <w:p w14:paraId="49DFA9D3" w14:textId="77777777" w:rsidR="000E68CB" w:rsidRPr="006E6390" w:rsidRDefault="00CF7A42" w:rsidP="005B5F45">
            <w:pPr>
              <w:pStyle w:val="Tablas"/>
              <w:spacing w:beforeLines="60" w:before="144" w:afterLines="60" w:after="144"/>
              <w:jc w:val="both"/>
              <w:rPr>
                <w:rFonts w:cs="Arial"/>
                <w:sz w:val="20"/>
                <w:szCs w:val="20"/>
              </w:rPr>
            </w:pPr>
            <w:r w:rsidRPr="006E6390">
              <w:rPr>
                <w:rFonts w:cs="Arial"/>
                <w:sz w:val="20"/>
                <w:szCs w:val="20"/>
              </w:rPr>
              <w:t>1</w:t>
            </w:r>
            <w:r w:rsidR="00D67114" w:rsidRPr="006E6390">
              <w:rPr>
                <w:rFonts w:cs="Arial"/>
                <w:sz w:val="20"/>
                <w:szCs w:val="20"/>
              </w:rPr>
              <w:t>6</w:t>
            </w:r>
            <w:r w:rsidR="000E68CB" w:rsidRPr="006E6390">
              <w:rPr>
                <w:rFonts w:cs="Arial"/>
                <w:sz w:val="20"/>
                <w:szCs w:val="20"/>
              </w:rPr>
              <w:t xml:space="preserve"> de </w:t>
            </w:r>
            <w:r w:rsidR="000C1F06" w:rsidRPr="006E6390">
              <w:rPr>
                <w:rFonts w:cs="Arial"/>
                <w:sz w:val="20"/>
                <w:szCs w:val="20"/>
              </w:rPr>
              <w:t>juni</w:t>
            </w:r>
            <w:r w:rsidR="000E68CB" w:rsidRPr="006E6390">
              <w:rPr>
                <w:rFonts w:cs="Arial"/>
                <w:sz w:val="20"/>
                <w:szCs w:val="20"/>
              </w:rPr>
              <w:t>o de 202</w:t>
            </w:r>
            <w:r w:rsidR="000C1F06" w:rsidRPr="006E6390">
              <w:rPr>
                <w:rFonts w:cs="Arial"/>
                <w:sz w:val="20"/>
                <w:szCs w:val="20"/>
              </w:rPr>
              <w:t>6</w:t>
            </w:r>
          </w:p>
        </w:tc>
      </w:tr>
      <w:tr w:rsidR="000E68CB" w:rsidRPr="006E6390" w14:paraId="4FB1E798" w14:textId="77777777" w:rsidTr="00477242">
        <w:tc>
          <w:tcPr>
            <w:tcW w:w="3715" w:type="dxa"/>
          </w:tcPr>
          <w:p w14:paraId="4CD3CCCC"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Denominación o valor facial</w:t>
            </w:r>
          </w:p>
        </w:tc>
        <w:tc>
          <w:tcPr>
            <w:tcW w:w="4832" w:type="dxa"/>
          </w:tcPr>
          <w:p w14:paraId="74648792" w14:textId="77777777" w:rsidR="000E68CB" w:rsidRPr="006E6390" w:rsidRDefault="00BD3B0F" w:rsidP="005B5F45">
            <w:pPr>
              <w:pStyle w:val="Tablas"/>
              <w:spacing w:beforeLines="60" w:before="144" w:afterLines="60" w:after="144"/>
              <w:jc w:val="both"/>
              <w:rPr>
                <w:rFonts w:cs="Arial"/>
                <w:sz w:val="20"/>
                <w:szCs w:val="20"/>
              </w:rPr>
            </w:pPr>
            <w:r w:rsidRPr="00BD3B0F">
              <w:rPr>
                <w:rFonts w:cs="Arial"/>
                <w:bCs/>
                <w:sz w:val="20"/>
                <w:szCs w:val="20"/>
              </w:rPr>
              <w:t>₡</w:t>
            </w:r>
            <w:r w:rsidR="000E68CB" w:rsidRPr="006E6390">
              <w:rPr>
                <w:rFonts w:cs="Arial"/>
                <w:sz w:val="20"/>
                <w:szCs w:val="20"/>
              </w:rPr>
              <w:t>1</w:t>
            </w:r>
            <w:r w:rsidR="002206C7" w:rsidRPr="006E6390">
              <w:rPr>
                <w:rFonts w:cs="Arial"/>
                <w:sz w:val="20"/>
                <w:szCs w:val="20"/>
              </w:rPr>
              <w:t xml:space="preserve"> </w:t>
            </w:r>
            <w:r w:rsidR="000E68CB" w:rsidRPr="006E6390">
              <w:rPr>
                <w:rFonts w:cs="Arial"/>
                <w:sz w:val="20"/>
                <w:szCs w:val="20"/>
              </w:rPr>
              <w:t>000</w:t>
            </w:r>
            <w:r w:rsidR="002206C7" w:rsidRPr="006E6390">
              <w:rPr>
                <w:rFonts w:cs="Arial"/>
                <w:sz w:val="20"/>
                <w:szCs w:val="20"/>
              </w:rPr>
              <w:t xml:space="preserve"> </w:t>
            </w:r>
            <w:r w:rsidR="000E68CB" w:rsidRPr="006E6390">
              <w:rPr>
                <w:rFonts w:cs="Arial"/>
                <w:sz w:val="20"/>
                <w:szCs w:val="20"/>
              </w:rPr>
              <w:t>000 (un millón de colones)</w:t>
            </w:r>
          </w:p>
        </w:tc>
      </w:tr>
      <w:tr w:rsidR="000E68CB" w:rsidRPr="006E6390" w14:paraId="261C4622" w14:textId="77777777" w:rsidTr="00477242">
        <w:trPr>
          <w:trHeight w:val="283"/>
        </w:trPr>
        <w:tc>
          <w:tcPr>
            <w:tcW w:w="3715" w:type="dxa"/>
          </w:tcPr>
          <w:p w14:paraId="770EA049"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Tasa de interés bruta </w:t>
            </w:r>
          </w:p>
        </w:tc>
        <w:tc>
          <w:tcPr>
            <w:tcW w:w="4832" w:type="dxa"/>
          </w:tcPr>
          <w:p w14:paraId="07280A35" w14:textId="77777777" w:rsidR="000E68CB" w:rsidRPr="006E6390" w:rsidRDefault="00587EF7" w:rsidP="005B5F45">
            <w:pPr>
              <w:pStyle w:val="Tablas"/>
              <w:spacing w:beforeLines="60" w:before="144" w:afterLines="60" w:after="144"/>
              <w:jc w:val="both"/>
              <w:rPr>
                <w:rFonts w:cs="Arial"/>
                <w:sz w:val="20"/>
                <w:szCs w:val="20"/>
              </w:rPr>
            </w:pPr>
            <w:r w:rsidRPr="006E6390">
              <w:rPr>
                <w:rFonts w:cs="Arial"/>
                <w:sz w:val="20"/>
                <w:szCs w:val="20"/>
              </w:rPr>
              <w:t>9</w:t>
            </w:r>
            <w:r w:rsidR="000E68CB" w:rsidRPr="006E6390">
              <w:rPr>
                <w:rFonts w:cs="Arial"/>
                <w:sz w:val="20"/>
                <w:szCs w:val="20"/>
              </w:rPr>
              <w:t>,</w:t>
            </w:r>
            <w:r w:rsidR="00FE4E60" w:rsidRPr="006E6390">
              <w:rPr>
                <w:rFonts w:cs="Arial"/>
                <w:sz w:val="20"/>
                <w:szCs w:val="20"/>
              </w:rPr>
              <w:t>95</w:t>
            </w:r>
            <w:r w:rsidR="000E68CB" w:rsidRPr="006E6390">
              <w:rPr>
                <w:rFonts w:cs="Arial"/>
                <w:sz w:val="20"/>
                <w:szCs w:val="20"/>
              </w:rPr>
              <w:t>%</w:t>
            </w:r>
          </w:p>
        </w:tc>
      </w:tr>
      <w:tr w:rsidR="000E68CB" w:rsidRPr="006E6390" w14:paraId="21BB33A2" w14:textId="77777777" w:rsidTr="00477242">
        <w:tc>
          <w:tcPr>
            <w:tcW w:w="3715" w:type="dxa"/>
          </w:tcPr>
          <w:p w14:paraId="25BB46A4"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Tasa de interés neta </w:t>
            </w:r>
          </w:p>
        </w:tc>
        <w:tc>
          <w:tcPr>
            <w:tcW w:w="4832" w:type="dxa"/>
          </w:tcPr>
          <w:p w14:paraId="1C91D593" w14:textId="77777777" w:rsidR="000E68CB" w:rsidRPr="006E6390" w:rsidRDefault="00FE4E60" w:rsidP="005B5F45">
            <w:pPr>
              <w:pStyle w:val="Tablas"/>
              <w:spacing w:beforeLines="60" w:before="144" w:afterLines="60" w:after="144"/>
              <w:jc w:val="both"/>
              <w:rPr>
                <w:rFonts w:cs="Arial"/>
                <w:sz w:val="20"/>
                <w:szCs w:val="20"/>
              </w:rPr>
            </w:pPr>
            <w:r w:rsidRPr="006E6390">
              <w:rPr>
                <w:rFonts w:cs="Arial"/>
                <w:sz w:val="20"/>
                <w:szCs w:val="20"/>
              </w:rPr>
              <w:t>T</w:t>
            </w:r>
            <w:r w:rsidR="000E68CB" w:rsidRPr="006E6390">
              <w:rPr>
                <w:rFonts w:cs="Arial"/>
                <w:sz w:val="20"/>
                <w:szCs w:val="20"/>
              </w:rPr>
              <w:t>asa bruta menos impuesto sobre la renta vigente aplicable a los intereses.</w:t>
            </w:r>
          </w:p>
        </w:tc>
      </w:tr>
      <w:tr w:rsidR="000E68CB" w:rsidRPr="006E6390" w14:paraId="488EDF45" w14:textId="77777777" w:rsidTr="00477242">
        <w:tc>
          <w:tcPr>
            <w:tcW w:w="3715" w:type="dxa"/>
          </w:tcPr>
          <w:p w14:paraId="25B88F6A"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Factor de cálculo </w:t>
            </w:r>
          </w:p>
        </w:tc>
        <w:tc>
          <w:tcPr>
            <w:tcW w:w="4832" w:type="dxa"/>
          </w:tcPr>
          <w:p w14:paraId="3462ACE0"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30 / 360</w:t>
            </w:r>
          </w:p>
        </w:tc>
      </w:tr>
      <w:tr w:rsidR="000E68CB" w:rsidRPr="006E6390" w14:paraId="2E56822F" w14:textId="77777777" w:rsidTr="00477242">
        <w:tc>
          <w:tcPr>
            <w:tcW w:w="3715" w:type="dxa"/>
          </w:tcPr>
          <w:p w14:paraId="2C18485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Opción de redención anticipada</w:t>
            </w:r>
          </w:p>
        </w:tc>
        <w:tc>
          <w:tcPr>
            <w:tcW w:w="4832" w:type="dxa"/>
          </w:tcPr>
          <w:p w14:paraId="3A9CD9A6"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La serie A</w:t>
            </w:r>
            <w:r w:rsidR="0081044D" w:rsidRPr="006E6390">
              <w:rPr>
                <w:rFonts w:cs="Arial"/>
                <w:sz w:val="20"/>
                <w:szCs w:val="20"/>
              </w:rPr>
              <w:t>6</w:t>
            </w:r>
            <w:r w:rsidRPr="006E6390">
              <w:rPr>
                <w:rFonts w:cs="Arial"/>
                <w:sz w:val="20"/>
                <w:szCs w:val="20"/>
              </w:rPr>
              <w:t xml:space="preserve"> no cuenta con la opción de redención anticipada </w:t>
            </w:r>
          </w:p>
        </w:tc>
      </w:tr>
      <w:tr w:rsidR="000E68CB" w:rsidRPr="006E6390" w14:paraId="5A9FBC3E" w14:textId="77777777" w:rsidTr="00477242">
        <w:tc>
          <w:tcPr>
            <w:tcW w:w="3715" w:type="dxa"/>
          </w:tcPr>
          <w:p w14:paraId="47CD067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Periodicidad </w:t>
            </w:r>
          </w:p>
        </w:tc>
        <w:tc>
          <w:tcPr>
            <w:tcW w:w="4832" w:type="dxa"/>
          </w:tcPr>
          <w:p w14:paraId="1F7EB2D8"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Cupón semestral</w:t>
            </w:r>
          </w:p>
        </w:tc>
      </w:tr>
      <w:tr w:rsidR="000E68CB" w:rsidRPr="006E6390" w14:paraId="33C83824" w14:textId="77777777" w:rsidTr="00477242">
        <w:tc>
          <w:tcPr>
            <w:tcW w:w="3715" w:type="dxa"/>
          </w:tcPr>
          <w:p w14:paraId="3D058412"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Amortización del Principal</w:t>
            </w:r>
          </w:p>
        </w:tc>
        <w:tc>
          <w:tcPr>
            <w:tcW w:w="4832" w:type="dxa"/>
          </w:tcPr>
          <w:p w14:paraId="17A86F72"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Al vencimiento</w:t>
            </w:r>
          </w:p>
        </w:tc>
      </w:tr>
      <w:tr w:rsidR="000E68CB" w:rsidRPr="006E6390" w14:paraId="372E037F" w14:textId="77777777" w:rsidTr="00477242">
        <w:tc>
          <w:tcPr>
            <w:tcW w:w="3715" w:type="dxa"/>
          </w:tcPr>
          <w:p w14:paraId="231E7ABF"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Forma de representación</w:t>
            </w:r>
          </w:p>
        </w:tc>
        <w:tc>
          <w:tcPr>
            <w:tcW w:w="4832" w:type="dxa"/>
          </w:tcPr>
          <w:p w14:paraId="6357B7AB"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 xml:space="preserve">Anotación electrónica en cuenta </w:t>
            </w:r>
          </w:p>
        </w:tc>
      </w:tr>
      <w:tr w:rsidR="000E68CB" w:rsidRPr="006E6390" w14:paraId="4009FBD1" w14:textId="77777777" w:rsidTr="00477242">
        <w:tc>
          <w:tcPr>
            <w:tcW w:w="3715" w:type="dxa"/>
          </w:tcPr>
          <w:p w14:paraId="7B48F9F2"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Ley de circulación</w:t>
            </w:r>
          </w:p>
        </w:tc>
        <w:tc>
          <w:tcPr>
            <w:tcW w:w="4832" w:type="dxa"/>
          </w:tcPr>
          <w:p w14:paraId="39A9BED0"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A la orden</w:t>
            </w:r>
          </w:p>
        </w:tc>
      </w:tr>
      <w:tr w:rsidR="000E68CB" w:rsidRPr="006E6390" w14:paraId="7B2BC26F" w14:textId="77777777" w:rsidTr="00477242">
        <w:tc>
          <w:tcPr>
            <w:tcW w:w="3715" w:type="dxa"/>
          </w:tcPr>
          <w:p w14:paraId="5A0E5AF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 xml:space="preserve">Forma de colocación </w:t>
            </w:r>
          </w:p>
        </w:tc>
        <w:tc>
          <w:tcPr>
            <w:tcW w:w="4832" w:type="dxa"/>
          </w:tcPr>
          <w:p w14:paraId="73C5827C"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 xml:space="preserve">Subasta por bolsa </w:t>
            </w:r>
          </w:p>
        </w:tc>
      </w:tr>
      <w:tr w:rsidR="000E68CB" w:rsidRPr="006E6390" w14:paraId="15BB950D" w14:textId="77777777" w:rsidTr="00477242">
        <w:tc>
          <w:tcPr>
            <w:tcW w:w="3715" w:type="dxa"/>
          </w:tcPr>
          <w:p w14:paraId="58CF1209"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Plazo de Liquidación</w:t>
            </w:r>
          </w:p>
        </w:tc>
        <w:tc>
          <w:tcPr>
            <w:tcW w:w="4832" w:type="dxa"/>
          </w:tcPr>
          <w:p w14:paraId="1AF3CAE6"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T+2</w:t>
            </w:r>
          </w:p>
        </w:tc>
      </w:tr>
      <w:tr w:rsidR="000E68CB" w:rsidRPr="006E6390" w14:paraId="5DBD5C66" w14:textId="77777777" w:rsidTr="00477242">
        <w:tc>
          <w:tcPr>
            <w:tcW w:w="3715" w:type="dxa"/>
          </w:tcPr>
          <w:p w14:paraId="5851CFBD"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Calificación de riesgo (1)</w:t>
            </w:r>
          </w:p>
        </w:tc>
        <w:tc>
          <w:tcPr>
            <w:tcW w:w="4832" w:type="dxa"/>
          </w:tcPr>
          <w:p w14:paraId="559B7274" w14:textId="77777777" w:rsidR="003C10DD" w:rsidRPr="006E6390" w:rsidRDefault="003C10DD" w:rsidP="005B5F45">
            <w:pPr>
              <w:pStyle w:val="Tablas"/>
              <w:spacing w:beforeLines="60" w:before="144" w:afterLines="60" w:after="144"/>
              <w:jc w:val="both"/>
              <w:rPr>
                <w:rFonts w:cs="Arial"/>
                <w:sz w:val="20"/>
                <w:szCs w:val="20"/>
              </w:rPr>
            </w:pPr>
            <w:r w:rsidRPr="006E6390">
              <w:rPr>
                <w:rFonts w:cs="Arial"/>
                <w:sz w:val="20"/>
                <w:szCs w:val="20"/>
              </w:rPr>
              <w:t>AA</w:t>
            </w:r>
            <w:r>
              <w:rPr>
                <w:rFonts w:cs="Arial"/>
                <w:sz w:val="20"/>
                <w:szCs w:val="20"/>
              </w:rPr>
              <w:t>+</w:t>
            </w:r>
            <w:r w:rsidRPr="006E6390">
              <w:rPr>
                <w:rFonts w:cs="Arial"/>
                <w:sz w:val="20"/>
                <w:szCs w:val="20"/>
              </w:rPr>
              <w:t xml:space="preserve"> (cri) Fitch Costa Rica</w:t>
            </w:r>
          </w:p>
          <w:p w14:paraId="4782C274" w14:textId="77777777" w:rsidR="003C10DD" w:rsidRPr="006E6390" w:rsidRDefault="003C10DD" w:rsidP="005B5F45">
            <w:pPr>
              <w:pStyle w:val="Tablas"/>
              <w:spacing w:beforeLines="60" w:before="144" w:afterLines="60" w:after="144"/>
              <w:jc w:val="both"/>
              <w:rPr>
                <w:rFonts w:cs="Arial"/>
                <w:sz w:val="20"/>
                <w:szCs w:val="20"/>
              </w:rPr>
            </w:pPr>
            <w:r w:rsidRPr="006E6390">
              <w:rPr>
                <w:rFonts w:cs="Arial"/>
                <w:sz w:val="20"/>
                <w:szCs w:val="20"/>
              </w:rPr>
              <w:t>AAA (slv) Fitch El Salvador</w:t>
            </w:r>
          </w:p>
          <w:p w14:paraId="7E6AAEB5" w14:textId="77777777" w:rsidR="000E68CB" w:rsidRPr="006E6390" w:rsidRDefault="003C10DD" w:rsidP="005B5F45">
            <w:pPr>
              <w:pStyle w:val="Tablas"/>
              <w:spacing w:beforeLines="60" w:before="144" w:afterLines="60" w:after="144"/>
              <w:jc w:val="both"/>
              <w:rPr>
                <w:rFonts w:cs="Arial"/>
                <w:sz w:val="20"/>
                <w:szCs w:val="20"/>
              </w:rPr>
            </w:pPr>
            <w:r w:rsidRPr="006E6390">
              <w:rPr>
                <w:rFonts w:cs="Arial"/>
                <w:sz w:val="20"/>
                <w:szCs w:val="20"/>
              </w:rPr>
              <w:t>AAA PacificCredit Rating El Salvador</w:t>
            </w:r>
          </w:p>
        </w:tc>
      </w:tr>
      <w:tr w:rsidR="000E68CB" w:rsidRPr="006E6390" w14:paraId="2B45C64C" w14:textId="77777777" w:rsidTr="00477242">
        <w:tc>
          <w:tcPr>
            <w:tcW w:w="3715" w:type="dxa"/>
          </w:tcPr>
          <w:p w14:paraId="448E9EA1" w14:textId="77777777" w:rsidR="000E68CB" w:rsidRPr="006E6390" w:rsidRDefault="000E68CB" w:rsidP="00FB5A98">
            <w:pPr>
              <w:pStyle w:val="Tablas"/>
              <w:spacing w:beforeLines="60" w:before="144" w:afterLines="60" w:after="144"/>
              <w:rPr>
                <w:rFonts w:cs="Arial"/>
                <w:sz w:val="20"/>
                <w:szCs w:val="20"/>
              </w:rPr>
            </w:pPr>
            <w:r w:rsidRPr="006E6390">
              <w:rPr>
                <w:rFonts w:cs="Arial"/>
                <w:sz w:val="20"/>
                <w:szCs w:val="20"/>
              </w:rPr>
              <w:t>Destino de los Recursos</w:t>
            </w:r>
          </w:p>
        </w:tc>
        <w:tc>
          <w:tcPr>
            <w:tcW w:w="4832" w:type="dxa"/>
          </w:tcPr>
          <w:p w14:paraId="2E685DB5"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Los recursos de esta emisión serán utilizados en la inversión en:</w:t>
            </w:r>
          </w:p>
          <w:p w14:paraId="74DFACB6"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Ampliación y optimización de la capacidad de almacenamiento</w:t>
            </w:r>
          </w:p>
          <w:p w14:paraId="43F1B8A7" w14:textId="77777777" w:rsidR="000E68CB" w:rsidRPr="006E6390" w:rsidRDefault="000E68CB" w:rsidP="005B5F45">
            <w:pPr>
              <w:pStyle w:val="Tablas"/>
              <w:spacing w:beforeLines="60" w:before="144" w:afterLines="60" w:after="144"/>
              <w:jc w:val="both"/>
              <w:rPr>
                <w:rFonts w:cs="Arial"/>
                <w:sz w:val="20"/>
                <w:szCs w:val="20"/>
              </w:rPr>
            </w:pPr>
            <w:r w:rsidRPr="006E6390">
              <w:rPr>
                <w:rFonts w:cs="Arial"/>
                <w:sz w:val="20"/>
                <w:szCs w:val="20"/>
              </w:rPr>
              <w:t>Ampliación de la Terminal Portuaria Petrolera del Atlántico</w:t>
            </w:r>
          </w:p>
        </w:tc>
      </w:tr>
    </w:tbl>
    <w:p w14:paraId="2ED50D1B" w14:textId="77777777" w:rsidR="000E68CB" w:rsidRPr="006E6390" w:rsidRDefault="000E68CB" w:rsidP="00FB5A98">
      <w:pPr>
        <w:rPr>
          <w:rFonts w:cs="Arial"/>
          <w:sz w:val="16"/>
          <w:szCs w:val="16"/>
        </w:rPr>
      </w:pPr>
      <w:r w:rsidRPr="006E6390">
        <w:rPr>
          <w:rFonts w:cs="Arial"/>
          <w:sz w:val="16"/>
          <w:szCs w:val="16"/>
        </w:rPr>
        <w:t xml:space="preserve">(1) Según el artículo 2 del Reglamento sobre Calificación de Valores y Sociedades Calificadores de Riesgo, las emisiones de valores de instituciones públicas no bancarias costarricenses no son objeto de calificación de riesgo obligatoria. La calificación de riesgo del programa de emisiones al que pertenece esta emisión se puede consultar en RECOPE, Fitch Costa Rica, en el sitio web </w:t>
      </w:r>
      <w:hyperlink r:id="rId19" w:history="1">
        <w:r w:rsidRPr="006E6390">
          <w:rPr>
            <w:rFonts w:cs="Arial"/>
            <w:sz w:val="16"/>
            <w:szCs w:val="16"/>
          </w:rPr>
          <w:t>www.fitchca.com</w:t>
        </w:r>
      </w:hyperlink>
      <w:r w:rsidRPr="006E6390">
        <w:rPr>
          <w:rFonts w:cs="Arial"/>
          <w:sz w:val="16"/>
          <w:szCs w:val="16"/>
        </w:rPr>
        <w:t xml:space="preserve"> y en </w:t>
      </w:r>
      <w:hyperlink r:id="rId20" w:history="1">
        <w:r w:rsidRPr="006E6390">
          <w:rPr>
            <w:rFonts w:cs="Arial"/>
            <w:sz w:val="16"/>
            <w:szCs w:val="16"/>
          </w:rPr>
          <w:t>www.ratingspcr.com</w:t>
        </w:r>
      </w:hyperlink>
      <w:r w:rsidRPr="006E6390">
        <w:rPr>
          <w:rFonts w:cs="Arial"/>
          <w:sz w:val="16"/>
          <w:szCs w:val="16"/>
        </w:rPr>
        <w:t>.</w:t>
      </w:r>
    </w:p>
    <w:p w14:paraId="3E6480D4" w14:textId="77777777" w:rsidR="005B390E" w:rsidRPr="006E6390" w:rsidRDefault="005B390E" w:rsidP="00A50BF2">
      <w:pPr>
        <w:pStyle w:val="Ttulo3"/>
        <w:rPr>
          <w:rFonts w:cs="Arial"/>
        </w:rPr>
      </w:pPr>
      <w:bookmarkStart w:id="11" w:name="_Toc38630770"/>
      <w:r w:rsidRPr="006E6390">
        <w:rPr>
          <w:rFonts w:cs="Arial"/>
        </w:rPr>
        <w:lastRenderedPageBreak/>
        <w:t>1.1.2</w:t>
      </w:r>
      <w:r w:rsidR="00DF2474" w:rsidRPr="006E6390">
        <w:rPr>
          <w:rFonts w:cs="Arial"/>
        </w:rPr>
        <w:t>.</w:t>
      </w:r>
      <w:r w:rsidRPr="006E6390">
        <w:rPr>
          <w:rFonts w:cs="Arial"/>
        </w:rPr>
        <w:t xml:space="preserve"> Forma de </w:t>
      </w:r>
      <w:bookmarkEnd w:id="9"/>
      <w:r w:rsidR="005051C7">
        <w:rPr>
          <w:rFonts w:cs="Arial"/>
        </w:rPr>
        <w:t>c</w:t>
      </w:r>
      <w:r w:rsidR="005051C7" w:rsidRPr="006E6390">
        <w:rPr>
          <w:rFonts w:cs="Arial"/>
        </w:rPr>
        <w:t xml:space="preserve">olocación </w:t>
      </w:r>
      <w:r w:rsidRPr="006E6390">
        <w:rPr>
          <w:rFonts w:cs="Arial"/>
        </w:rPr>
        <w:t>de las emisiones</w:t>
      </w:r>
      <w:bookmarkEnd w:id="10"/>
      <w:bookmarkEnd w:id="11"/>
    </w:p>
    <w:p w14:paraId="30AF0B73" w14:textId="140B0D77" w:rsidR="005B390E" w:rsidRDefault="005B390E" w:rsidP="00A10CF4">
      <w:pPr>
        <w:spacing w:after="0"/>
        <w:rPr>
          <w:rFonts w:cs="Arial"/>
        </w:rPr>
      </w:pPr>
      <w:r w:rsidRPr="006E6390">
        <w:rPr>
          <w:rFonts w:cs="Arial"/>
        </w:rPr>
        <w:t>Cada serie perteneciente al Programa A de emisiones de Bonos Estandarizados se colocará de conformidad con las necesidades de recursos de RECOPE</w:t>
      </w:r>
      <w:r w:rsidR="00AF2B2C" w:rsidRPr="006E6390">
        <w:rPr>
          <w:rFonts w:cs="Arial"/>
        </w:rPr>
        <w:t>.</w:t>
      </w:r>
      <w:r w:rsidR="003F4762" w:rsidRPr="006E6390">
        <w:rPr>
          <w:rFonts w:cs="Arial"/>
        </w:rPr>
        <w:t xml:space="preserve"> Las colocaciones de las series del Programa deberá</w:t>
      </w:r>
      <w:r w:rsidR="004A1AA6" w:rsidRPr="006E6390">
        <w:rPr>
          <w:rFonts w:cs="Arial"/>
        </w:rPr>
        <w:t>n</w:t>
      </w:r>
      <w:r w:rsidR="003F4762" w:rsidRPr="006E6390">
        <w:rPr>
          <w:rFonts w:cs="Arial"/>
        </w:rPr>
        <w:t xml:space="preserve"> cumplir con las siguientes disposiciones:</w:t>
      </w:r>
    </w:p>
    <w:p w14:paraId="121E10DC" w14:textId="77777777" w:rsidR="00A44958" w:rsidRPr="006E6390" w:rsidRDefault="00A44958" w:rsidP="00A10CF4">
      <w:pPr>
        <w:spacing w:after="0"/>
        <w:rPr>
          <w:rFonts w:cs="Arial"/>
        </w:rPr>
      </w:pPr>
    </w:p>
    <w:p w14:paraId="46570ABA" w14:textId="77777777" w:rsidR="003F4762" w:rsidRPr="006E6390" w:rsidRDefault="003F4762" w:rsidP="00F275AD">
      <w:pPr>
        <w:pStyle w:val="Prrafodelista"/>
        <w:numPr>
          <w:ilvl w:val="0"/>
          <w:numId w:val="12"/>
        </w:numPr>
        <w:ind w:left="426" w:hanging="357"/>
        <w:contextualSpacing w:val="0"/>
        <w:rPr>
          <w:rFonts w:cs="Arial"/>
        </w:rPr>
      </w:pPr>
      <w:r w:rsidRPr="006E6390">
        <w:rPr>
          <w:rFonts w:cs="Arial"/>
        </w:rPr>
        <w:t>Los mecanismos de colocación que se podrán utilizar son: colocación directa, subasta y contratos de colocación.</w:t>
      </w:r>
    </w:p>
    <w:p w14:paraId="14435425" w14:textId="77777777" w:rsidR="003F4762" w:rsidRPr="006E6390" w:rsidRDefault="003F4762" w:rsidP="00F275AD">
      <w:pPr>
        <w:pStyle w:val="Prrafodelista"/>
        <w:numPr>
          <w:ilvl w:val="0"/>
          <w:numId w:val="12"/>
        </w:numPr>
        <w:ind w:left="426" w:hanging="357"/>
        <w:contextualSpacing w:val="0"/>
        <w:rPr>
          <w:rFonts w:cs="Arial"/>
        </w:rPr>
      </w:pPr>
      <w:r w:rsidRPr="006E6390">
        <w:rPr>
          <w:rFonts w:cs="Arial"/>
        </w:rPr>
        <w:t>En las colocaciones fuera de bolsa, excepto en el caso de la suscripción en firme por la totalidad de la emisión, se brindará un trato igualitario a los inversionistas en el acceso y difusión de la información sobre la emisión y el mecanismo de colocación, así como en las condiciones de la colocación.</w:t>
      </w:r>
    </w:p>
    <w:p w14:paraId="75FFC95C" w14:textId="77777777" w:rsidR="003F4762" w:rsidRPr="006E6390" w:rsidRDefault="003F4762" w:rsidP="00F275AD">
      <w:pPr>
        <w:pStyle w:val="Prrafodelista"/>
        <w:numPr>
          <w:ilvl w:val="0"/>
          <w:numId w:val="12"/>
        </w:numPr>
        <w:ind w:left="426" w:hanging="357"/>
        <w:contextualSpacing w:val="0"/>
        <w:rPr>
          <w:rFonts w:cs="Arial"/>
        </w:rPr>
      </w:pPr>
      <w:r w:rsidRPr="006E6390">
        <w:rPr>
          <w:rFonts w:cs="Arial"/>
        </w:rPr>
        <w:t>Para las colocaciones fuera de bolsa, el emisor definirá y comunicará el mecanismo a utilizar y las reglas que aplica</w:t>
      </w:r>
      <w:r w:rsidR="00BE1486" w:rsidRPr="006E6390">
        <w:rPr>
          <w:rFonts w:cs="Arial"/>
        </w:rPr>
        <w:t>rá al mecanismo seleccionado.</w:t>
      </w:r>
    </w:p>
    <w:p w14:paraId="70DCB7EB" w14:textId="77777777" w:rsidR="003F4762" w:rsidRPr="006E6390" w:rsidRDefault="003F4762" w:rsidP="00F275AD">
      <w:pPr>
        <w:pStyle w:val="Prrafodelista"/>
        <w:numPr>
          <w:ilvl w:val="0"/>
          <w:numId w:val="12"/>
        </w:numPr>
        <w:ind w:left="426" w:hanging="357"/>
        <w:contextualSpacing w:val="0"/>
        <w:rPr>
          <w:rFonts w:cs="Arial"/>
        </w:rPr>
      </w:pPr>
      <w:r w:rsidRPr="006E6390">
        <w:rPr>
          <w:rFonts w:cs="Arial"/>
        </w:rPr>
        <w:t>Las colocaciones por bolsa se sujetarán a los mecanismos y disposiciones que la bolsa de valores respectiva disponga por vía reglamentaria, en concordancia con el principio de trato igualitario señalado en el numeral b. anterior.</w:t>
      </w:r>
      <w:r w:rsidR="00BE1486" w:rsidRPr="006E6390">
        <w:rPr>
          <w:rFonts w:cs="Arial"/>
        </w:rPr>
        <w:t xml:space="preserve"> </w:t>
      </w:r>
    </w:p>
    <w:p w14:paraId="5E88A8FB" w14:textId="77777777" w:rsidR="003F4762" w:rsidRPr="006E6390" w:rsidRDefault="003F4762" w:rsidP="00F275AD">
      <w:pPr>
        <w:pStyle w:val="Prrafodelista"/>
        <w:numPr>
          <w:ilvl w:val="0"/>
          <w:numId w:val="12"/>
        </w:numPr>
        <w:ind w:left="426" w:hanging="357"/>
        <w:contextualSpacing w:val="0"/>
        <w:rPr>
          <w:rFonts w:cs="Arial"/>
        </w:rPr>
      </w:pPr>
      <w:r w:rsidRPr="006E6390">
        <w:rPr>
          <w:rFonts w:cs="Arial"/>
        </w:rPr>
        <w:t>La convocatoria de la colocación (fuera o dentro de bolsa) y sus condiciones, se informarán mediante un Comunicado de Hecho Relevante, 5 días hábiles antes de la primera colocación que realice el emisor y 2 días hábiles antes de las colocaciones posteriores.</w:t>
      </w:r>
      <w:r w:rsidR="00BE1486" w:rsidRPr="006E6390">
        <w:rPr>
          <w:rFonts w:cs="Arial"/>
        </w:rPr>
        <w:t xml:space="preserve"> </w:t>
      </w:r>
    </w:p>
    <w:p w14:paraId="3BC793B4" w14:textId="63601356" w:rsidR="003F4762" w:rsidRDefault="003F4762" w:rsidP="00105840">
      <w:pPr>
        <w:pStyle w:val="Prrafodelista"/>
        <w:numPr>
          <w:ilvl w:val="0"/>
          <w:numId w:val="12"/>
        </w:numPr>
        <w:spacing w:after="0"/>
        <w:ind w:left="426" w:hanging="357"/>
        <w:contextualSpacing w:val="0"/>
        <w:rPr>
          <w:rFonts w:cs="Arial"/>
        </w:rPr>
      </w:pPr>
      <w:r w:rsidRPr="006E6390">
        <w:rPr>
          <w:rFonts w:cs="Arial"/>
        </w:rPr>
        <w:t>En caso de que se utilice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1 día hábil después de la firma del contrato.</w:t>
      </w:r>
    </w:p>
    <w:p w14:paraId="77D2C4E6" w14:textId="77777777" w:rsidR="00A44958" w:rsidRPr="00A44958" w:rsidRDefault="00A44958" w:rsidP="00105840">
      <w:pPr>
        <w:spacing w:after="0"/>
        <w:rPr>
          <w:rFonts w:cs="Arial"/>
        </w:rPr>
      </w:pPr>
    </w:p>
    <w:p w14:paraId="727A3728" w14:textId="0E4B28BB" w:rsidR="005B390E" w:rsidRDefault="005B390E" w:rsidP="00105840">
      <w:pPr>
        <w:tabs>
          <w:tab w:val="left" w:pos="9270"/>
        </w:tabs>
        <w:spacing w:after="0"/>
        <w:rPr>
          <w:rFonts w:cs="Arial"/>
        </w:rPr>
      </w:pPr>
      <w:r w:rsidRPr="006E6390">
        <w:rPr>
          <w:rFonts w:cs="Arial"/>
        </w:rPr>
        <w:t xml:space="preserve">Las emisiones se podrán colocar en el mercado de valores de Costa Rica o en cualquier otro mercado de valores organizado del exterior. </w:t>
      </w:r>
      <w:r w:rsidR="00D7042D" w:rsidRPr="006E6390">
        <w:rPr>
          <w:rFonts w:cs="Arial"/>
        </w:rPr>
        <w:t xml:space="preserve"> </w:t>
      </w:r>
      <w:r w:rsidRPr="006E6390">
        <w:rPr>
          <w:rFonts w:cs="Arial"/>
        </w:rPr>
        <w:t>El resultado de las colocaciones en el exterior se comunicará por medio de Hecho Relevante.</w:t>
      </w:r>
      <w:bookmarkStart w:id="12" w:name="_Toc262483810"/>
    </w:p>
    <w:p w14:paraId="746657E3" w14:textId="77777777" w:rsidR="00A44958" w:rsidRPr="006E6390" w:rsidRDefault="00A44958" w:rsidP="002331C3">
      <w:pPr>
        <w:tabs>
          <w:tab w:val="left" w:pos="9270"/>
        </w:tabs>
        <w:rPr>
          <w:rFonts w:cs="Arial"/>
        </w:rPr>
      </w:pPr>
    </w:p>
    <w:p w14:paraId="55A2E068" w14:textId="21FA1B17" w:rsidR="005B390E" w:rsidRDefault="005B390E" w:rsidP="00105840">
      <w:pPr>
        <w:pStyle w:val="Ttulo3"/>
        <w:spacing w:after="0"/>
        <w:rPr>
          <w:rFonts w:cs="Arial"/>
        </w:rPr>
      </w:pPr>
      <w:bookmarkStart w:id="13" w:name="_Toc38630771"/>
      <w:r w:rsidRPr="006E6390">
        <w:rPr>
          <w:rFonts w:cs="Arial"/>
        </w:rPr>
        <w:t>1.1.3</w:t>
      </w:r>
      <w:r w:rsidR="00DF2474" w:rsidRPr="006E6390">
        <w:rPr>
          <w:rFonts w:cs="Arial"/>
        </w:rPr>
        <w:t>.</w:t>
      </w:r>
      <w:r w:rsidRPr="006E6390">
        <w:rPr>
          <w:rFonts w:cs="Arial"/>
        </w:rPr>
        <w:t xml:space="preserve"> Garantías</w:t>
      </w:r>
      <w:bookmarkEnd w:id="12"/>
      <w:bookmarkEnd w:id="13"/>
    </w:p>
    <w:p w14:paraId="12EE0E4F" w14:textId="77777777" w:rsidR="00A44958" w:rsidRPr="00A44958" w:rsidRDefault="00A44958" w:rsidP="00105840">
      <w:pPr>
        <w:spacing w:after="0"/>
      </w:pPr>
    </w:p>
    <w:p w14:paraId="6487DEC1" w14:textId="6BE206D3" w:rsidR="005B390E" w:rsidRDefault="005B390E" w:rsidP="00105840">
      <w:pPr>
        <w:spacing w:after="0"/>
        <w:rPr>
          <w:rFonts w:cs="Arial"/>
        </w:rPr>
      </w:pPr>
      <w:r w:rsidRPr="006E6390">
        <w:rPr>
          <w:rFonts w:cs="Arial"/>
        </w:rPr>
        <w:t>Las series de emisiones pertenecientes al Programa A de RECOPE no cuentan con ninguna garantía específica.</w:t>
      </w:r>
    </w:p>
    <w:p w14:paraId="592CB52D" w14:textId="77777777" w:rsidR="00A44958" w:rsidRPr="006E6390" w:rsidRDefault="00A44958" w:rsidP="004A26B9">
      <w:pPr>
        <w:rPr>
          <w:rFonts w:cs="Arial"/>
        </w:rPr>
      </w:pPr>
    </w:p>
    <w:p w14:paraId="4B797E4F" w14:textId="77777777" w:rsidR="005B390E" w:rsidRPr="006E6390" w:rsidRDefault="005B390E" w:rsidP="00A50BF2">
      <w:pPr>
        <w:pStyle w:val="Ttulo3"/>
        <w:rPr>
          <w:rFonts w:cs="Arial"/>
        </w:rPr>
      </w:pPr>
      <w:bookmarkStart w:id="14" w:name="_Toc262483811"/>
      <w:bookmarkStart w:id="15" w:name="_Toc38630772"/>
      <w:r w:rsidRPr="006E6390">
        <w:rPr>
          <w:rFonts w:cs="Arial"/>
        </w:rPr>
        <w:lastRenderedPageBreak/>
        <w:t>1.1.4</w:t>
      </w:r>
      <w:r w:rsidR="00DF2474" w:rsidRPr="006E6390">
        <w:rPr>
          <w:rFonts w:cs="Arial"/>
        </w:rPr>
        <w:t>.</w:t>
      </w:r>
      <w:r w:rsidRPr="006E6390">
        <w:rPr>
          <w:rFonts w:cs="Arial"/>
        </w:rPr>
        <w:t xml:space="preserve"> Prelación de Pagos</w:t>
      </w:r>
      <w:bookmarkEnd w:id="14"/>
      <w:bookmarkEnd w:id="15"/>
    </w:p>
    <w:p w14:paraId="0EEF81A2" w14:textId="566F64DA" w:rsidR="005B390E" w:rsidRPr="006E6390" w:rsidRDefault="005B390E" w:rsidP="004A26B9">
      <w:pPr>
        <w:rPr>
          <w:rFonts w:cs="Arial"/>
        </w:rPr>
      </w:pPr>
      <w:r w:rsidRPr="006E6390">
        <w:rPr>
          <w:rFonts w:cs="Arial"/>
        </w:rPr>
        <w:t xml:space="preserve">La prelación de pagos consiste en el orden en el cual los acreedores de una entidad serían pagados ante la eventual quiebra de su deudor. </w:t>
      </w:r>
      <w:r w:rsidR="00D7042D" w:rsidRPr="006E6390">
        <w:rPr>
          <w:rFonts w:cs="Arial"/>
        </w:rPr>
        <w:t xml:space="preserve"> </w:t>
      </w:r>
      <w:r w:rsidRPr="006E6390">
        <w:rPr>
          <w:rFonts w:cs="Arial"/>
        </w:rPr>
        <w:t xml:space="preserve">En el caso de RECOPE, los créditos de los trabajadores gozarán de un privilegio especialísimo sobre todos los demás acreedores de la masa, de conformidad con el artículo 33 del Código de Trabajo. En el caso de otras obligaciones se mantienen las mismas condiciones de prelación de pagos de los acreedores actuales (principio de pari-passu) y aplica a las emisiones de estos programas de emisiones. </w:t>
      </w:r>
      <w:r w:rsidR="00D7042D" w:rsidRPr="006E6390">
        <w:rPr>
          <w:rFonts w:cs="Arial"/>
        </w:rPr>
        <w:t xml:space="preserve"> </w:t>
      </w:r>
      <w:r w:rsidRPr="006E6390">
        <w:rPr>
          <w:rFonts w:cs="Arial"/>
        </w:rPr>
        <w:t>Es decir, todos los restantes acreedores tienen la misma prioridad de pago.</w:t>
      </w:r>
    </w:p>
    <w:p w14:paraId="154CCAAB" w14:textId="77777777" w:rsidR="005B390E" w:rsidRPr="006E6390" w:rsidRDefault="005B390E" w:rsidP="00A50BF2">
      <w:pPr>
        <w:pStyle w:val="Ttulo3"/>
        <w:rPr>
          <w:rFonts w:cs="Arial"/>
        </w:rPr>
      </w:pPr>
      <w:bookmarkStart w:id="16" w:name="_Toc234925781"/>
      <w:bookmarkStart w:id="17" w:name="_Toc235615212"/>
      <w:bookmarkStart w:id="18" w:name="_Toc235616700"/>
      <w:bookmarkStart w:id="19" w:name="_Toc234925782"/>
      <w:bookmarkStart w:id="20" w:name="_Toc235615213"/>
      <w:bookmarkStart w:id="21" w:name="_Toc235616701"/>
      <w:bookmarkStart w:id="22" w:name="_Toc234925783"/>
      <w:bookmarkStart w:id="23" w:name="_Toc235615214"/>
      <w:bookmarkStart w:id="24" w:name="_Toc235616702"/>
      <w:bookmarkStart w:id="25" w:name="_Toc234925784"/>
      <w:bookmarkStart w:id="26" w:name="_Toc235615215"/>
      <w:bookmarkStart w:id="27" w:name="_Toc235616703"/>
      <w:bookmarkStart w:id="28" w:name="_Toc262483812"/>
      <w:bookmarkStart w:id="29" w:name="_Toc38630773"/>
      <w:bookmarkEnd w:id="16"/>
      <w:bookmarkEnd w:id="17"/>
      <w:bookmarkEnd w:id="18"/>
      <w:bookmarkEnd w:id="19"/>
      <w:bookmarkEnd w:id="20"/>
      <w:bookmarkEnd w:id="21"/>
      <w:bookmarkEnd w:id="22"/>
      <w:bookmarkEnd w:id="23"/>
      <w:bookmarkEnd w:id="24"/>
      <w:bookmarkEnd w:id="25"/>
      <w:bookmarkEnd w:id="26"/>
      <w:bookmarkEnd w:id="27"/>
      <w:r w:rsidRPr="006E6390">
        <w:rPr>
          <w:rFonts w:cs="Arial"/>
        </w:rPr>
        <w:t>1.1.5</w:t>
      </w:r>
      <w:r w:rsidR="00DF2474" w:rsidRPr="006E6390">
        <w:rPr>
          <w:rFonts w:cs="Arial"/>
        </w:rPr>
        <w:t>.</w:t>
      </w:r>
      <w:r w:rsidRPr="006E6390">
        <w:rPr>
          <w:rFonts w:cs="Arial"/>
        </w:rPr>
        <w:t xml:space="preserve"> Calificación de riesgo</w:t>
      </w:r>
      <w:bookmarkEnd w:id="28"/>
      <w:bookmarkEnd w:id="29"/>
    </w:p>
    <w:p w14:paraId="3E07B90B" w14:textId="64375696" w:rsidR="005B390E" w:rsidRDefault="005B390E" w:rsidP="00105840">
      <w:pPr>
        <w:spacing w:after="0"/>
        <w:rPr>
          <w:rFonts w:cs="Arial"/>
        </w:rPr>
      </w:pPr>
      <w:r w:rsidRPr="006E6390">
        <w:rPr>
          <w:rFonts w:cs="Arial"/>
        </w:rPr>
        <w:t>Según el artículo 2 del Reglamento sobre Calificación de Valores y Sociedades Calificadores de Riesgo, las emisiones de valores de instituciones públicas no bancarias costarricenses no están sujetas al requisito de calificación de riesgo obligatoria.</w:t>
      </w:r>
    </w:p>
    <w:p w14:paraId="3A01993A" w14:textId="77777777" w:rsidR="00725096" w:rsidRPr="006E6390" w:rsidRDefault="00725096" w:rsidP="00105840">
      <w:pPr>
        <w:spacing w:after="0"/>
        <w:rPr>
          <w:rFonts w:cs="Arial"/>
        </w:rPr>
      </w:pPr>
    </w:p>
    <w:p w14:paraId="4952BA4E" w14:textId="7B333CB1" w:rsidR="00965240" w:rsidRDefault="005B390E" w:rsidP="00105840">
      <w:pPr>
        <w:spacing w:after="0"/>
        <w:rPr>
          <w:rFonts w:cs="Arial"/>
          <w:i/>
        </w:rPr>
      </w:pPr>
      <w:r w:rsidRPr="006E6390">
        <w:rPr>
          <w:rFonts w:cs="Arial"/>
        </w:rPr>
        <w:t xml:space="preserve">Dicho artículo indica lo siguiente: </w:t>
      </w:r>
      <w:r w:rsidRPr="006E6390">
        <w:rPr>
          <w:rFonts w:cs="Arial"/>
          <w:i/>
        </w:rPr>
        <w:t xml:space="preserve">“Están sujetos al requisito de la calificación obligatoria los siguientes valores o productos autorizados según el Reglamento sobre oferta pública de valores o el Reglamento general sobre sociedades administradoras y fondos de inversión: </w:t>
      </w:r>
      <w:r w:rsidR="00D30BC8" w:rsidRPr="006E6390">
        <w:rPr>
          <w:rFonts w:cs="Arial"/>
          <w:i/>
        </w:rPr>
        <w:t xml:space="preserve">/ </w:t>
      </w:r>
      <w:r w:rsidRPr="006E6390">
        <w:rPr>
          <w:rFonts w:cs="Arial"/>
          <w:i/>
        </w:rPr>
        <w:t xml:space="preserve">a) Emisiones de deuda y bonos convertibles, exceptuando las emisiones de valores del Estado e instituciones públicas no bancarias costarricenses </w:t>
      </w:r>
      <w:r w:rsidR="00D30BC8" w:rsidRPr="006E6390">
        <w:rPr>
          <w:rFonts w:cs="Arial"/>
          <w:i/>
        </w:rPr>
        <w:t xml:space="preserve">/ </w:t>
      </w:r>
      <w:r w:rsidRPr="006E6390">
        <w:rPr>
          <w:rFonts w:cs="Arial"/>
          <w:i/>
        </w:rPr>
        <w:t>b) (…)”</w:t>
      </w:r>
      <w:bookmarkStart w:id="30" w:name="_Toc228013091"/>
      <w:bookmarkStart w:id="31" w:name="_Toc228084785"/>
      <w:bookmarkStart w:id="32" w:name="_Toc228087342"/>
      <w:bookmarkStart w:id="33" w:name="_Toc262483813"/>
      <w:bookmarkEnd w:id="30"/>
      <w:bookmarkEnd w:id="31"/>
      <w:bookmarkEnd w:id="32"/>
    </w:p>
    <w:p w14:paraId="77AC4457" w14:textId="77777777" w:rsidR="00725096" w:rsidRPr="006E6390" w:rsidRDefault="00725096" w:rsidP="00105840">
      <w:pPr>
        <w:spacing w:after="0"/>
        <w:rPr>
          <w:rFonts w:cs="Arial"/>
          <w:i/>
        </w:rPr>
      </w:pPr>
    </w:p>
    <w:p w14:paraId="05C21DFA" w14:textId="39E06D8B" w:rsidR="00965240" w:rsidRDefault="0031490A" w:rsidP="00105840">
      <w:pPr>
        <w:spacing w:after="0"/>
        <w:rPr>
          <w:rFonts w:cs="Arial"/>
        </w:rPr>
      </w:pPr>
      <w:r w:rsidRPr="006E6390">
        <w:rPr>
          <w:rFonts w:cs="Arial"/>
        </w:rPr>
        <w:t>No obstante</w:t>
      </w:r>
      <w:r w:rsidR="00965240" w:rsidRPr="006E6390">
        <w:rPr>
          <w:rFonts w:cs="Arial"/>
        </w:rPr>
        <w:t xml:space="preserve">, RECOPE cuenta con </w:t>
      </w:r>
      <w:r w:rsidR="00D22D79" w:rsidRPr="006E6390">
        <w:rPr>
          <w:rFonts w:cs="Arial"/>
        </w:rPr>
        <w:t xml:space="preserve">dos </w:t>
      </w:r>
      <w:r w:rsidR="00965240" w:rsidRPr="006E6390">
        <w:rPr>
          <w:rFonts w:cs="Arial"/>
        </w:rPr>
        <w:t>calificaciones de riesgo del programa de emisiones de deuda contenido en este prospecto en El Salvador.</w:t>
      </w:r>
      <w:r w:rsidR="006105F3" w:rsidRPr="006E6390">
        <w:rPr>
          <w:rFonts w:cs="Arial"/>
        </w:rPr>
        <w:t xml:space="preserve"> </w:t>
      </w:r>
      <w:r w:rsidR="00965240" w:rsidRPr="006E6390">
        <w:rPr>
          <w:rFonts w:cs="Arial"/>
        </w:rPr>
        <w:t xml:space="preserve">Una de las calificaciones de riesgo fue realizada por </w:t>
      </w:r>
      <w:r w:rsidR="00913057" w:rsidRPr="006E6390">
        <w:rPr>
          <w:rFonts w:cs="Arial"/>
        </w:rPr>
        <w:t>Fitch Ratings</w:t>
      </w:r>
      <w:r w:rsidR="00965240" w:rsidRPr="006E6390">
        <w:rPr>
          <w:rFonts w:cs="Arial"/>
        </w:rPr>
        <w:t xml:space="preserve">, </w:t>
      </w:r>
      <w:r w:rsidR="00DF75B3" w:rsidRPr="006E6390">
        <w:rPr>
          <w:rFonts w:cs="Arial"/>
        </w:rPr>
        <w:t>que</w:t>
      </w:r>
      <w:r w:rsidR="00965240" w:rsidRPr="006E6390">
        <w:rPr>
          <w:rFonts w:cs="Arial"/>
        </w:rPr>
        <w:t xml:space="preserve"> otorgó una calificación de riesgo de </w:t>
      </w:r>
      <w:r w:rsidR="008E20AC" w:rsidRPr="006E6390">
        <w:rPr>
          <w:rFonts w:cs="Arial"/>
        </w:rPr>
        <w:t>‘AAA(slv)’</w:t>
      </w:r>
      <w:r w:rsidR="00965240" w:rsidRPr="006E6390">
        <w:rPr>
          <w:rFonts w:cs="Arial"/>
        </w:rPr>
        <w:t xml:space="preserve"> el día </w:t>
      </w:r>
      <w:r w:rsidR="007C2007">
        <w:rPr>
          <w:rFonts w:cs="Arial"/>
        </w:rPr>
        <w:t>14</w:t>
      </w:r>
      <w:r w:rsidR="007C2007" w:rsidRPr="006E6390">
        <w:rPr>
          <w:rFonts w:cs="Arial"/>
        </w:rPr>
        <w:t xml:space="preserve"> </w:t>
      </w:r>
      <w:r w:rsidR="00F93C2E" w:rsidRPr="006E6390">
        <w:rPr>
          <w:rFonts w:cs="Arial"/>
        </w:rPr>
        <w:t xml:space="preserve">de </w:t>
      </w:r>
      <w:r w:rsidR="007C2007">
        <w:rPr>
          <w:rFonts w:cs="Arial"/>
        </w:rPr>
        <w:t>marzo</w:t>
      </w:r>
      <w:r w:rsidR="007C2007" w:rsidRPr="006E6390">
        <w:rPr>
          <w:rFonts w:cs="Arial"/>
        </w:rPr>
        <w:t xml:space="preserve"> </w:t>
      </w:r>
      <w:r w:rsidR="00F93C2E" w:rsidRPr="006E6390">
        <w:rPr>
          <w:rFonts w:cs="Arial"/>
        </w:rPr>
        <w:t xml:space="preserve">de </w:t>
      </w:r>
      <w:r w:rsidR="007C2007" w:rsidRPr="006E6390">
        <w:rPr>
          <w:rFonts w:cs="Arial"/>
        </w:rPr>
        <w:t>202</w:t>
      </w:r>
      <w:r w:rsidR="007C2007">
        <w:rPr>
          <w:rFonts w:cs="Arial"/>
        </w:rPr>
        <w:t>3</w:t>
      </w:r>
      <w:r w:rsidR="007C2007" w:rsidRPr="006E6390">
        <w:rPr>
          <w:rFonts w:cs="Arial"/>
        </w:rPr>
        <w:t xml:space="preserve"> </w:t>
      </w:r>
      <w:r w:rsidR="002937F9" w:rsidRPr="006E6390">
        <w:rPr>
          <w:rFonts w:cs="Arial"/>
        </w:rPr>
        <w:t xml:space="preserve">de </w:t>
      </w:r>
      <w:r w:rsidR="00965240" w:rsidRPr="006E6390">
        <w:rPr>
          <w:rFonts w:cs="Arial"/>
        </w:rPr>
        <w:t xml:space="preserve">su Consejo de Calificación </w:t>
      </w:r>
      <w:r w:rsidR="007C2007">
        <w:rPr>
          <w:rFonts w:cs="Arial"/>
        </w:rPr>
        <w:t xml:space="preserve">SLV_2023_4 </w:t>
      </w:r>
      <w:r w:rsidR="00965240" w:rsidRPr="006E6390">
        <w:rPr>
          <w:rFonts w:cs="Arial"/>
        </w:rPr>
        <w:t xml:space="preserve">con base la información financiera </w:t>
      </w:r>
      <w:r w:rsidR="00E40438">
        <w:rPr>
          <w:rFonts w:cs="Arial"/>
        </w:rPr>
        <w:t xml:space="preserve">no </w:t>
      </w:r>
      <w:r w:rsidR="00D97024" w:rsidRPr="006E6390">
        <w:rPr>
          <w:rFonts w:cs="Arial"/>
        </w:rPr>
        <w:t xml:space="preserve">auditada </w:t>
      </w:r>
      <w:r w:rsidR="00965240" w:rsidRPr="006E6390">
        <w:rPr>
          <w:rFonts w:cs="Arial"/>
        </w:rPr>
        <w:t xml:space="preserve">al </w:t>
      </w:r>
      <w:r w:rsidR="00BC09B0" w:rsidRPr="006E6390">
        <w:rPr>
          <w:rFonts w:cs="Arial"/>
        </w:rPr>
        <w:t>3</w:t>
      </w:r>
      <w:r w:rsidR="00BC09B0">
        <w:rPr>
          <w:rFonts w:cs="Arial"/>
        </w:rPr>
        <w:t>0</w:t>
      </w:r>
      <w:r w:rsidR="00BC09B0" w:rsidRPr="006E6390">
        <w:rPr>
          <w:rFonts w:cs="Arial"/>
        </w:rPr>
        <w:t xml:space="preserve"> </w:t>
      </w:r>
      <w:r w:rsidR="002937F9" w:rsidRPr="006E6390">
        <w:rPr>
          <w:rFonts w:cs="Arial"/>
        </w:rPr>
        <w:t xml:space="preserve">de </w:t>
      </w:r>
      <w:r w:rsidR="007C2007">
        <w:rPr>
          <w:rFonts w:cs="Arial"/>
        </w:rPr>
        <w:t>septiembre</w:t>
      </w:r>
      <w:r w:rsidR="007C2007" w:rsidRPr="006E6390">
        <w:rPr>
          <w:rFonts w:cs="Arial"/>
        </w:rPr>
        <w:t xml:space="preserve"> </w:t>
      </w:r>
      <w:r w:rsidR="00965240" w:rsidRPr="006E6390">
        <w:rPr>
          <w:rFonts w:cs="Arial"/>
        </w:rPr>
        <w:t xml:space="preserve">de </w:t>
      </w:r>
      <w:r w:rsidR="00BC09B0" w:rsidRPr="006E6390">
        <w:rPr>
          <w:rFonts w:cs="Arial"/>
        </w:rPr>
        <w:t>202</w:t>
      </w:r>
      <w:r w:rsidR="00BC09B0">
        <w:rPr>
          <w:rFonts w:cs="Arial"/>
        </w:rPr>
        <w:t>2</w:t>
      </w:r>
      <w:r w:rsidR="00BC09B0" w:rsidRPr="006E6390">
        <w:rPr>
          <w:rFonts w:cs="Arial"/>
        </w:rPr>
        <w:t xml:space="preserve"> </w:t>
      </w:r>
      <w:r w:rsidR="007C2007">
        <w:rPr>
          <w:rFonts w:cs="Arial"/>
        </w:rPr>
        <w:t>y auditada al 31 de diciembre de 202</w:t>
      </w:r>
      <w:r w:rsidR="000E118F">
        <w:rPr>
          <w:rFonts w:cs="Arial"/>
        </w:rPr>
        <w:t>2</w:t>
      </w:r>
      <w:r w:rsidR="007C2007">
        <w:rPr>
          <w:rFonts w:cs="Arial"/>
        </w:rPr>
        <w:t xml:space="preserve"> </w:t>
      </w:r>
      <w:r w:rsidR="0019620A" w:rsidRPr="006E6390">
        <w:rPr>
          <w:rFonts w:cs="Arial"/>
        </w:rPr>
        <w:t>(</w:t>
      </w:r>
      <w:r w:rsidR="007C2007">
        <w:rPr>
          <w:rFonts w:cs="Arial"/>
        </w:rPr>
        <w:t>informe RPT_2023_04_10231009</w:t>
      </w:r>
      <w:r w:rsidR="008E20AC" w:rsidRPr="006E6390">
        <w:rPr>
          <w:rFonts w:cs="Arial"/>
        </w:rPr>
        <w:t>.</w:t>
      </w:r>
      <w:r w:rsidR="00A53E8B" w:rsidRPr="006E6390">
        <w:rPr>
          <w:rFonts w:cs="Arial"/>
        </w:rPr>
        <w:t>pdf</w:t>
      </w:r>
      <w:r w:rsidR="0019620A" w:rsidRPr="006E6390">
        <w:rPr>
          <w:rFonts w:cs="Arial"/>
        </w:rPr>
        <w:t xml:space="preserve">) </w:t>
      </w:r>
      <w:r w:rsidR="00965240" w:rsidRPr="006E6390">
        <w:rPr>
          <w:rFonts w:cs="Arial"/>
        </w:rPr>
        <w:t>y la otra por Pacific</w:t>
      </w:r>
      <w:r w:rsidR="00486857" w:rsidRPr="006E6390">
        <w:rPr>
          <w:rFonts w:cs="Arial"/>
        </w:rPr>
        <w:t xml:space="preserve"> </w:t>
      </w:r>
      <w:r w:rsidR="00965240" w:rsidRPr="006E6390">
        <w:rPr>
          <w:rFonts w:cs="Arial"/>
        </w:rPr>
        <w:t xml:space="preserve">Credit Rating, </w:t>
      </w:r>
      <w:r w:rsidR="00630E1C" w:rsidRPr="006E6390">
        <w:rPr>
          <w:rFonts w:cs="Arial"/>
        </w:rPr>
        <w:t>que reportó</w:t>
      </w:r>
      <w:r w:rsidR="00965240" w:rsidRPr="006E6390">
        <w:rPr>
          <w:rFonts w:cs="Arial"/>
        </w:rPr>
        <w:t xml:space="preserve"> una calificación de riesgo de AAA</w:t>
      </w:r>
      <w:r w:rsidR="002A08CC" w:rsidRPr="006E6390">
        <w:rPr>
          <w:rFonts w:cs="Arial"/>
        </w:rPr>
        <w:t xml:space="preserve"> en sesión </w:t>
      </w:r>
      <w:r w:rsidR="003A57DB" w:rsidRPr="006E6390">
        <w:rPr>
          <w:rFonts w:cs="Arial"/>
        </w:rPr>
        <w:t xml:space="preserve">ordinaria </w:t>
      </w:r>
      <w:r w:rsidR="002A08CC" w:rsidRPr="006E6390">
        <w:rPr>
          <w:rFonts w:cs="Arial"/>
        </w:rPr>
        <w:t xml:space="preserve">de Comité </w:t>
      </w:r>
      <w:r w:rsidR="003A57DB" w:rsidRPr="006E6390">
        <w:rPr>
          <w:rFonts w:cs="Arial"/>
        </w:rPr>
        <w:t xml:space="preserve">No. </w:t>
      </w:r>
      <w:r w:rsidR="007C2007">
        <w:rPr>
          <w:rFonts w:cs="Arial"/>
        </w:rPr>
        <w:t>62</w:t>
      </w:r>
      <w:r w:rsidR="003A57DB" w:rsidRPr="006E6390">
        <w:rPr>
          <w:rFonts w:cs="Arial"/>
        </w:rPr>
        <w:t>/</w:t>
      </w:r>
      <w:r w:rsidR="007C2007" w:rsidRPr="006E6390">
        <w:rPr>
          <w:rFonts w:cs="Arial"/>
        </w:rPr>
        <w:t>202</w:t>
      </w:r>
      <w:r w:rsidR="007C2007">
        <w:rPr>
          <w:rFonts w:cs="Arial"/>
        </w:rPr>
        <w:t xml:space="preserve">3 </w:t>
      </w:r>
      <w:r w:rsidR="002A08CC" w:rsidRPr="006E6390">
        <w:rPr>
          <w:rFonts w:cs="Arial"/>
        </w:rPr>
        <w:t xml:space="preserve">de </w:t>
      </w:r>
      <w:r w:rsidR="007C2007">
        <w:rPr>
          <w:rFonts w:cs="Arial"/>
        </w:rPr>
        <w:t>25</w:t>
      </w:r>
      <w:r w:rsidR="007C2007" w:rsidRPr="006E6390">
        <w:rPr>
          <w:rFonts w:cs="Arial"/>
        </w:rPr>
        <w:t xml:space="preserve"> </w:t>
      </w:r>
      <w:r w:rsidR="00913057" w:rsidRPr="00141E15">
        <w:rPr>
          <w:rFonts w:cs="Arial"/>
        </w:rPr>
        <w:t xml:space="preserve">de </w:t>
      </w:r>
      <w:r w:rsidR="007C2007">
        <w:rPr>
          <w:rFonts w:cs="Arial"/>
        </w:rPr>
        <w:t>abril</w:t>
      </w:r>
      <w:r w:rsidR="007C2007" w:rsidRPr="00141E15">
        <w:rPr>
          <w:rFonts w:cs="Arial"/>
        </w:rPr>
        <w:t xml:space="preserve"> </w:t>
      </w:r>
      <w:r w:rsidR="00913057" w:rsidRPr="00141E15">
        <w:rPr>
          <w:rFonts w:cs="Arial"/>
        </w:rPr>
        <w:t>de</w:t>
      </w:r>
      <w:r w:rsidR="002A08CC" w:rsidRPr="00141E15">
        <w:rPr>
          <w:rFonts w:cs="Arial"/>
        </w:rPr>
        <w:t xml:space="preserve"> </w:t>
      </w:r>
      <w:r w:rsidR="007C2007" w:rsidRPr="00141E15">
        <w:rPr>
          <w:rFonts w:cs="Arial"/>
        </w:rPr>
        <w:t>202</w:t>
      </w:r>
      <w:r w:rsidR="007C2007">
        <w:rPr>
          <w:rFonts w:cs="Arial"/>
        </w:rPr>
        <w:t>3</w:t>
      </w:r>
      <w:r w:rsidR="002A08CC" w:rsidRPr="00141E15">
        <w:rPr>
          <w:rFonts w:cs="Arial"/>
        </w:rPr>
        <w:t xml:space="preserve">, con base </w:t>
      </w:r>
      <w:r w:rsidR="00781AAA" w:rsidRPr="00141E15">
        <w:rPr>
          <w:rFonts w:cs="Arial"/>
        </w:rPr>
        <w:t xml:space="preserve">en la información financiera </w:t>
      </w:r>
      <w:r w:rsidR="007C2007">
        <w:rPr>
          <w:rFonts w:cs="Arial"/>
        </w:rPr>
        <w:t xml:space="preserve">auditada </w:t>
      </w:r>
      <w:r w:rsidR="00781AAA" w:rsidRPr="00141E15">
        <w:rPr>
          <w:rFonts w:cs="Arial"/>
        </w:rPr>
        <w:t xml:space="preserve">al </w:t>
      </w:r>
      <w:r w:rsidR="007C2007" w:rsidRPr="00141E15">
        <w:rPr>
          <w:rFonts w:cs="Arial"/>
        </w:rPr>
        <w:t>3</w:t>
      </w:r>
      <w:r w:rsidR="007C2007">
        <w:rPr>
          <w:rFonts w:cs="Arial"/>
        </w:rPr>
        <w:t xml:space="preserve">1 </w:t>
      </w:r>
      <w:r w:rsidR="00781AAA" w:rsidRPr="00141E15">
        <w:rPr>
          <w:rFonts w:cs="Arial"/>
        </w:rPr>
        <w:t xml:space="preserve">de </w:t>
      </w:r>
      <w:r w:rsidR="007C2007">
        <w:rPr>
          <w:rFonts w:cs="Arial"/>
        </w:rPr>
        <w:t>diciembre</w:t>
      </w:r>
      <w:r w:rsidR="007C2007" w:rsidRPr="00141E15">
        <w:rPr>
          <w:rFonts w:cs="Arial"/>
        </w:rPr>
        <w:t xml:space="preserve"> </w:t>
      </w:r>
      <w:r w:rsidR="00781AAA" w:rsidRPr="00141E15">
        <w:rPr>
          <w:rFonts w:cs="Arial"/>
        </w:rPr>
        <w:t xml:space="preserve">de </w:t>
      </w:r>
      <w:r w:rsidR="00DC2C6E" w:rsidRPr="00141E15">
        <w:rPr>
          <w:rFonts w:cs="Arial"/>
        </w:rPr>
        <w:t xml:space="preserve">2022 </w:t>
      </w:r>
      <w:r w:rsidR="00A10D2F" w:rsidRPr="00141E15">
        <w:rPr>
          <w:rFonts w:cs="Arial"/>
        </w:rPr>
        <w:t xml:space="preserve">(nota </w:t>
      </w:r>
      <w:r w:rsidR="00DC2C6E" w:rsidRPr="00141E15">
        <w:rPr>
          <w:rFonts w:cs="Arial"/>
        </w:rPr>
        <w:t>CR</w:t>
      </w:r>
      <w:r w:rsidR="00B72C59" w:rsidRPr="00141E15">
        <w:rPr>
          <w:rFonts w:cs="Arial"/>
        </w:rPr>
        <w:t>-</w:t>
      </w:r>
      <w:r w:rsidR="007C2007" w:rsidRPr="00141E15">
        <w:rPr>
          <w:rFonts w:cs="Arial"/>
        </w:rPr>
        <w:t>R</w:t>
      </w:r>
      <w:r w:rsidR="007C2007">
        <w:rPr>
          <w:rFonts w:cs="Arial"/>
        </w:rPr>
        <w:t>ECOPE</w:t>
      </w:r>
      <w:r w:rsidR="00B72C59" w:rsidRPr="00141E15">
        <w:rPr>
          <w:rFonts w:cs="Arial"/>
        </w:rPr>
        <w:t>-</w:t>
      </w:r>
      <w:r w:rsidR="007C2007" w:rsidRPr="00141E15">
        <w:rPr>
          <w:rFonts w:cs="Arial"/>
        </w:rPr>
        <w:t>2022</w:t>
      </w:r>
      <w:r w:rsidR="007C2007">
        <w:rPr>
          <w:rFonts w:cs="Arial"/>
        </w:rPr>
        <w:t>12</w:t>
      </w:r>
      <w:r w:rsidR="00B72C59" w:rsidRPr="00141E15">
        <w:rPr>
          <w:rFonts w:cs="Arial"/>
        </w:rPr>
        <w:t>-</w:t>
      </w:r>
      <w:r w:rsidR="007C2007">
        <w:rPr>
          <w:rFonts w:cs="Arial"/>
        </w:rPr>
        <w:t>EM-</w:t>
      </w:r>
      <w:r w:rsidR="00B72C59" w:rsidRPr="00141E15">
        <w:rPr>
          <w:rFonts w:cs="Arial"/>
        </w:rPr>
        <w:t>FIN</w:t>
      </w:r>
      <w:r w:rsidR="00DC2C6E" w:rsidRPr="00141E15">
        <w:rPr>
          <w:rFonts w:cs="Arial"/>
        </w:rPr>
        <w:t xml:space="preserve"> firmado</w:t>
      </w:r>
      <w:r w:rsidR="00B72C59" w:rsidRPr="00141E15">
        <w:rPr>
          <w:rFonts w:cs="Arial"/>
        </w:rPr>
        <w:t>.pdf</w:t>
      </w:r>
      <w:r w:rsidR="00A10D2F" w:rsidRPr="00141E15">
        <w:rPr>
          <w:rFonts w:cs="Arial"/>
        </w:rPr>
        <w:t>)</w:t>
      </w:r>
      <w:r w:rsidR="00965240" w:rsidRPr="00141E15">
        <w:rPr>
          <w:rFonts w:cs="Arial"/>
        </w:rPr>
        <w:t xml:space="preserve">. </w:t>
      </w:r>
      <w:r w:rsidR="006105F3" w:rsidRPr="00141E15">
        <w:rPr>
          <w:rFonts w:cs="Arial"/>
        </w:rPr>
        <w:t xml:space="preserve"> </w:t>
      </w:r>
    </w:p>
    <w:p w14:paraId="6E2603D4" w14:textId="77777777" w:rsidR="00725096" w:rsidRPr="00141E15" w:rsidRDefault="00725096" w:rsidP="00105840">
      <w:pPr>
        <w:spacing w:after="0"/>
        <w:rPr>
          <w:rFonts w:cs="Arial"/>
        </w:rPr>
      </w:pPr>
    </w:p>
    <w:p w14:paraId="0304B8EB" w14:textId="19B937A0" w:rsidR="00965240" w:rsidRDefault="03F12F47" w:rsidP="00105840">
      <w:pPr>
        <w:spacing w:after="0"/>
        <w:rPr>
          <w:rFonts w:cs="Arial"/>
        </w:rPr>
      </w:pPr>
      <w:r w:rsidRPr="03F12F47">
        <w:rPr>
          <w:rFonts w:cs="Arial"/>
        </w:rPr>
        <w:t xml:space="preserve">La calificación de FITCH Ratings ‘AA+(cri)’ con perspectiva estable indica la calificación asignada por FITCH en la escala de calificación nacional de Costa Rica, según lo resuelto en la sesión CRI_2023_10 del 14 de marzo de 2023 con base en la información auditada al 31 de diciembre de 2022 y no auditada al 30 de septiembre de 2022. Esta calificación se asigna a emisores u obligaciones de acuerdo con la expectativa de riesgo de incumplimiento en función del vínculo con el Gobierno de Costa Rica. </w:t>
      </w:r>
    </w:p>
    <w:p w14:paraId="59EB7E93" w14:textId="77777777" w:rsidR="00725096" w:rsidRPr="00141E15" w:rsidRDefault="00725096" w:rsidP="00105840">
      <w:pPr>
        <w:spacing w:after="0"/>
        <w:rPr>
          <w:rFonts w:cs="Arial"/>
        </w:rPr>
      </w:pPr>
    </w:p>
    <w:p w14:paraId="6736D294" w14:textId="73251FD2" w:rsidR="00965240" w:rsidRDefault="00965240" w:rsidP="00105840">
      <w:pPr>
        <w:spacing w:after="0"/>
        <w:rPr>
          <w:rFonts w:cs="Arial"/>
        </w:rPr>
      </w:pPr>
      <w:r w:rsidRPr="00141E15">
        <w:rPr>
          <w:rFonts w:cs="Arial"/>
        </w:rPr>
        <w:t xml:space="preserve">La categoría AAA de Pacific </w:t>
      </w:r>
      <w:r w:rsidR="00486857" w:rsidRPr="00141E15">
        <w:rPr>
          <w:rFonts w:cs="Arial"/>
        </w:rPr>
        <w:t xml:space="preserve">Credit </w:t>
      </w:r>
      <w:r w:rsidRPr="00141E15">
        <w:rPr>
          <w:rFonts w:cs="Arial"/>
        </w:rPr>
        <w:t xml:space="preserve">Rating se </w:t>
      </w:r>
      <w:r w:rsidR="007506FE" w:rsidRPr="00141E15">
        <w:rPr>
          <w:rFonts w:cs="Arial"/>
        </w:rPr>
        <w:t>les</w:t>
      </w:r>
      <w:r w:rsidRPr="00141E15">
        <w:rPr>
          <w:rFonts w:cs="Arial"/>
        </w:rPr>
        <w:t xml:space="preserve"> asigna a emisiones con la más alta calidad de crédito.</w:t>
      </w:r>
      <w:r w:rsidR="001B4F61" w:rsidRPr="00141E15">
        <w:rPr>
          <w:rFonts w:cs="Arial"/>
        </w:rPr>
        <w:t xml:space="preserve"> Los factores de riesgo son prácticamente inexistentes</w:t>
      </w:r>
      <w:r w:rsidR="000C2798" w:rsidRPr="00141E15">
        <w:rPr>
          <w:rFonts w:cs="Arial"/>
        </w:rPr>
        <w:t>.</w:t>
      </w:r>
      <w:r w:rsidR="00AA03F5" w:rsidRPr="00141E15">
        <w:rPr>
          <w:rFonts w:cs="Arial"/>
        </w:rPr>
        <w:t xml:space="preserve"> </w:t>
      </w:r>
      <w:r w:rsidRPr="00141E15">
        <w:rPr>
          <w:rFonts w:cs="Arial"/>
        </w:rPr>
        <w:t>Los informes de las calificaciones de riesgo se encuentran en el anexo 1.</w:t>
      </w:r>
    </w:p>
    <w:p w14:paraId="00197E77" w14:textId="77777777" w:rsidR="00725096" w:rsidRPr="006E6390" w:rsidRDefault="00725096" w:rsidP="004A26B9">
      <w:pPr>
        <w:rPr>
          <w:rFonts w:cs="Arial"/>
          <w:i/>
        </w:rPr>
      </w:pPr>
    </w:p>
    <w:p w14:paraId="3D397559" w14:textId="77777777" w:rsidR="005B390E" w:rsidRPr="006E6390" w:rsidRDefault="005B390E" w:rsidP="00A50BF2">
      <w:pPr>
        <w:pStyle w:val="Ttulo3"/>
        <w:rPr>
          <w:rFonts w:cs="Arial"/>
        </w:rPr>
      </w:pPr>
      <w:bookmarkStart w:id="34" w:name="_Toc38630774"/>
      <w:r w:rsidRPr="006E6390">
        <w:rPr>
          <w:rFonts w:cs="Arial"/>
        </w:rPr>
        <w:lastRenderedPageBreak/>
        <w:t>1.1.6</w:t>
      </w:r>
      <w:r w:rsidR="00DF2474" w:rsidRPr="006E6390">
        <w:rPr>
          <w:rFonts w:cs="Arial"/>
        </w:rPr>
        <w:t>.</w:t>
      </w:r>
      <w:r w:rsidRPr="006E6390">
        <w:rPr>
          <w:rFonts w:cs="Arial"/>
        </w:rPr>
        <w:t xml:space="preserve"> Cláusula de redención anticipada</w:t>
      </w:r>
      <w:bookmarkEnd w:id="33"/>
      <w:bookmarkEnd w:id="34"/>
    </w:p>
    <w:p w14:paraId="6057B24B" w14:textId="1E81337C" w:rsidR="005B390E" w:rsidRDefault="005B390E" w:rsidP="00465C19">
      <w:pPr>
        <w:spacing w:after="0"/>
        <w:rPr>
          <w:rFonts w:cs="Arial"/>
        </w:rPr>
      </w:pPr>
      <w:r w:rsidRPr="006E6390">
        <w:rPr>
          <w:rFonts w:cs="Arial"/>
        </w:rPr>
        <w:t>Las emisiones pertenecientes al Programa A podrán o no tener una opción de redención anticipada. Las opciones de redención anticipada son discrecionales del emisor. Dicha redención se realizará en efectivo, al precio que se haya establecido para dicha redención. La fecha a partir de la cual se puede comenzar a redimir la emisión</w:t>
      </w:r>
      <w:r w:rsidR="0031490A" w:rsidRPr="006E6390">
        <w:rPr>
          <w:rFonts w:cs="Arial"/>
        </w:rPr>
        <w:t xml:space="preserve"> </w:t>
      </w:r>
      <w:r w:rsidRPr="006E6390">
        <w:rPr>
          <w:rFonts w:cs="Arial"/>
        </w:rPr>
        <w:t>será definida mediante Comunicado de Hecho Relevante, al menos cinco (5) hábiles antes de la primera colocación de la primera serie y dos (2) días hábiles antes de la fecha de cada una de las posteriores colocaciones. El emisor comunicará con al menos dos (2) meses de anticipación, la fecha y el monto a redimir.</w:t>
      </w:r>
    </w:p>
    <w:p w14:paraId="12C5BB14" w14:textId="77777777" w:rsidR="00725096" w:rsidRPr="006E6390" w:rsidRDefault="00725096" w:rsidP="00465C19">
      <w:pPr>
        <w:spacing w:after="0"/>
        <w:rPr>
          <w:rFonts w:cs="Arial"/>
        </w:rPr>
      </w:pPr>
    </w:p>
    <w:p w14:paraId="5F8B64FE" w14:textId="691277CC" w:rsidR="00725096" w:rsidRPr="006E6390" w:rsidRDefault="005B390E">
      <w:pPr>
        <w:rPr>
          <w:rFonts w:cs="Arial"/>
        </w:rPr>
      </w:pPr>
      <w:r w:rsidRPr="006E6390">
        <w:rPr>
          <w:rFonts w:cs="Arial"/>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3A7058C8" w14:textId="77777777" w:rsidR="005B390E" w:rsidRPr="006E6390" w:rsidRDefault="005B390E" w:rsidP="002331C3">
      <w:pPr>
        <w:pStyle w:val="Ttulo4"/>
        <w:tabs>
          <w:tab w:val="left" w:pos="9270"/>
        </w:tabs>
        <w:rPr>
          <w:rFonts w:cs="Arial"/>
        </w:rPr>
      </w:pPr>
      <w:r w:rsidRPr="006E6390">
        <w:rPr>
          <w:rFonts w:cs="Arial"/>
        </w:rPr>
        <w:t>Características generales aplicables a las opciones de redención anticipada.</w:t>
      </w:r>
    </w:p>
    <w:p w14:paraId="030AC481" w14:textId="048ACE5E" w:rsidR="005B390E" w:rsidRDefault="005B390E" w:rsidP="00465C19">
      <w:pPr>
        <w:spacing w:after="0"/>
        <w:rPr>
          <w:rFonts w:cs="Arial"/>
        </w:rPr>
      </w:pPr>
      <w:r w:rsidRPr="006E6390">
        <w:rPr>
          <w:rFonts w:cs="Arial"/>
        </w:rPr>
        <w:t>Toda opción de redención anticipada podrá efectuarse de manera parcial o total. La fecha de redención anticipada deberá coincidir con una fecha de pago de intereses.</w:t>
      </w:r>
      <w:r w:rsidR="00C43E28" w:rsidRPr="006E6390">
        <w:rPr>
          <w:rFonts w:cs="Arial"/>
        </w:rPr>
        <w:t xml:space="preserve"> </w:t>
      </w:r>
      <w:r w:rsidRPr="006E6390">
        <w:rPr>
          <w:rFonts w:cs="Arial"/>
        </w:rPr>
        <w:t>El emisor informará a los tenedores mediante Hecho Relevante su decisión de redención anticipada, con al menos dos (2) meses de anticipación a dicha fecha.</w:t>
      </w:r>
      <w:r w:rsidR="00C86E4C" w:rsidRPr="006E6390">
        <w:rPr>
          <w:rFonts w:cs="Arial"/>
        </w:rPr>
        <w:t xml:space="preserve"> </w:t>
      </w:r>
      <w:r w:rsidRPr="006E6390">
        <w:rPr>
          <w:rFonts w:cs="Arial"/>
        </w:rPr>
        <w:t>Los tenedores de las series estandarizadas a redimir no podrán negarse a venderlas.</w:t>
      </w:r>
    </w:p>
    <w:p w14:paraId="42D89939" w14:textId="77777777" w:rsidR="00725096" w:rsidRPr="006E6390" w:rsidRDefault="00725096" w:rsidP="00465C19">
      <w:pPr>
        <w:spacing w:after="0"/>
        <w:rPr>
          <w:rFonts w:cs="Arial"/>
        </w:rPr>
      </w:pPr>
    </w:p>
    <w:p w14:paraId="4F214627" w14:textId="22C79EAA" w:rsidR="005B390E" w:rsidRDefault="005B390E" w:rsidP="00465C19">
      <w:pPr>
        <w:spacing w:after="0"/>
        <w:rPr>
          <w:rFonts w:cs="Arial"/>
        </w:rPr>
      </w:pPr>
      <w:r w:rsidRPr="006E6390">
        <w:rPr>
          <w:rFonts w:cs="Arial"/>
        </w:rPr>
        <w:t xml:space="preserve">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 o doscientos valores. </w:t>
      </w:r>
    </w:p>
    <w:p w14:paraId="5F1EAA16" w14:textId="77777777" w:rsidR="00725096" w:rsidRPr="006E6390" w:rsidRDefault="00725096" w:rsidP="00465C19">
      <w:pPr>
        <w:spacing w:after="0"/>
        <w:rPr>
          <w:rFonts w:cs="Arial"/>
        </w:rPr>
      </w:pPr>
    </w:p>
    <w:p w14:paraId="4A8D3656" w14:textId="5C1B9163" w:rsidR="00E96132" w:rsidRDefault="00AA03F5" w:rsidP="00465C19">
      <w:pPr>
        <w:spacing w:after="0"/>
        <w:rPr>
          <w:rFonts w:cs="Arial"/>
        </w:rPr>
      </w:pPr>
      <w:bookmarkStart w:id="35" w:name="_Toc262483816"/>
      <w:r w:rsidRPr="006E6390">
        <w:rPr>
          <w:rFonts w:cs="Arial"/>
        </w:rPr>
        <w:t>El monto para redimir</w:t>
      </w:r>
      <w:r w:rsidR="00E96132" w:rsidRPr="006E6390">
        <w:rPr>
          <w:rFonts w:cs="Arial"/>
        </w:rPr>
        <w:t xml:space="preserve"> se distribuirá proporcionalmente entre todos los tenedores de las series a redimir, en función del monto facial de su inversión. En este caso, si la proporción a aplicar resulta en un número de títulos valores con una fracción igual o mayor a 0</w:t>
      </w:r>
      <w:r w:rsidR="002F3A14" w:rsidRPr="006E6390">
        <w:rPr>
          <w:rFonts w:cs="Arial"/>
        </w:rPr>
        <w:t>,</w:t>
      </w:r>
      <w:r w:rsidR="00E96132" w:rsidRPr="006E6390">
        <w:rPr>
          <w:rFonts w:cs="Arial"/>
        </w:rPr>
        <w:t xml:space="preserve">5, se redondeará al entero superior, caso contrario se redondeará al entero inferior. La cancelación de la redención parcial o total, según corresponda, se hará por medio de </w:t>
      </w:r>
      <w:r w:rsidR="00394D25" w:rsidRPr="006E6390">
        <w:rPr>
          <w:rFonts w:cs="Arial"/>
        </w:rPr>
        <w:t>Sistema de Anotación en Cuenta (SAC), administrado por el Banco Central de Costa Rica</w:t>
      </w:r>
      <w:r w:rsidR="00E96132" w:rsidRPr="006E6390">
        <w:rPr>
          <w:rFonts w:cs="Arial"/>
        </w:rPr>
        <w:t xml:space="preserve"> y acreditados los montos correspondientes a los inversionistas por medio de las entidades de custodia.</w:t>
      </w:r>
    </w:p>
    <w:p w14:paraId="1434B511" w14:textId="77777777" w:rsidR="00725096" w:rsidRPr="006E6390" w:rsidRDefault="00725096" w:rsidP="00465C19">
      <w:pPr>
        <w:spacing w:after="0"/>
        <w:rPr>
          <w:rFonts w:cs="Arial"/>
        </w:rPr>
      </w:pPr>
    </w:p>
    <w:p w14:paraId="266A6EDD" w14:textId="503782AA" w:rsidR="00E96132" w:rsidRDefault="00E96132" w:rsidP="00465C19">
      <w:pPr>
        <w:spacing w:after="0"/>
        <w:rPr>
          <w:rFonts w:cs="Arial"/>
        </w:rPr>
      </w:pPr>
      <w:r w:rsidRPr="006E6390">
        <w:rPr>
          <w:rFonts w:cs="Arial"/>
        </w:rPr>
        <w:t xml:space="preserve">Para efectos de la redención parcial, la fecha para identificar a los inversionistas que se tomarán en consideración, serán aquellos que aparezcan registrados en </w:t>
      </w:r>
      <w:r w:rsidR="00394D25" w:rsidRPr="006E6390">
        <w:rPr>
          <w:rFonts w:cs="Arial"/>
        </w:rPr>
        <w:t>Sistema de Anotación en Cuenta (SAC)</w:t>
      </w:r>
      <w:r w:rsidRPr="006E6390">
        <w:rPr>
          <w:rFonts w:cs="Arial"/>
        </w:rPr>
        <w:t xml:space="preserve"> el día de la fecha de redención.</w:t>
      </w:r>
    </w:p>
    <w:p w14:paraId="7C9C8786" w14:textId="77777777" w:rsidR="00725096" w:rsidRPr="006E6390" w:rsidRDefault="00725096" w:rsidP="004A26B9">
      <w:pPr>
        <w:rPr>
          <w:rFonts w:cs="Arial"/>
        </w:rPr>
      </w:pPr>
    </w:p>
    <w:p w14:paraId="5C2BE428" w14:textId="77777777" w:rsidR="005B390E" w:rsidRPr="006E6390" w:rsidRDefault="005B390E" w:rsidP="00A50BF2">
      <w:pPr>
        <w:pStyle w:val="Ttulo3"/>
        <w:rPr>
          <w:rFonts w:cs="Arial"/>
        </w:rPr>
      </w:pPr>
      <w:bookmarkStart w:id="36" w:name="_Toc38630775"/>
      <w:r w:rsidRPr="006E6390">
        <w:rPr>
          <w:rFonts w:cs="Arial"/>
        </w:rPr>
        <w:lastRenderedPageBreak/>
        <w:t>1.1.7</w:t>
      </w:r>
      <w:r w:rsidR="00DF2474" w:rsidRPr="006E6390">
        <w:rPr>
          <w:rFonts w:cs="Arial"/>
        </w:rPr>
        <w:t>.</w:t>
      </w:r>
      <w:r w:rsidRPr="006E6390">
        <w:rPr>
          <w:rFonts w:cs="Arial"/>
        </w:rPr>
        <w:t xml:space="preserve"> Razones de la oferta y uso de los recursos provenientes de la captación</w:t>
      </w:r>
      <w:bookmarkEnd w:id="35"/>
      <w:bookmarkEnd w:id="36"/>
    </w:p>
    <w:p w14:paraId="1ADCC480" w14:textId="77777777" w:rsidR="005B390E" w:rsidRPr="006E6390" w:rsidRDefault="005B390E" w:rsidP="004A26B9">
      <w:pPr>
        <w:rPr>
          <w:rFonts w:cs="Arial"/>
        </w:rPr>
      </w:pPr>
      <w:r w:rsidRPr="006E6390">
        <w:rPr>
          <w:rFonts w:cs="Arial"/>
        </w:rPr>
        <w:t xml:space="preserve">Los recursos que RECOPE captaría a través de las emisiones de Bonos </w:t>
      </w:r>
      <w:r w:rsidR="00630E1C" w:rsidRPr="006E6390">
        <w:rPr>
          <w:rFonts w:cs="Arial"/>
        </w:rPr>
        <w:t>Estandarizados</w:t>
      </w:r>
      <w:r w:rsidRPr="006E6390">
        <w:rPr>
          <w:rFonts w:cs="Arial"/>
        </w:rPr>
        <w:t xml:space="preserve"> serán </w:t>
      </w:r>
      <w:bookmarkStart w:id="37" w:name="_Hlk114148700"/>
      <w:r w:rsidRPr="006E6390">
        <w:rPr>
          <w:rFonts w:cs="Arial"/>
        </w:rPr>
        <w:t xml:space="preserve">destinados a la inversión en proyectos del Sistema Nacional de Combustibles, el cual consiste en el conjunto de infraestructura que es utilizado para realizar el abastecimiento de la demanda de combustibles. </w:t>
      </w:r>
      <w:bookmarkEnd w:id="37"/>
      <w:r w:rsidR="00C43E28" w:rsidRPr="006E6390">
        <w:rPr>
          <w:rFonts w:cs="Arial"/>
        </w:rPr>
        <w:t xml:space="preserve"> </w:t>
      </w:r>
      <w:r w:rsidRPr="006E6390">
        <w:rPr>
          <w:rFonts w:cs="Arial"/>
        </w:rPr>
        <w:t xml:space="preserve">Los proyectos </w:t>
      </w:r>
      <w:r w:rsidR="00630E1C" w:rsidRPr="006E6390">
        <w:rPr>
          <w:rFonts w:cs="Arial"/>
        </w:rPr>
        <w:t>f</w:t>
      </w:r>
      <w:r w:rsidRPr="006E6390">
        <w:rPr>
          <w:rFonts w:cs="Arial"/>
        </w:rPr>
        <w:t>inancia</w:t>
      </w:r>
      <w:r w:rsidR="00630E1C" w:rsidRPr="006E6390">
        <w:rPr>
          <w:rFonts w:cs="Arial"/>
        </w:rPr>
        <w:t>dos</w:t>
      </w:r>
      <w:r w:rsidRPr="006E6390">
        <w:rPr>
          <w:rFonts w:cs="Arial"/>
        </w:rPr>
        <w:t xml:space="preserve"> son los siguientes:</w:t>
      </w:r>
    </w:p>
    <w:p w14:paraId="226B208B" w14:textId="77777777" w:rsidR="005B390E" w:rsidRPr="006E6390" w:rsidRDefault="005B390E" w:rsidP="002331C3">
      <w:pPr>
        <w:pStyle w:val="Ttulo4"/>
        <w:tabs>
          <w:tab w:val="left" w:pos="9270"/>
        </w:tabs>
        <w:rPr>
          <w:rFonts w:cs="Arial"/>
        </w:rPr>
      </w:pPr>
      <w:bookmarkStart w:id="38" w:name="_Hlk114148773"/>
      <w:r w:rsidRPr="006E6390">
        <w:rPr>
          <w:rFonts w:cs="Arial"/>
        </w:rPr>
        <w:t xml:space="preserve">Ampliación y optimización de la capacidad de almacenamiento </w:t>
      </w:r>
    </w:p>
    <w:bookmarkEnd w:id="38"/>
    <w:p w14:paraId="02CC3743" w14:textId="1A27FFF0" w:rsidR="005B390E" w:rsidRDefault="005B390E" w:rsidP="00465C19">
      <w:pPr>
        <w:spacing w:after="0"/>
        <w:rPr>
          <w:rFonts w:cs="Arial"/>
        </w:rPr>
      </w:pPr>
      <w:r w:rsidRPr="006E6390">
        <w:rPr>
          <w:rFonts w:cs="Arial"/>
        </w:rPr>
        <w:t>El objetivo de este programa es optimizar, ampliar y desconcentrar la capacidad de almacenamiento de los combustibles, a efectos de aumentar los inventarios operativos y estratégicos de productos, en l</w:t>
      </w:r>
      <w:r w:rsidR="00465C19">
        <w:rPr>
          <w:rFonts w:cs="Arial"/>
        </w:rPr>
        <w:t>a</w:t>
      </w:r>
      <w:r w:rsidRPr="006E6390">
        <w:rPr>
          <w:rFonts w:cs="Arial"/>
        </w:rPr>
        <w:t xml:space="preserve">s diferentes </w:t>
      </w:r>
      <w:r w:rsidR="00465C19">
        <w:rPr>
          <w:rFonts w:cs="Arial"/>
        </w:rPr>
        <w:t>terminal</w:t>
      </w:r>
      <w:r w:rsidRPr="006E6390">
        <w:rPr>
          <w:rFonts w:cs="Arial"/>
        </w:rPr>
        <w:t xml:space="preserve">es de almacenamiento, y, de esta forma, mitigar los riesgos originados por fenómenos naturales que interrumpan el trasiego de productos de </w:t>
      </w:r>
      <w:r w:rsidR="00465C19">
        <w:rPr>
          <w:rFonts w:cs="Arial"/>
        </w:rPr>
        <w:t>terminal</w:t>
      </w:r>
      <w:r w:rsidRPr="006E6390">
        <w:rPr>
          <w:rFonts w:cs="Arial"/>
        </w:rPr>
        <w:t xml:space="preserve"> a </w:t>
      </w:r>
      <w:r w:rsidR="00465C19">
        <w:rPr>
          <w:rFonts w:cs="Arial"/>
        </w:rPr>
        <w:t>terminal</w:t>
      </w:r>
      <w:r w:rsidRPr="006E6390">
        <w:rPr>
          <w:rFonts w:cs="Arial"/>
        </w:rPr>
        <w:t xml:space="preserve"> o impidan el atraque de los barcos. </w:t>
      </w:r>
      <w:r w:rsidR="00C43E28" w:rsidRPr="006E6390">
        <w:rPr>
          <w:rFonts w:cs="Arial"/>
        </w:rPr>
        <w:t xml:space="preserve"> </w:t>
      </w:r>
      <w:r w:rsidRPr="006E6390">
        <w:rPr>
          <w:rFonts w:cs="Arial"/>
        </w:rPr>
        <w:t>Asimismo, la construcción de los nuevos tanques aumentará la flexibilidad operativa, permitirá mejorar el mantenimiento de los tanques existentes y reducirá los gastos operativos.</w:t>
      </w:r>
    </w:p>
    <w:p w14:paraId="4B021E4A" w14:textId="77777777" w:rsidR="00725096" w:rsidRPr="006E6390" w:rsidRDefault="00725096" w:rsidP="00465C19">
      <w:pPr>
        <w:spacing w:after="0"/>
        <w:rPr>
          <w:rFonts w:cs="Arial"/>
        </w:rPr>
      </w:pPr>
    </w:p>
    <w:p w14:paraId="6F70B2BE" w14:textId="7D1830B2" w:rsidR="005B390E" w:rsidRDefault="005B390E" w:rsidP="00465C19">
      <w:pPr>
        <w:spacing w:after="0"/>
        <w:rPr>
          <w:rFonts w:cs="Arial"/>
        </w:rPr>
      </w:pPr>
      <w:r w:rsidRPr="006E6390">
        <w:rPr>
          <w:rFonts w:cs="Arial"/>
        </w:rPr>
        <w:t>El programa se ubica en l</w:t>
      </w:r>
      <w:r w:rsidR="00465C19">
        <w:rPr>
          <w:rFonts w:cs="Arial"/>
        </w:rPr>
        <w:t>a</w:t>
      </w:r>
      <w:r w:rsidRPr="006E6390">
        <w:rPr>
          <w:rFonts w:cs="Arial"/>
        </w:rPr>
        <w:t xml:space="preserve">s diferentes </w:t>
      </w:r>
      <w:r w:rsidR="00465C19">
        <w:rPr>
          <w:rFonts w:cs="Arial"/>
        </w:rPr>
        <w:t>terminal</w:t>
      </w:r>
      <w:r w:rsidRPr="006E6390">
        <w:rPr>
          <w:rFonts w:cs="Arial"/>
        </w:rPr>
        <w:t xml:space="preserve">es de venta de RECOPE e incluye la sustitución de tanques de gasolina en </w:t>
      </w:r>
      <w:r w:rsidR="00465C19">
        <w:rPr>
          <w:rFonts w:cs="Arial"/>
        </w:rPr>
        <w:t>la</w:t>
      </w:r>
      <w:r w:rsidR="00465C19" w:rsidRPr="006E6390">
        <w:rPr>
          <w:rFonts w:cs="Arial"/>
        </w:rPr>
        <w:t xml:space="preserve"> </w:t>
      </w:r>
      <w:r w:rsidR="00465C19">
        <w:rPr>
          <w:rFonts w:cs="Arial"/>
        </w:rPr>
        <w:t>Terminal</w:t>
      </w:r>
      <w:r w:rsidRPr="006E6390">
        <w:rPr>
          <w:rFonts w:cs="Arial"/>
        </w:rPr>
        <w:t xml:space="preserve"> El Alto y la construcción de tanques en el </w:t>
      </w:r>
      <w:r w:rsidR="00465C19">
        <w:rPr>
          <w:rFonts w:cs="Arial"/>
        </w:rPr>
        <w:t>Terminal</w:t>
      </w:r>
      <w:r w:rsidRPr="006E6390">
        <w:rPr>
          <w:rFonts w:cs="Arial"/>
        </w:rPr>
        <w:t xml:space="preserve"> La Garita (gasolina y </w:t>
      </w:r>
      <w:r w:rsidR="00D2094C" w:rsidRPr="006E6390">
        <w:rPr>
          <w:rFonts w:cs="Arial"/>
        </w:rPr>
        <w:t>diésel</w:t>
      </w:r>
      <w:r w:rsidRPr="006E6390">
        <w:rPr>
          <w:rFonts w:cs="Arial"/>
        </w:rPr>
        <w:t xml:space="preserve">), </w:t>
      </w:r>
      <w:r w:rsidR="00465C19">
        <w:rPr>
          <w:rFonts w:cs="Arial"/>
        </w:rPr>
        <w:t>Terminal</w:t>
      </w:r>
      <w:r w:rsidRPr="006E6390">
        <w:rPr>
          <w:rFonts w:cs="Arial"/>
        </w:rPr>
        <w:t xml:space="preserve"> Barranca (jet fuel), y </w:t>
      </w:r>
      <w:r w:rsidR="00465C19">
        <w:rPr>
          <w:rFonts w:cs="Arial"/>
        </w:rPr>
        <w:t>Terminal</w:t>
      </w:r>
      <w:r w:rsidRPr="006E6390">
        <w:rPr>
          <w:rFonts w:cs="Arial"/>
        </w:rPr>
        <w:t xml:space="preserve"> Moín (fuel oil, GLP, </w:t>
      </w:r>
      <w:r w:rsidR="00D2094C" w:rsidRPr="006E6390">
        <w:rPr>
          <w:rFonts w:cs="Arial"/>
        </w:rPr>
        <w:t>diésel</w:t>
      </w:r>
      <w:r w:rsidRPr="006E6390">
        <w:rPr>
          <w:rFonts w:cs="Arial"/>
        </w:rPr>
        <w:t xml:space="preserve"> y gasolina). </w:t>
      </w:r>
      <w:r w:rsidR="00AD3086" w:rsidRPr="006E6390">
        <w:rPr>
          <w:rFonts w:cs="Arial"/>
        </w:rPr>
        <w:t xml:space="preserve"> </w:t>
      </w:r>
      <w:r w:rsidRPr="006E6390">
        <w:rPr>
          <w:rFonts w:cs="Arial"/>
        </w:rPr>
        <w:t>Estos proyectos, en su conjunto, permitirán aumentar la capacidad de</w:t>
      </w:r>
      <w:r w:rsidR="00965240" w:rsidRPr="006E6390">
        <w:rPr>
          <w:rFonts w:cs="Arial"/>
        </w:rPr>
        <w:t xml:space="preserve"> almacenamiento </w:t>
      </w:r>
      <w:r w:rsidR="00AD3086" w:rsidRPr="006E6390">
        <w:rPr>
          <w:rFonts w:cs="Arial"/>
        </w:rPr>
        <w:t xml:space="preserve">operativa </w:t>
      </w:r>
      <w:r w:rsidR="00965240" w:rsidRPr="006E6390">
        <w:rPr>
          <w:rFonts w:cs="Arial"/>
        </w:rPr>
        <w:t xml:space="preserve">en al menos </w:t>
      </w:r>
      <w:r w:rsidR="00EB66BA" w:rsidRPr="006E6390">
        <w:rPr>
          <w:rFonts w:cs="Arial"/>
        </w:rPr>
        <w:t>9</w:t>
      </w:r>
      <w:r w:rsidR="004E5ED3" w:rsidRPr="006E6390">
        <w:rPr>
          <w:rFonts w:cs="Arial"/>
        </w:rPr>
        <w:t>33</w:t>
      </w:r>
      <w:r w:rsidR="00CB209C" w:rsidRPr="006E6390">
        <w:rPr>
          <w:rFonts w:cs="Arial"/>
        </w:rPr>
        <w:t xml:space="preserve"> </w:t>
      </w:r>
      <w:r w:rsidR="004E5ED3" w:rsidRPr="006E6390">
        <w:rPr>
          <w:rFonts w:cs="Arial"/>
        </w:rPr>
        <w:t>349</w:t>
      </w:r>
      <w:r w:rsidRPr="006E6390">
        <w:rPr>
          <w:rFonts w:cs="Arial"/>
        </w:rPr>
        <w:t xml:space="preserve"> barriles (equivalente a una cuarta parte de la actual).</w:t>
      </w:r>
    </w:p>
    <w:p w14:paraId="1CA48B65" w14:textId="77777777" w:rsidR="00725096" w:rsidRPr="006E6390" w:rsidRDefault="00725096" w:rsidP="00465C19">
      <w:pPr>
        <w:spacing w:after="0"/>
        <w:rPr>
          <w:rFonts w:cs="Arial"/>
        </w:rPr>
      </w:pPr>
    </w:p>
    <w:p w14:paraId="51862613" w14:textId="4EB01B4A" w:rsidR="005B390E" w:rsidRDefault="005B390E" w:rsidP="00465C19">
      <w:pPr>
        <w:spacing w:after="0"/>
        <w:rPr>
          <w:rFonts w:cs="Arial"/>
        </w:rPr>
      </w:pPr>
      <w:r w:rsidRPr="006E6390">
        <w:rPr>
          <w:rFonts w:cs="Arial"/>
        </w:rPr>
        <w:t>Los proyectos que conforman este programa se encuentran en diferentes etapas del proceso de ejecución.</w:t>
      </w:r>
    </w:p>
    <w:p w14:paraId="5513C86A" w14:textId="77777777" w:rsidR="00725096" w:rsidRPr="006E6390" w:rsidRDefault="00725096" w:rsidP="00465C19">
      <w:pPr>
        <w:spacing w:after="0"/>
        <w:rPr>
          <w:rFonts w:cs="Arial"/>
        </w:rPr>
      </w:pPr>
    </w:p>
    <w:p w14:paraId="226F8BD5" w14:textId="7E185F88" w:rsidR="005B390E" w:rsidRDefault="005B390E" w:rsidP="00465C19">
      <w:pPr>
        <w:spacing w:after="0"/>
        <w:rPr>
          <w:rFonts w:cs="Arial"/>
        </w:rPr>
      </w:pPr>
      <w:r w:rsidRPr="006E6390">
        <w:rPr>
          <w:rFonts w:cs="Arial"/>
        </w:rPr>
        <w:t xml:space="preserve">Debe indicarse que la construcción de tanques </w:t>
      </w:r>
      <w:r w:rsidR="00486857" w:rsidRPr="006E6390">
        <w:rPr>
          <w:rFonts w:cs="Arial"/>
        </w:rPr>
        <w:t>cuenta con los</w:t>
      </w:r>
      <w:r w:rsidR="0057294D" w:rsidRPr="006E6390">
        <w:rPr>
          <w:rFonts w:cs="Arial"/>
        </w:rPr>
        <w:t xml:space="preserve"> </w:t>
      </w:r>
      <w:r w:rsidRPr="006E6390">
        <w:rPr>
          <w:rFonts w:cs="Arial"/>
        </w:rPr>
        <w:t xml:space="preserve">permisos municipales y de SETENA </w:t>
      </w:r>
      <w:r w:rsidR="00486857" w:rsidRPr="006E6390">
        <w:rPr>
          <w:rFonts w:cs="Arial"/>
        </w:rPr>
        <w:t>así como d</w:t>
      </w:r>
      <w:r w:rsidRPr="006E6390">
        <w:rPr>
          <w:rFonts w:cs="Arial"/>
        </w:rPr>
        <w:t xml:space="preserve">el </w:t>
      </w:r>
      <w:r w:rsidR="00486857" w:rsidRPr="006E6390">
        <w:rPr>
          <w:rFonts w:cs="Arial"/>
        </w:rPr>
        <w:t xml:space="preserve">refrendo </w:t>
      </w:r>
      <w:r w:rsidRPr="006E6390">
        <w:rPr>
          <w:rFonts w:cs="Arial"/>
        </w:rPr>
        <w:t>de los contratos por parte de la Contraloría General de la República.</w:t>
      </w:r>
    </w:p>
    <w:p w14:paraId="0815E3F0" w14:textId="77777777" w:rsidR="00725096" w:rsidRPr="006E6390" w:rsidRDefault="00725096" w:rsidP="00465C19">
      <w:pPr>
        <w:spacing w:after="0"/>
        <w:rPr>
          <w:rFonts w:cs="Arial"/>
        </w:rPr>
      </w:pPr>
    </w:p>
    <w:p w14:paraId="2C54378E" w14:textId="1F33AF49" w:rsidR="005B390E" w:rsidRDefault="008E3F0F" w:rsidP="00465C19">
      <w:pPr>
        <w:spacing w:after="0"/>
        <w:rPr>
          <w:rFonts w:cs="Arial"/>
        </w:rPr>
      </w:pPr>
      <w:r w:rsidRPr="006E6390">
        <w:rPr>
          <w:rFonts w:cs="Arial"/>
        </w:rPr>
        <w:t>Algunos de l</w:t>
      </w:r>
      <w:r w:rsidR="005B390E" w:rsidRPr="006E6390">
        <w:rPr>
          <w:rFonts w:cs="Arial"/>
        </w:rPr>
        <w:t xml:space="preserve">os proyectos </w:t>
      </w:r>
      <w:r w:rsidRPr="006E6390">
        <w:rPr>
          <w:rFonts w:cs="Arial"/>
        </w:rPr>
        <w:t>concluyeron en el año 2016 y 2017</w:t>
      </w:r>
      <w:r w:rsidR="005B390E" w:rsidRPr="006E6390">
        <w:rPr>
          <w:rFonts w:cs="Arial"/>
        </w:rPr>
        <w:t>.</w:t>
      </w:r>
      <w:r w:rsidR="00F24A01" w:rsidRPr="006E6390">
        <w:rPr>
          <w:rFonts w:cs="Arial"/>
        </w:rPr>
        <w:t xml:space="preserve"> </w:t>
      </w:r>
      <w:r w:rsidR="0041184F" w:rsidRPr="006E6390">
        <w:rPr>
          <w:rFonts w:cs="Arial"/>
        </w:rPr>
        <w:t>En la actualidad s</w:t>
      </w:r>
      <w:r w:rsidR="00F24A01" w:rsidRPr="006E6390">
        <w:rPr>
          <w:rFonts w:cs="Arial"/>
        </w:rPr>
        <w:t>e encuentran concluidos y operativos</w:t>
      </w:r>
      <w:r w:rsidRPr="006E6390">
        <w:rPr>
          <w:rFonts w:cs="Arial"/>
        </w:rPr>
        <w:t>,</w:t>
      </w:r>
      <w:r w:rsidR="00F24A01" w:rsidRPr="006E6390">
        <w:rPr>
          <w:rFonts w:cs="Arial"/>
        </w:rPr>
        <w:t xml:space="preserve"> la</w:t>
      </w:r>
      <w:r w:rsidR="001B7279" w:rsidRPr="006E6390">
        <w:rPr>
          <w:rFonts w:cs="Arial"/>
        </w:rPr>
        <w:t>s</w:t>
      </w:r>
      <w:r w:rsidR="00F24A01" w:rsidRPr="006E6390">
        <w:rPr>
          <w:rFonts w:cs="Arial"/>
        </w:rPr>
        <w:t xml:space="preserve"> esfera</w:t>
      </w:r>
      <w:r w:rsidR="001B7279" w:rsidRPr="006E6390">
        <w:rPr>
          <w:rFonts w:cs="Arial"/>
        </w:rPr>
        <w:t>s</w:t>
      </w:r>
      <w:r w:rsidR="00F24A01" w:rsidRPr="006E6390">
        <w:rPr>
          <w:rFonts w:cs="Arial"/>
        </w:rPr>
        <w:t xml:space="preserve"> </w:t>
      </w:r>
      <w:r w:rsidR="008F64EE" w:rsidRPr="006E6390">
        <w:rPr>
          <w:rFonts w:cs="Arial"/>
        </w:rPr>
        <w:t>YT-7711</w:t>
      </w:r>
      <w:r w:rsidR="001B7279" w:rsidRPr="006E6390">
        <w:rPr>
          <w:rFonts w:cs="Arial"/>
        </w:rPr>
        <w:t>, YT-7712, YT-7713</w:t>
      </w:r>
      <w:r w:rsidR="001C6BA8">
        <w:rPr>
          <w:rFonts w:cs="Arial"/>
        </w:rPr>
        <w:t>,</w:t>
      </w:r>
      <w:r w:rsidR="008F64EE" w:rsidRPr="006E6390">
        <w:rPr>
          <w:rFonts w:cs="Arial"/>
        </w:rPr>
        <w:t xml:space="preserve"> así como los seis Recipientes Cilíndricos Horizontales para almacenamiento de GLP. Los tanques </w:t>
      </w:r>
      <w:r w:rsidR="001B7279" w:rsidRPr="006E6390">
        <w:rPr>
          <w:rFonts w:cs="Arial"/>
        </w:rPr>
        <w:t>ubicados en l</w:t>
      </w:r>
      <w:r w:rsidR="00465C19">
        <w:rPr>
          <w:rFonts w:cs="Arial"/>
        </w:rPr>
        <w:t>a</w:t>
      </w:r>
      <w:r w:rsidR="001B7279" w:rsidRPr="006E6390">
        <w:rPr>
          <w:rFonts w:cs="Arial"/>
        </w:rPr>
        <w:t xml:space="preserve">s </w:t>
      </w:r>
      <w:r w:rsidR="00465C19">
        <w:rPr>
          <w:rFonts w:cs="Arial"/>
        </w:rPr>
        <w:t>terminal</w:t>
      </w:r>
      <w:r w:rsidR="001B7279" w:rsidRPr="006E6390">
        <w:rPr>
          <w:rFonts w:cs="Arial"/>
        </w:rPr>
        <w:t xml:space="preserve">es </w:t>
      </w:r>
      <w:r w:rsidR="008F64EE" w:rsidRPr="006E6390">
        <w:rPr>
          <w:rFonts w:cs="Arial"/>
        </w:rPr>
        <w:t xml:space="preserve">El Alto, La Garita y Barranca, </w:t>
      </w:r>
      <w:r w:rsidR="001B7279" w:rsidRPr="006E6390">
        <w:rPr>
          <w:rFonts w:cs="Arial"/>
        </w:rPr>
        <w:t>iniciaron operaciones en 2016, mientras que los de Moín</w:t>
      </w:r>
      <w:r w:rsidR="00EE7A0F" w:rsidRPr="006E6390">
        <w:rPr>
          <w:rFonts w:cs="Arial"/>
        </w:rPr>
        <w:t xml:space="preserve"> </w:t>
      </w:r>
      <w:r w:rsidR="00C87F0B" w:rsidRPr="006E6390">
        <w:rPr>
          <w:rFonts w:cs="Arial"/>
        </w:rPr>
        <w:t>debido a que se encuentran en resolución contractual</w:t>
      </w:r>
      <w:r w:rsidR="008F3119" w:rsidRPr="006E6390">
        <w:rPr>
          <w:rFonts w:cs="Arial"/>
        </w:rPr>
        <w:t xml:space="preserve"> no han permitido su puesta en marcha</w:t>
      </w:r>
      <w:r w:rsidR="00C87F0B" w:rsidRPr="006E6390">
        <w:rPr>
          <w:rFonts w:cs="Arial"/>
        </w:rPr>
        <w:t xml:space="preserve"> (presentan un avance del </w:t>
      </w:r>
      <w:r w:rsidR="00F45D01" w:rsidRPr="006E6390">
        <w:rPr>
          <w:rFonts w:cs="Arial"/>
        </w:rPr>
        <w:t>86,5</w:t>
      </w:r>
      <w:r w:rsidR="00C87F0B" w:rsidRPr="006E6390">
        <w:rPr>
          <w:rFonts w:cs="Arial"/>
        </w:rPr>
        <w:t>%)</w:t>
      </w:r>
      <w:r w:rsidR="008F64EE" w:rsidRPr="006E6390">
        <w:rPr>
          <w:rFonts w:cs="Arial"/>
        </w:rPr>
        <w:t>.</w:t>
      </w:r>
      <w:r w:rsidR="00725096">
        <w:rPr>
          <w:rFonts w:cs="Arial"/>
        </w:rPr>
        <w:t xml:space="preserve"> En 2022</w:t>
      </w:r>
      <w:r w:rsidR="00465C19">
        <w:rPr>
          <w:rFonts w:cs="Arial"/>
        </w:rPr>
        <w:t>,</w:t>
      </w:r>
      <w:r w:rsidR="00725096">
        <w:rPr>
          <w:rFonts w:cs="Arial"/>
        </w:rPr>
        <w:t xml:space="preserve"> se logró poner en operación el tanque YT-7127 que se destinará a gasolina Súper</w:t>
      </w:r>
      <w:r w:rsidR="00465C19">
        <w:rPr>
          <w:rFonts w:cs="Arial"/>
        </w:rPr>
        <w:t xml:space="preserve">, las obras </w:t>
      </w:r>
      <w:r w:rsidR="00725096">
        <w:rPr>
          <w:rFonts w:cs="Arial"/>
        </w:rPr>
        <w:t xml:space="preserve">fueron </w:t>
      </w:r>
      <w:r w:rsidR="00465C19">
        <w:rPr>
          <w:rFonts w:cs="Arial"/>
        </w:rPr>
        <w:t>concluidas con</w:t>
      </w:r>
      <w:r w:rsidR="00725096">
        <w:rPr>
          <w:rFonts w:cs="Arial"/>
        </w:rPr>
        <w:t xml:space="preserve"> personal de la empresa.</w:t>
      </w:r>
    </w:p>
    <w:p w14:paraId="7C09B7EA" w14:textId="77777777" w:rsidR="00725096" w:rsidRPr="006E6390" w:rsidRDefault="00725096" w:rsidP="004A26B9">
      <w:pPr>
        <w:rPr>
          <w:rFonts w:cs="Arial"/>
        </w:rPr>
      </w:pPr>
    </w:p>
    <w:p w14:paraId="35E41FDF" w14:textId="77777777" w:rsidR="005B390E" w:rsidRPr="006E6390" w:rsidRDefault="005B390E" w:rsidP="002331C3">
      <w:pPr>
        <w:pStyle w:val="Ttulo4"/>
        <w:tabs>
          <w:tab w:val="left" w:pos="9270"/>
        </w:tabs>
        <w:rPr>
          <w:rFonts w:cs="Arial"/>
        </w:rPr>
      </w:pPr>
      <w:bookmarkStart w:id="39" w:name="_Hlk114148847"/>
      <w:r w:rsidRPr="006E6390">
        <w:rPr>
          <w:rFonts w:cs="Arial"/>
        </w:rPr>
        <w:t xml:space="preserve">Ampliación de la Terminal Portuaria Petrolera del Atlántico </w:t>
      </w:r>
    </w:p>
    <w:bookmarkEnd w:id="39"/>
    <w:p w14:paraId="0BA78D53" w14:textId="1133EB54" w:rsidR="005B390E" w:rsidRDefault="005B390E" w:rsidP="008E2266">
      <w:pPr>
        <w:spacing w:after="0"/>
        <w:rPr>
          <w:rFonts w:cs="Arial"/>
        </w:rPr>
      </w:pPr>
      <w:r w:rsidRPr="006E6390">
        <w:rPr>
          <w:rFonts w:cs="Arial"/>
        </w:rPr>
        <w:t xml:space="preserve">El proyecto </w:t>
      </w:r>
      <w:r w:rsidR="009950FB" w:rsidRPr="006E6390">
        <w:rPr>
          <w:rFonts w:cs="Arial"/>
        </w:rPr>
        <w:t xml:space="preserve">consistió </w:t>
      </w:r>
      <w:r w:rsidRPr="006E6390">
        <w:rPr>
          <w:rFonts w:cs="Arial"/>
        </w:rPr>
        <w:t>en la construcción de un puerto tipo duques de alba, con capacidad para atender barcos de hasta 80</w:t>
      </w:r>
      <w:r w:rsidR="00456461" w:rsidRPr="006E6390">
        <w:rPr>
          <w:rFonts w:cs="Arial"/>
        </w:rPr>
        <w:t xml:space="preserve"> </w:t>
      </w:r>
      <w:r w:rsidRPr="006E6390">
        <w:rPr>
          <w:rFonts w:cs="Arial"/>
        </w:rPr>
        <w:t xml:space="preserve">000 toneladas de peso muerto y considera la ampliación del </w:t>
      </w:r>
      <w:r w:rsidRPr="006E6390">
        <w:rPr>
          <w:rFonts w:cs="Arial"/>
        </w:rPr>
        <w:lastRenderedPageBreak/>
        <w:t>actual rompeolas, dragado de la zona de atraque, la dársena de maniobras y el canal de acceso, así como los sistemas complementarios de seguridad, instrumentación y control.</w:t>
      </w:r>
    </w:p>
    <w:p w14:paraId="0FD7BEB9" w14:textId="77777777" w:rsidR="00A44958" w:rsidRPr="006E6390" w:rsidRDefault="00A44958" w:rsidP="008E2266">
      <w:pPr>
        <w:spacing w:after="0"/>
        <w:rPr>
          <w:rFonts w:cs="Arial"/>
        </w:rPr>
      </w:pPr>
    </w:p>
    <w:p w14:paraId="35E55E6D" w14:textId="1CD84BE7" w:rsidR="005B390E" w:rsidRDefault="009950FB" w:rsidP="008E2266">
      <w:pPr>
        <w:spacing w:after="0"/>
        <w:rPr>
          <w:rFonts w:cs="Arial"/>
        </w:rPr>
      </w:pPr>
      <w:r w:rsidRPr="006E6390">
        <w:rPr>
          <w:rFonts w:cs="Arial"/>
        </w:rPr>
        <w:t>El Terminal 5.</w:t>
      </w:r>
      <w:r w:rsidR="00AA03F5" w:rsidRPr="006E6390">
        <w:rPr>
          <w:rFonts w:cs="Arial"/>
        </w:rPr>
        <w:t>0</w:t>
      </w:r>
      <w:r w:rsidR="005B390E" w:rsidRPr="006E6390">
        <w:rPr>
          <w:rFonts w:cs="Arial"/>
        </w:rPr>
        <w:t xml:space="preserve"> </w:t>
      </w:r>
      <w:r w:rsidRPr="006E6390">
        <w:rPr>
          <w:rFonts w:cs="Arial"/>
        </w:rPr>
        <w:t>reduce</w:t>
      </w:r>
      <w:r w:rsidR="005B390E" w:rsidRPr="006E6390">
        <w:rPr>
          <w:rFonts w:cs="Arial"/>
        </w:rPr>
        <w:t xml:space="preserve"> los costos operativos de la importación, al eliminarse el flete muerto que se paga por traer embarques menores que la capacidad de los barcos, debido a las limitaciones de calado del puerto actual. El nuevo muelle </w:t>
      </w:r>
      <w:r w:rsidRPr="006E6390">
        <w:rPr>
          <w:rFonts w:cs="Arial"/>
        </w:rPr>
        <w:t xml:space="preserve">permite </w:t>
      </w:r>
      <w:r w:rsidR="005B390E" w:rsidRPr="006E6390">
        <w:rPr>
          <w:rFonts w:cs="Arial"/>
        </w:rPr>
        <w:t>descongestionar las instalaciones actuales</w:t>
      </w:r>
      <w:r w:rsidRPr="006E6390">
        <w:rPr>
          <w:rFonts w:cs="Arial"/>
        </w:rPr>
        <w:t xml:space="preserve"> (terminal 5.1)</w:t>
      </w:r>
      <w:r w:rsidR="005B390E" w:rsidRPr="006E6390">
        <w:rPr>
          <w:rFonts w:cs="Arial"/>
        </w:rPr>
        <w:t>, debido a que se podrán importar embarques de mayor tamaño, reducir el número de barcos por año y, por lo tanto, disminuir las multas por debido a los tiempos de espera de los buques que descargan en Moín.</w:t>
      </w:r>
    </w:p>
    <w:p w14:paraId="4BE9E6B6" w14:textId="77777777" w:rsidR="00A44958" w:rsidRPr="006E6390" w:rsidRDefault="00A44958" w:rsidP="008E2266">
      <w:pPr>
        <w:spacing w:after="0"/>
        <w:rPr>
          <w:rFonts w:cs="Arial"/>
        </w:rPr>
      </w:pPr>
    </w:p>
    <w:p w14:paraId="3B645B0F" w14:textId="203C3034" w:rsidR="008A24ED" w:rsidRDefault="005B390E" w:rsidP="008E2266">
      <w:pPr>
        <w:spacing w:after="0"/>
        <w:rPr>
          <w:rFonts w:cs="Arial"/>
        </w:rPr>
      </w:pPr>
      <w:r w:rsidRPr="006E6390">
        <w:rPr>
          <w:rFonts w:cs="Arial"/>
        </w:rPr>
        <w:t>Con el nuevo muelle también se tendrá una mayor flexibilidad operativa para la atención de los barcos,</w:t>
      </w:r>
      <w:r w:rsidR="009950FB" w:rsidRPr="006E6390">
        <w:rPr>
          <w:rFonts w:cs="Arial"/>
        </w:rPr>
        <w:t xml:space="preserve"> el Terminal 5.0 se dedicará a la descarga de diésel, gasolinas, Jet Fuel y Búnker, mientras que el 5.1 quedará especializado en asfaltos y GLP.</w:t>
      </w:r>
      <w:r w:rsidR="008A24ED" w:rsidRPr="006E6390">
        <w:rPr>
          <w:rFonts w:cs="Arial"/>
        </w:rPr>
        <w:t xml:space="preserve"> </w:t>
      </w:r>
    </w:p>
    <w:p w14:paraId="4011F256" w14:textId="77777777" w:rsidR="00A44958" w:rsidRPr="006E6390" w:rsidRDefault="00A44958" w:rsidP="008E2266">
      <w:pPr>
        <w:spacing w:after="0"/>
        <w:rPr>
          <w:rFonts w:cs="Arial"/>
        </w:rPr>
      </w:pPr>
    </w:p>
    <w:p w14:paraId="140611AA" w14:textId="31B5EF27" w:rsidR="00F77EB8" w:rsidRPr="006E6390" w:rsidRDefault="00465C19" w:rsidP="004A26B9">
      <w:pPr>
        <w:rPr>
          <w:rFonts w:cs="Arial"/>
        </w:rPr>
      </w:pPr>
      <w:r>
        <w:rPr>
          <w:rFonts w:cs="Arial"/>
        </w:rPr>
        <w:t>La</w:t>
      </w:r>
      <w:r w:rsidRPr="006E6390">
        <w:rPr>
          <w:rFonts w:cs="Arial"/>
        </w:rPr>
        <w:t xml:space="preserve"> </w:t>
      </w:r>
      <w:r w:rsidR="00733FB7" w:rsidRPr="006E6390">
        <w:rPr>
          <w:rFonts w:cs="Arial"/>
        </w:rPr>
        <w:t>Terminal 5.0</w:t>
      </w:r>
      <w:r w:rsidR="005224C6" w:rsidRPr="006E6390">
        <w:rPr>
          <w:rFonts w:cs="Arial"/>
        </w:rPr>
        <w:t xml:space="preserve"> se encuentra operativ</w:t>
      </w:r>
      <w:r>
        <w:rPr>
          <w:rFonts w:cs="Arial"/>
        </w:rPr>
        <w:t>a</w:t>
      </w:r>
      <w:r w:rsidR="005224C6" w:rsidRPr="006E6390">
        <w:rPr>
          <w:rFonts w:cs="Arial"/>
        </w:rPr>
        <w:t xml:space="preserve"> desde octubre de 2020 y se capitalizó en noviembre de </w:t>
      </w:r>
      <w:r w:rsidR="001C6BA8">
        <w:rPr>
          <w:rFonts w:cs="Arial"/>
        </w:rPr>
        <w:t>ese mismo año</w:t>
      </w:r>
      <w:r w:rsidR="005224C6" w:rsidRPr="006E6390">
        <w:rPr>
          <w:rFonts w:cs="Arial"/>
        </w:rPr>
        <w:t>.</w:t>
      </w:r>
    </w:p>
    <w:p w14:paraId="47E0579C" w14:textId="77777777" w:rsidR="0083718B" w:rsidRPr="00C237C8" w:rsidRDefault="0083718B" w:rsidP="00470921">
      <w:pPr>
        <w:pStyle w:val="Cuadro"/>
      </w:pPr>
      <w:r w:rsidRPr="00C237C8">
        <w:t>Cuadro N°1</w:t>
      </w:r>
    </w:p>
    <w:p w14:paraId="048DE600" w14:textId="77777777" w:rsidR="00B908EF" w:rsidRPr="00C237C8" w:rsidRDefault="00B908EF" w:rsidP="00470921">
      <w:pPr>
        <w:pStyle w:val="Cuadro"/>
      </w:pPr>
      <w:r w:rsidRPr="00C237C8">
        <w:t>Detalle y distribución de obras financiadas 2012-2018 (millones de colones)</w:t>
      </w:r>
    </w:p>
    <w:tbl>
      <w:tblPr>
        <w:tblStyle w:val="Tablanormal1"/>
        <w:tblW w:w="5031" w:type="pct"/>
        <w:tblLook w:val="04A0" w:firstRow="1" w:lastRow="0" w:firstColumn="1" w:lastColumn="0" w:noHBand="0" w:noVBand="1"/>
      </w:tblPr>
      <w:tblGrid>
        <w:gridCol w:w="4983"/>
        <w:gridCol w:w="1439"/>
        <w:gridCol w:w="1321"/>
        <w:gridCol w:w="1282"/>
      </w:tblGrid>
      <w:tr w:rsidR="0083718B" w:rsidRPr="006E6390" w14:paraId="576252B3" w14:textId="77777777" w:rsidTr="00455E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52BD37CF" w14:textId="77777777" w:rsidR="0083718B" w:rsidRPr="006E6390" w:rsidRDefault="0083718B" w:rsidP="0083718B">
            <w:pPr>
              <w:pStyle w:val="Tablas"/>
              <w:tabs>
                <w:tab w:val="left" w:pos="9270"/>
              </w:tabs>
              <w:rPr>
                <w:rFonts w:cs="Arial"/>
                <w:bCs w:val="0"/>
                <w:sz w:val="20"/>
                <w:szCs w:val="20"/>
              </w:rPr>
            </w:pPr>
            <w:r w:rsidRPr="006E6390">
              <w:rPr>
                <w:rFonts w:cs="Arial"/>
                <w:bCs w:val="0"/>
                <w:sz w:val="20"/>
                <w:szCs w:val="20"/>
              </w:rPr>
              <w:t> Proyecto</w:t>
            </w:r>
          </w:p>
        </w:tc>
        <w:tc>
          <w:tcPr>
            <w:tcW w:w="797" w:type="pct"/>
          </w:tcPr>
          <w:p w14:paraId="4012E7AD" w14:textId="77777777"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Recursos propios</w:t>
            </w:r>
          </w:p>
        </w:tc>
        <w:tc>
          <w:tcPr>
            <w:tcW w:w="732" w:type="pct"/>
          </w:tcPr>
          <w:p w14:paraId="304EABC5" w14:textId="77777777"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Bonos</w:t>
            </w:r>
          </w:p>
        </w:tc>
        <w:tc>
          <w:tcPr>
            <w:tcW w:w="710" w:type="pct"/>
          </w:tcPr>
          <w:p w14:paraId="552068D3" w14:textId="77777777" w:rsidR="0083718B" w:rsidRPr="006E6390" w:rsidRDefault="0083718B" w:rsidP="0083718B">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Total</w:t>
            </w:r>
          </w:p>
        </w:tc>
      </w:tr>
      <w:tr w:rsidR="00D26454" w:rsidRPr="006E6390" w14:paraId="7763B411"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tcPr>
          <w:p w14:paraId="720B7404" w14:textId="77777777" w:rsidR="00D26454" w:rsidRPr="006E6390" w:rsidRDefault="00D26454" w:rsidP="0083718B">
            <w:pPr>
              <w:pStyle w:val="Tablas"/>
              <w:tabs>
                <w:tab w:val="left" w:pos="9270"/>
              </w:tabs>
              <w:rPr>
                <w:rFonts w:cs="Arial"/>
                <w:b w:val="0"/>
                <w:bCs w:val="0"/>
                <w:sz w:val="20"/>
                <w:szCs w:val="20"/>
              </w:rPr>
            </w:pPr>
            <w:r w:rsidRPr="006E6390">
              <w:rPr>
                <w:rFonts w:cs="Arial"/>
                <w:b w:val="0"/>
                <w:bCs w:val="0"/>
                <w:sz w:val="20"/>
                <w:szCs w:val="20"/>
              </w:rPr>
              <w:t>1250-313 Terminal Atlántico</w:t>
            </w:r>
          </w:p>
        </w:tc>
        <w:tc>
          <w:tcPr>
            <w:tcW w:w="797" w:type="pct"/>
          </w:tcPr>
          <w:p w14:paraId="3C6EB93C" w14:textId="77777777"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26 762</w:t>
            </w:r>
          </w:p>
        </w:tc>
        <w:tc>
          <w:tcPr>
            <w:tcW w:w="732" w:type="pct"/>
          </w:tcPr>
          <w:p w14:paraId="7EC50F54" w14:textId="77777777"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32 148</w:t>
            </w:r>
          </w:p>
        </w:tc>
        <w:tc>
          <w:tcPr>
            <w:tcW w:w="710" w:type="pct"/>
          </w:tcPr>
          <w:p w14:paraId="68EA163B" w14:textId="77777777" w:rsidR="00D26454" w:rsidRPr="006E6390" w:rsidRDefault="00D26454" w:rsidP="008371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58 910</w:t>
            </w:r>
          </w:p>
        </w:tc>
      </w:tr>
      <w:tr w:rsidR="00D26454" w:rsidRPr="006E6390" w14:paraId="2119FB3B"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tcPr>
          <w:p w14:paraId="46FFD9D3" w14:textId="77777777" w:rsidR="00D26454" w:rsidRPr="006E6390" w:rsidRDefault="00D26454" w:rsidP="00D26454">
            <w:pPr>
              <w:pStyle w:val="Tablas"/>
              <w:tabs>
                <w:tab w:val="left" w:pos="9270"/>
              </w:tabs>
              <w:rPr>
                <w:rFonts w:cs="Arial"/>
                <w:b w:val="0"/>
                <w:bCs w:val="0"/>
                <w:sz w:val="20"/>
                <w:szCs w:val="20"/>
              </w:rPr>
            </w:pPr>
            <w:r w:rsidRPr="006E6390">
              <w:rPr>
                <w:rFonts w:cs="Arial"/>
                <w:b w:val="0"/>
                <w:bCs w:val="0"/>
                <w:sz w:val="20"/>
                <w:szCs w:val="20"/>
              </w:rPr>
              <w:t>1250-514 SAGAS</w:t>
            </w:r>
          </w:p>
        </w:tc>
        <w:tc>
          <w:tcPr>
            <w:tcW w:w="797" w:type="pct"/>
          </w:tcPr>
          <w:p w14:paraId="605451FC" w14:textId="77777777"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23 027</w:t>
            </w:r>
          </w:p>
        </w:tc>
        <w:tc>
          <w:tcPr>
            <w:tcW w:w="732" w:type="pct"/>
          </w:tcPr>
          <w:p w14:paraId="1DDA24B0" w14:textId="77777777"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 xml:space="preserve">2 922 </w:t>
            </w:r>
          </w:p>
        </w:tc>
        <w:tc>
          <w:tcPr>
            <w:tcW w:w="710" w:type="pct"/>
          </w:tcPr>
          <w:p w14:paraId="54BE3C3E" w14:textId="77777777" w:rsidR="00D26454" w:rsidRPr="006E6390" w:rsidRDefault="00D26454"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36 318</w:t>
            </w:r>
          </w:p>
        </w:tc>
      </w:tr>
      <w:tr w:rsidR="00B908EF" w:rsidRPr="006E6390" w14:paraId="69928051"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tcPr>
          <w:p w14:paraId="7CC7BEB4" w14:textId="77777777" w:rsidR="00B908EF" w:rsidRPr="006E6390" w:rsidRDefault="00B908EF" w:rsidP="00D26454">
            <w:pPr>
              <w:pStyle w:val="Tablas"/>
              <w:tabs>
                <w:tab w:val="left" w:pos="9270"/>
              </w:tabs>
              <w:rPr>
                <w:rFonts w:cs="Arial"/>
                <w:b w:val="0"/>
                <w:bCs w:val="0"/>
                <w:sz w:val="20"/>
                <w:szCs w:val="20"/>
              </w:rPr>
            </w:pPr>
            <w:r w:rsidRPr="006E6390">
              <w:rPr>
                <w:rFonts w:cs="Arial"/>
                <w:b w:val="0"/>
                <w:bCs w:val="0"/>
                <w:sz w:val="20"/>
                <w:szCs w:val="20"/>
              </w:rPr>
              <w:t>1250-531 Tanques en terminales de distribución</w:t>
            </w:r>
          </w:p>
        </w:tc>
        <w:tc>
          <w:tcPr>
            <w:tcW w:w="797" w:type="pct"/>
          </w:tcPr>
          <w:p w14:paraId="15EBE90B" w14:textId="77777777"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6 548</w:t>
            </w:r>
          </w:p>
        </w:tc>
        <w:tc>
          <w:tcPr>
            <w:tcW w:w="732" w:type="pct"/>
          </w:tcPr>
          <w:p w14:paraId="165802F8" w14:textId="77777777"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14 482</w:t>
            </w:r>
          </w:p>
        </w:tc>
        <w:tc>
          <w:tcPr>
            <w:tcW w:w="710" w:type="pct"/>
          </w:tcPr>
          <w:p w14:paraId="4976B1DE" w14:textId="77777777" w:rsidR="00B908EF" w:rsidRPr="006E6390" w:rsidRDefault="00B908EF"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21 030</w:t>
            </w:r>
          </w:p>
        </w:tc>
      </w:tr>
      <w:tr w:rsidR="00B908EF" w:rsidRPr="006E6390" w14:paraId="0BDBEBB9"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tcPr>
          <w:p w14:paraId="34518821" w14:textId="77777777" w:rsidR="00B908EF" w:rsidRPr="006E6390" w:rsidRDefault="00B908EF" w:rsidP="00D26454">
            <w:pPr>
              <w:pStyle w:val="Tablas"/>
              <w:tabs>
                <w:tab w:val="left" w:pos="9270"/>
              </w:tabs>
              <w:rPr>
                <w:rFonts w:cs="Arial"/>
                <w:b w:val="0"/>
                <w:bCs w:val="0"/>
                <w:sz w:val="20"/>
                <w:szCs w:val="20"/>
              </w:rPr>
            </w:pPr>
            <w:r w:rsidRPr="006E6390">
              <w:rPr>
                <w:rFonts w:cs="Arial"/>
                <w:b w:val="0"/>
                <w:bCs w:val="0"/>
                <w:sz w:val="20"/>
                <w:szCs w:val="20"/>
              </w:rPr>
              <w:t>1250-532 Tanques búnker y asfalto en Moín</w:t>
            </w:r>
          </w:p>
        </w:tc>
        <w:tc>
          <w:tcPr>
            <w:tcW w:w="797" w:type="pct"/>
          </w:tcPr>
          <w:p w14:paraId="36E038A0" w14:textId="77777777"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2 516</w:t>
            </w:r>
          </w:p>
        </w:tc>
        <w:tc>
          <w:tcPr>
            <w:tcW w:w="732" w:type="pct"/>
          </w:tcPr>
          <w:p w14:paraId="52E91569" w14:textId="77777777"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5 572</w:t>
            </w:r>
          </w:p>
        </w:tc>
        <w:tc>
          <w:tcPr>
            <w:tcW w:w="710" w:type="pct"/>
          </w:tcPr>
          <w:p w14:paraId="52E73B54" w14:textId="77777777" w:rsidR="00B908EF"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8 088</w:t>
            </w:r>
          </w:p>
        </w:tc>
      </w:tr>
      <w:tr w:rsidR="00D26454" w:rsidRPr="006E6390" w14:paraId="64B68FAF" w14:textId="77777777" w:rsidTr="00455E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0EEEC265" w14:textId="77777777" w:rsidR="00D26454" w:rsidRPr="006E6390" w:rsidRDefault="00D26454" w:rsidP="00D26454">
            <w:pPr>
              <w:pStyle w:val="Tablas"/>
              <w:tabs>
                <w:tab w:val="left" w:pos="9270"/>
              </w:tabs>
              <w:rPr>
                <w:rFonts w:cs="Arial"/>
                <w:b w:val="0"/>
                <w:bCs w:val="0"/>
                <w:sz w:val="20"/>
                <w:szCs w:val="20"/>
              </w:rPr>
            </w:pPr>
            <w:r w:rsidRPr="006E6390">
              <w:rPr>
                <w:rFonts w:cs="Arial"/>
                <w:b w:val="0"/>
                <w:bCs w:val="0"/>
                <w:sz w:val="20"/>
                <w:szCs w:val="20"/>
              </w:rPr>
              <w:t>1250-558 Tanques en Terminal Moín</w:t>
            </w:r>
          </w:p>
        </w:tc>
        <w:tc>
          <w:tcPr>
            <w:tcW w:w="797" w:type="pct"/>
          </w:tcPr>
          <w:p w14:paraId="78A45A48" w14:textId="77777777"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6E6390">
              <w:rPr>
                <w:rFonts w:cs="Arial"/>
                <w:sz w:val="20"/>
                <w:szCs w:val="20"/>
              </w:rPr>
              <w:t>8 155</w:t>
            </w:r>
          </w:p>
        </w:tc>
        <w:tc>
          <w:tcPr>
            <w:tcW w:w="732" w:type="pct"/>
          </w:tcPr>
          <w:p w14:paraId="542861D5" w14:textId="77777777"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 xml:space="preserve">12 994 </w:t>
            </w:r>
          </w:p>
        </w:tc>
        <w:tc>
          <w:tcPr>
            <w:tcW w:w="710" w:type="pct"/>
          </w:tcPr>
          <w:p w14:paraId="2C3E14F4" w14:textId="77777777" w:rsidR="00D26454" w:rsidRPr="006E6390" w:rsidRDefault="00D26454" w:rsidP="00D26454">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21 150</w:t>
            </w:r>
          </w:p>
        </w:tc>
      </w:tr>
      <w:tr w:rsidR="00D26454" w:rsidRPr="006E6390" w14:paraId="590A6654" w14:textId="77777777" w:rsidTr="00455EF6">
        <w:trPr>
          <w:trHeight w:val="340"/>
        </w:trPr>
        <w:tc>
          <w:tcPr>
            <w:cnfStyle w:val="001000000000" w:firstRow="0" w:lastRow="0" w:firstColumn="1" w:lastColumn="0" w:oddVBand="0" w:evenVBand="0" w:oddHBand="0" w:evenHBand="0" w:firstRowFirstColumn="0" w:firstRowLastColumn="0" w:lastRowFirstColumn="0" w:lastRowLastColumn="0"/>
            <w:tcW w:w="2761" w:type="pct"/>
            <w:hideMark/>
          </w:tcPr>
          <w:p w14:paraId="4AB30B82" w14:textId="77777777" w:rsidR="00D26454" w:rsidRPr="006E6390" w:rsidRDefault="00B908EF" w:rsidP="00AA03F5">
            <w:pPr>
              <w:pStyle w:val="Tablas"/>
              <w:tabs>
                <w:tab w:val="left" w:pos="9270"/>
              </w:tabs>
              <w:jc w:val="right"/>
              <w:rPr>
                <w:rFonts w:cs="Arial"/>
                <w:b w:val="0"/>
                <w:bCs w:val="0"/>
                <w:sz w:val="20"/>
                <w:szCs w:val="20"/>
              </w:rPr>
            </w:pPr>
            <w:r w:rsidRPr="006E6390">
              <w:rPr>
                <w:rFonts w:cs="Arial"/>
                <w:b w:val="0"/>
                <w:bCs w:val="0"/>
                <w:sz w:val="20"/>
                <w:szCs w:val="20"/>
              </w:rPr>
              <w:t>Totales</w:t>
            </w:r>
          </w:p>
        </w:tc>
        <w:tc>
          <w:tcPr>
            <w:tcW w:w="797" w:type="pct"/>
          </w:tcPr>
          <w:p w14:paraId="51CD5962" w14:textId="77777777"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highlight w:val="yellow"/>
              </w:rPr>
            </w:pPr>
            <w:r w:rsidRPr="006E6390">
              <w:rPr>
                <w:rFonts w:cs="Arial"/>
                <w:b/>
                <w:bCs/>
                <w:sz w:val="20"/>
                <w:szCs w:val="20"/>
              </w:rPr>
              <w:t>67 008</w:t>
            </w:r>
          </w:p>
        </w:tc>
        <w:tc>
          <w:tcPr>
            <w:tcW w:w="732" w:type="pct"/>
          </w:tcPr>
          <w:p w14:paraId="4DEAF8AA" w14:textId="77777777"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68 118</w:t>
            </w:r>
          </w:p>
        </w:tc>
        <w:tc>
          <w:tcPr>
            <w:tcW w:w="710" w:type="pct"/>
          </w:tcPr>
          <w:p w14:paraId="4A527975" w14:textId="77777777" w:rsidR="00D26454" w:rsidRPr="006E6390" w:rsidRDefault="00B908EF" w:rsidP="00D2645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6390">
              <w:rPr>
                <w:rFonts w:cs="Arial"/>
                <w:b/>
                <w:bCs/>
                <w:sz w:val="20"/>
                <w:szCs w:val="20"/>
              </w:rPr>
              <w:t>145 495</w:t>
            </w:r>
          </w:p>
        </w:tc>
      </w:tr>
    </w:tbl>
    <w:p w14:paraId="7F0482C6" w14:textId="77777777" w:rsidR="00E61240" w:rsidRPr="00093E94" w:rsidRDefault="0083718B">
      <w:pPr>
        <w:rPr>
          <w:rFonts w:cs="Arial"/>
          <w:sz w:val="16"/>
          <w:szCs w:val="16"/>
        </w:rPr>
      </w:pPr>
      <w:r w:rsidRPr="00093E94">
        <w:rPr>
          <w:rFonts w:cs="Arial"/>
          <w:sz w:val="16"/>
          <w:szCs w:val="16"/>
          <w:lang w:eastAsia="es-MX"/>
        </w:rPr>
        <w:t xml:space="preserve">Nota: </w:t>
      </w:r>
      <w:r w:rsidR="00B908EF" w:rsidRPr="00093E94">
        <w:rPr>
          <w:rFonts w:cs="Arial"/>
          <w:sz w:val="16"/>
          <w:szCs w:val="16"/>
        </w:rPr>
        <w:t>En el caso de SAGAS, se invirtieron ₡10 370 millones provenientes de la operación de crédito con BNP Paribas</w:t>
      </w:r>
      <w:r w:rsidR="005B390E" w:rsidRPr="00093E94">
        <w:rPr>
          <w:rFonts w:cs="Arial"/>
          <w:sz w:val="16"/>
          <w:szCs w:val="16"/>
        </w:rPr>
        <w:t>.</w:t>
      </w:r>
    </w:p>
    <w:p w14:paraId="6B19D319" w14:textId="7BD8E898" w:rsidR="005B390E" w:rsidRPr="006E6390" w:rsidRDefault="005B390E" w:rsidP="004A26B9">
      <w:pPr>
        <w:rPr>
          <w:rFonts w:cs="Arial"/>
        </w:rPr>
      </w:pPr>
      <w:r w:rsidRPr="006E6390">
        <w:rPr>
          <w:rFonts w:cs="Arial"/>
        </w:rPr>
        <w:t xml:space="preserve">El financiamiento de los proyectos de inversión antes descritos </w:t>
      </w:r>
      <w:r w:rsidR="00B0078B" w:rsidRPr="006E6390">
        <w:rPr>
          <w:rFonts w:cs="Arial"/>
        </w:rPr>
        <w:t>requirió</w:t>
      </w:r>
      <w:r w:rsidRPr="006E6390">
        <w:rPr>
          <w:rFonts w:cs="Arial"/>
        </w:rPr>
        <w:t xml:space="preserve"> la autorización del MIDEPLAN, BCCR y el Ministerio de Hacienda. Dichas autorizaciones fueron aprobadas mediante los siguientes acuerdos</w:t>
      </w:r>
      <w:r w:rsidR="00B0078B" w:rsidRPr="006E6390">
        <w:rPr>
          <w:rFonts w:cs="Arial"/>
        </w:rPr>
        <w:t>,</w:t>
      </w:r>
      <w:r w:rsidR="00501064" w:rsidRPr="006E6390">
        <w:rPr>
          <w:rFonts w:cs="Arial"/>
        </w:rPr>
        <w:t xml:space="preserve"> que se encuentran en el anexo 2</w:t>
      </w:r>
      <w:r w:rsidRPr="006E6390">
        <w:rPr>
          <w:rFonts w:cs="Arial"/>
        </w:rPr>
        <w:t xml:space="preserve">: </w:t>
      </w:r>
    </w:p>
    <w:p w14:paraId="58C458F2" w14:textId="77777777" w:rsidR="005B390E" w:rsidRPr="006E6390" w:rsidRDefault="005B390E" w:rsidP="00B0078B">
      <w:pPr>
        <w:pStyle w:val="Prrafodelista"/>
        <w:numPr>
          <w:ilvl w:val="0"/>
          <w:numId w:val="13"/>
        </w:numPr>
        <w:spacing w:after="120"/>
        <w:ind w:left="357" w:hanging="357"/>
        <w:contextualSpacing w:val="0"/>
        <w:rPr>
          <w:rFonts w:cs="Arial"/>
        </w:rPr>
      </w:pPr>
      <w:r w:rsidRPr="006E6390">
        <w:rPr>
          <w:rFonts w:cs="Arial"/>
        </w:rPr>
        <w:t>DM -</w:t>
      </w:r>
      <w:r w:rsidR="005C318E" w:rsidRPr="006E6390">
        <w:rPr>
          <w:rFonts w:cs="Arial"/>
        </w:rPr>
        <w:t>354</w:t>
      </w:r>
      <w:r w:rsidRPr="006E6390">
        <w:rPr>
          <w:rFonts w:cs="Arial"/>
        </w:rPr>
        <w:t>-2011 MINAET</w:t>
      </w:r>
    </w:p>
    <w:p w14:paraId="7F952748" w14:textId="77777777" w:rsidR="005B390E" w:rsidRPr="006E6390" w:rsidRDefault="005B390E" w:rsidP="00B0078B">
      <w:pPr>
        <w:pStyle w:val="Prrafodelista"/>
        <w:numPr>
          <w:ilvl w:val="0"/>
          <w:numId w:val="13"/>
        </w:numPr>
        <w:spacing w:after="120"/>
        <w:ind w:left="357" w:hanging="357"/>
        <w:contextualSpacing w:val="0"/>
        <w:rPr>
          <w:rFonts w:cs="Arial"/>
        </w:rPr>
      </w:pPr>
      <w:r w:rsidRPr="006E6390">
        <w:rPr>
          <w:rFonts w:cs="Arial"/>
        </w:rPr>
        <w:t>DM-609-11 MIDEPLAN</w:t>
      </w:r>
    </w:p>
    <w:p w14:paraId="18110087" w14:textId="77777777" w:rsidR="005B390E" w:rsidRPr="006E6390" w:rsidRDefault="005B390E" w:rsidP="00B0078B">
      <w:pPr>
        <w:pStyle w:val="Prrafodelista"/>
        <w:numPr>
          <w:ilvl w:val="0"/>
          <w:numId w:val="13"/>
        </w:numPr>
        <w:spacing w:after="120"/>
        <w:ind w:left="357" w:hanging="357"/>
        <w:contextualSpacing w:val="0"/>
        <w:rPr>
          <w:rFonts w:cs="Arial"/>
        </w:rPr>
      </w:pPr>
      <w:r w:rsidRPr="006E6390">
        <w:rPr>
          <w:rFonts w:cs="Arial"/>
        </w:rPr>
        <w:t>BCCR-sesi</w:t>
      </w:r>
      <w:r w:rsidR="00C6453F" w:rsidRPr="006E6390">
        <w:rPr>
          <w:rFonts w:cs="Arial"/>
        </w:rPr>
        <w:t>ó</w:t>
      </w:r>
      <w:r w:rsidR="00543141" w:rsidRPr="006E6390">
        <w:rPr>
          <w:rFonts w:cs="Arial"/>
        </w:rPr>
        <w:t>n 5531 artí</w:t>
      </w:r>
      <w:r w:rsidRPr="006E6390">
        <w:rPr>
          <w:rFonts w:cs="Arial"/>
        </w:rPr>
        <w:t>culo 4</w:t>
      </w:r>
    </w:p>
    <w:p w14:paraId="5F4DE8D3" w14:textId="77777777" w:rsidR="005B390E" w:rsidRPr="006E6390" w:rsidRDefault="005B390E" w:rsidP="00B0078B">
      <w:pPr>
        <w:pStyle w:val="Prrafodelista"/>
        <w:numPr>
          <w:ilvl w:val="0"/>
          <w:numId w:val="13"/>
        </w:numPr>
        <w:spacing w:after="120"/>
        <w:ind w:left="357" w:hanging="357"/>
        <w:contextualSpacing w:val="0"/>
        <w:rPr>
          <w:rFonts w:cs="Arial"/>
        </w:rPr>
      </w:pPr>
      <w:r w:rsidRPr="006E6390">
        <w:rPr>
          <w:rFonts w:cs="Arial"/>
        </w:rPr>
        <w:t>DM-034-12 aval definitivo</w:t>
      </w:r>
    </w:p>
    <w:p w14:paraId="4AE9BFD1" w14:textId="77777777" w:rsidR="005B390E" w:rsidRPr="006E6390" w:rsidRDefault="005B390E" w:rsidP="00F275AD">
      <w:pPr>
        <w:pStyle w:val="Prrafodelista"/>
        <w:numPr>
          <w:ilvl w:val="0"/>
          <w:numId w:val="13"/>
        </w:numPr>
        <w:rPr>
          <w:rFonts w:cs="Arial"/>
        </w:rPr>
      </w:pPr>
      <w:r w:rsidRPr="006E6390">
        <w:rPr>
          <w:rFonts w:cs="Arial"/>
        </w:rPr>
        <w:t xml:space="preserve">STAP </w:t>
      </w:r>
      <w:r w:rsidRPr="00ED6830">
        <w:rPr>
          <w:rFonts w:cs="Arial"/>
        </w:rPr>
        <w:t>55</w:t>
      </w:r>
      <w:r w:rsidRPr="006E6390">
        <w:rPr>
          <w:rFonts w:cs="Arial"/>
        </w:rPr>
        <w:t>-1554-2012 autorización de AP acuerdo 9957</w:t>
      </w:r>
    </w:p>
    <w:p w14:paraId="0470949D" w14:textId="77777777" w:rsidR="005B390E" w:rsidRPr="006E6390" w:rsidRDefault="005B390E" w:rsidP="00A50BF2">
      <w:pPr>
        <w:pStyle w:val="Ttulo3"/>
        <w:rPr>
          <w:rFonts w:cs="Arial"/>
        </w:rPr>
      </w:pPr>
      <w:bookmarkStart w:id="40" w:name="_Toc262483817"/>
      <w:bookmarkStart w:id="41" w:name="_Toc38630776"/>
      <w:r w:rsidRPr="006E6390">
        <w:rPr>
          <w:rFonts w:cs="Arial"/>
        </w:rPr>
        <w:lastRenderedPageBreak/>
        <w:t>1.1.8</w:t>
      </w:r>
      <w:r w:rsidR="00DF2474" w:rsidRPr="006E6390">
        <w:rPr>
          <w:rFonts w:cs="Arial"/>
        </w:rPr>
        <w:t>.</w:t>
      </w:r>
      <w:r w:rsidRPr="006E6390">
        <w:rPr>
          <w:rFonts w:cs="Arial"/>
        </w:rPr>
        <w:t xml:space="preserve"> Costos de la emisión y su colocación</w:t>
      </w:r>
      <w:bookmarkEnd w:id="40"/>
      <w:bookmarkEnd w:id="41"/>
    </w:p>
    <w:p w14:paraId="6E01FCC9" w14:textId="4B60077A" w:rsidR="005B390E" w:rsidRDefault="005B390E" w:rsidP="00465C19">
      <w:pPr>
        <w:spacing w:after="0"/>
        <w:rPr>
          <w:rFonts w:cs="Arial"/>
        </w:rPr>
      </w:pPr>
      <w:r w:rsidRPr="006E6390">
        <w:rPr>
          <w:rFonts w:cs="Arial"/>
        </w:rPr>
        <w:t>Los costos asociados con la estructuración, registro y colocación de la presente emisión se estiman en 0</w:t>
      </w:r>
      <w:r w:rsidR="005C630C" w:rsidRPr="006E6390">
        <w:rPr>
          <w:rFonts w:cs="Arial"/>
        </w:rPr>
        <w:t>,</w:t>
      </w:r>
      <w:r w:rsidRPr="006E6390">
        <w:rPr>
          <w:rFonts w:cs="Arial"/>
        </w:rPr>
        <w:t>6% del monto nominal de la misma.</w:t>
      </w:r>
    </w:p>
    <w:p w14:paraId="7B474F15" w14:textId="77777777" w:rsidR="00A44958" w:rsidRPr="006E6390" w:rsidRDefault="00A44958" w:rsidP="00465C19">
      <w:pPr>
        <w:spacing w:after="0"/>
        <w:rPr>
          <w:rFonts w:cs="Arial"/>
        </w:rPr>
      </w:pPr>
    </w:p>
    <w:p w14:paraId="5D4B9C3C" w14:textId="311E74A1" w:rsidR="005B390E" w:rsidRDefault="005B390E" w:rsidP="00465C19">
      <w:pPr>
        <w:spacing w:after="0"/>
        <w:rPr>
          <w:rFonts w:cs="Arial"/>
        </w:rPr>
      </w:pPr>
      <w:r w:rsidRPr="006E6390">
        <w:rPr>
          <w:rFonts w:cs="Arial"/>
        </w:rPr>
        <w:t>Los gastos que se generen en la distribución de los valores de la presente emisión deberán ser asumidos en su totalidad por los intermediarios; sin embargo, RECOPE, a su discreción y conveniencia, podrá reconocer una comisión de colocación a los intermediarios de hasta un 0</w:t>
      </w:r>
      <w:r w:rsidR="00965240" w:rsidRPr="006E6390">
        <w:rPr>
          <w:rFonts w:cs="Arial"/>
        </w:rPr>
        <w:t>,</w:t>
      </w:r>
      <w:r w:rsidRPr="006E6390">
        <w:rPr>
          <w:rFonts w:cs="Arial"/>
        </w:rPr>
        <w:t xml:space="preserve">5% del valor transado. </w:t>
      </w:r>
    </w:p>
    <w:p w14:paraId="786D1F39" w14:textId="77777777" w:rsidR="00A44958" w:rsidRPr="006E6390" w:rsidRDefault="00A44958" w:rsidP="004A26B9">
      <w:pPr>
        <w:rPr>
          <w:rFonts w:cs="Arial"/>
        </w:rPr>
      </w:pPr>
    </w:p>
    <w:p w14:paraId="65ACA2A0" w14:textId="31CB1D1C" w:rsidR="00A44958" w:rsidRPr="006E6390" w:rsidRDefault="005B390E">
      <w:pPr>
        <w:rPr>
          <w:rFonts w:cs="Arial"/>
        </w:rPr>
      </w:pPr>
      <w:r w:rsidRPr="006E6390">
        <w:rPr>
          <w:rFonts w:cs="Arial"/>
        </w:rPr>
        <w:t>En los casos en que el emisor reconozca una comisión a intermediarios locales, el porcentaje definitivo de comisión se dará a conocer a través de un Comunicado de Hecho Relevante, como mínimo cinco (5) días hábiles antes de la primera colocación de la primera serie y dos (2) días hábiles antes de las siguientes colocaciones.</w:t>
      </w:r>
    </w:p>
    <w:p w14:paraId="292E375E" w14:textId="77777777" w:rsidR="005B390E" w:rsidRPr="006E6390" w:rsidRDefault="005B390E" w:rsidP="00A50BF2">
      <w:pPr>
        <w:pStyle w:val="Ttulo3"/>
        <w:rPr>
          <w:rFonts w:cs="Arial"/>
        </w:rPr>
      </w:pPr>
      <w:bookmarkStart w:id="42" w:name="_Toc262483818"/>
      <w:bookmarkStart w:id="43" w:name="_Toc38630777"/>
      <w:r w:rsidRPr="006E6390">
        <w:rPr>
          <w:rFonts w:cs="Arial"/>
        </w:rPr>
        <w:t>1.1.9</w:t>
      </w:r>
      <w:r w:rsidR="00DF2474" w:rsidRPr="006E6390">
        <w:rPr>
          <w:rFonts w:cs="Arial"/>
        </w:rPr>
        <w:t>.</w:t>
      </w:r>
      <w:r w:rsidRPr="006E6390">
        <w:rPr>
          <w:rFonts w:cs="Arial"/>
        </w:rPr>
        <w:t xml:space="preserve"> </w:t>
      </w:r>
      <w:bookmarkEnd w:id="42"/>
      <w:r w:rsidR="00E96132" w:rsidRPr="006E6390">
        <w:rPr>
          <w:rFonts w:cs="Arial"/>
        </w:rPr>
        <w:t>Forma o mecanismo de representación</w:t>
      </w:r>
      <w:bookmarkEnd w:id="43"/>
    </w:p>
    <w:p w14:paraId="6D0EDD0C" w14:textId="0B52DAB3" w:rsidR="00743C7F" w:rsidRDefault="005B390E" w:rsidP="00465C19">
      <w:pPr>
        <w:spacing w:after="0"/>
        <w:rPr>
          <w:rFonts w:cs="Arial"/>
        </w:rPr>
      </w:pPr>
      <w:r w:rsidRPr="006E6390">
        <w:rPr>
          <w:rFonts w:cs="Arial"/>
        </w:rPr>
        <w:t xml:space="preserve">Cada emisión del </w:t>
      </w:r>
      <w:r w:rsidR="00B0078B" w:rsidRPr="006E6390">
        <w:rPr>
          <w:rFonts w:cs="Arial"/>
        </w:rPr>
        <w:t>programa</w:t>
      </w:r>
      <w:r w:rsidRPr="006E6390">
        <w:rPr>
          <w:rFonts w:cs="Arial"/>
        </w:rPr>
        <w:t xml:space="preserve"> estará representada </w:t>
      </w:r>
      <w:r w:rsidR="00E96132" w:rsidRPr="006E6390">
        <w:rPr>
          <w:rFonts w:cs="Arial"/>
        </w:rPr>
        <w:t>por medio de anotación electrónica en cuenta</w:t>
      </w:r>
      <w:r w:rsidR="00B0078B" w:rsidRPr="006E6390">
        <w:rPr>
          <w:rFonts w:cs="Arial"/>
        </w:rPr>
        <w:t>,</w:t>
      </w:r>
      <w:r w:rsidR="00E96132" w:rsidRPr="006E6390">
        <w:rPr>
          <w:rFonts w:cs="Arial"/>
        </w:rPr>
        <w:t xml:space="preserve"> que es un regist</w:t>
      </w:r>
      <w:r w:rsidR="00743C7F" w:rsidRPr="006E6390">
        <w:rPr>
          <w:rFonts w:cs="Arial"/>
        </w:rPr>
        <w:t>ro electrónico mediante el cual</w:t>
      </w:r>
      <w:r w:rsidR="00E96132" w:rsidRPr="006E6390">
        <w:rPr>
          <w:rFonts w:cs="Arial"/>
        </w:rPr>
        <w:t xml:space="preserve"> se representa un título valor.</w:t>
      </w:r>
      <w:r w:rsidR="00743C7F" w:rsidRPr="006E6390">
        <w:rPr>
          <w:rFonts w:cs="Arial"/>
        </w:rPr>
        <w:t xml:space="preserve"> </w:t>
      </w:r>
    </w:p>
    <w:p w14:paraId="049CC206" w14:textId="77777777" w:rsidR="00A44958" w:rsidRPr="006E6390" w:rsidRDefault="00A44958" w:rsidP="00465C19">
      <w:pPr>
        <w:spacing w:after="0"/>
        <w:rPr>
          <w:rFonts w:cs="Arial"/>
        </w:rPr>
      </w:pPr>
    </w:p>
    <w:p w14:paraId="6E4315A2" w14:textId="73D1F9F0" w:rsidR="00743C7F" w:rsidRDefault="00743C7F" w:rsidP="00465C19">
      <w:pPr>
        <w:spacing w:after="0"/>
        <w:rPr>
          <w:rFonts w:cs="Arial"/>
        </w:rPr>
      </w:pPr>
      <w:r w:rsidRPr="006E6390">
        <w:rPr>
          <w:rFonts w:cs="Arial"/>
        </w:rPr>
        <w:t xml:space="preserve">La anotación electrónica en cuenta de las emisiones de valores de </w:t>
      </w:r>
      <w:r w:rsidR="00730C9E" w:rsidRPr="006E6390">
        <w:rPr>
          <w:rFonts w:cs="Arial"/>
        </w:rPr>
        <w:t>RECOPE</w:t>
      </w:r>
      <w:r w:rsidRPr="006E6390">
        <w:rPr>
          <w:rFonts w:cs="Arial"/>
        </w:rPr>
        <w:t xml:space="preserve"> implica básicamente lo siguiente:</w:t>
      </w:r>
    </w:p>
    <w:p w14:paraId="596E505E" w14:textId="77777777" w:rsidR="00A44958" w:rsidRPr="006E6390" w:rsidRDefault="00A44958" w:rsidP="00465C19">
      <w:pPr>
        <w:spacing w:after="0"/>
        <w:rPr>
          <w:rFonts w:cs="Arial"/>
        </w:rPr>
      </w:pPr>
    </w:p>
    <w:p w14:paraId="1EA1E6DB" w14:textId="77777777" w:rsidR="00743C7F" w:rsidRPr="006E6390" w:rsidRDefault="00743C7F" w:rsidP="00F275AD">
      <w:pPr>
        <w:pStyle w:val="Prrafodelista"/>
        <w:numPr>
          <w:ilvl w:val="0"/>
          <w:numId w:val="14"/>
        </w:numPr>
        <w:ind w:left="357" w:hanging="357"/>
        <w:contextualSpacing w:val="0"/>
        <w:rPr>
          <w:rFonts w:cs="Arial"/>
        </w:rPr>
      </w:pPr>
      <w:r w:rsidRPr="006E6390">
        <w:rPr>
          <w:rFonts w:cs="Arial"/>
        </w:rPr>
        <w:t>Que la representación por medio de anotación electrónica en cuenta es irreversible, según lo establece el artículo 115 de la Ley Reguladora del Mercado de Valores y que los valores se constituyen como tales en virtud de su inscripción en el correspondiente registro contable.</w:t>
      </w:r>
    </w:p>
    <w:p w14:paraId="442234E7" w14:textId="77777777" w:rsidR="00743C7F" w:rsidRPr="006E6390" w:rsidRDefault="00743C7F" w:rsidP="00F275AD">
      <w:pPr>
        <w:pStyle w:val="Prrafodelista"/>
        <w:numPr>
          <w:ilvl w:val="0"/>
          <w:numId w:val="14"/>
        </w:numPr>
        <w:ind w:left="357" w:hanging="357"/>
        <w:contextualSpacing w:val="0"/>
        <w:rPr>
          <w:rFonts w:cs="Arial"/>
        </w:rPr>
      </w:pPr>
      <w:r w:rsidRPr="006E6390">
        <w:rPr>
          <w:rFonts w:cs="Arial"/>
        </w:rPr>
        <w:t>Que el registro contable de valores mediante anotación electrónica en cuenta se rige por los principios de prioridad de la inscripción y tracto sucesivo. De conformidad con el principio de prioridad, una vez que se ha llevado a cabo una inscripción, no puede practicarse ninguna otra sobre el mismo valor que tenga origen en un hecho producido con anterioridad en lo que resulte opuesta o incompatible con la anterior.</w:t>
      </w:r>
    </w:p>
    <w:p w14:paraId="6F54577C" w14:textId="77777777" w:rsidR="00743C7F" w:rsidRPr="006E6390" w:rsidRDefault="00743C7F" w:rsidP="00F275AD">
      <w:pPr>
        <w:pStyle w:val="Prrafodelista"/>
        <w:numPr>
          <w:ilvl w:val="0"/>
          <w:numId w:val="14"/>
        </w:numPr>
        <w:ind w:left="357" w:hanging="357"/>
        <w:contextualSpacing w:val="0"/>
        <w:rPr>
          <w:rFonts w:cs="Arial"/>
        </w:rPr>
      </w:pPr>
      <w:r w:rsidRPr="006E6390">
        <w:rPr>
          <w:rFonts w:cs="Arial"/>
        </w:rPr>
        <w:t xml:space="preserve">Que como consecuencia del principio de prioridad antes mencionado, las entidades adheridas deben practicar las operaciones correspondientes según el orden de presentación. </w:t>
      </w:r>
    </w:p>
    <w:p w14:paraId="11AD1A86" w14:textId="77777777" w:rsidR="00743C7F" w:rsidRPr="006E6390" w:rsidRDefault="00743C7F" w:rsidP="00F275AD">
      <w:pPr>
        <w:pStyle w:val="Prrafodelista"/>
        <w:numPr>
          <w:ilvl w:val="0"/>
          <w:numId w:val="14"/>
        </w:numPr>
        <w:ind w:left="357" w:hanging="357"/>
        <w:contextualSpacing w:val="0"/>
        <w:rPr>
          <w:rFonts w:cs="Arial"/>
        </w:rPr>
      </w:pPr>
      <w:r w:rsidRPr="006E6390">
        <w:rPr>
          <w:rFonts w:cs="Arial"/>
        </w:rPr>
        <w:t>Que quien figure como titular en el registro de valores mediante anotación electrónica en cuenta se constituye como el titular de una cantidad determinada de valores, de manera que estos se identifiquen por saldos. Lo anterior, sin perjuicio de las necesidades de identificación que puedan derivarse de la constitución de derechos reales, gravámenes o anotaciones de embargo.</w:t>
      </w:r>
    </w:p>
    <w:p w14:paraId="38DF3E81" w14:textId="77777777" w:rsidR="00743C7F" w:rsidRPr="006E6390" w:rsidRDefault="00743C7F" w:rsidP="00F275AD">
      <w:pPr>
        <w:pStyle w:val="Prrafodelista"/>
        <w:numPr>
          <w:ilvl w:val="0"/>
          <w:numId w:val="14"/>
        </w:numPr>
        <w:ind w:left="357" w:hanging="357"/>
        <w:contextualSpacing w:val="0"/>
        <w:rPr>
          <w:rFonts w:cs="Arial"/>
        </w:rPr>
      </w:pPr>
      <w:r w:rsidRPr="006E6390">
        <w:rPr>
          <w:rFonts w:cs="Arial"/>
        </w:rPr>
        <w:lastRenderedPageBreak/>
        <w:t>Que la transmisión es oponible a terceros desde el momento en que se haya practicado la inscripción en el registro contable.</w:t>
      </w:r>
    </w:p>
    <w:p w14:paraId="18681E32" w14:textId="79A6FC53" w:rsidR="00A44958" w:rsidRPr="001C6BA8" w:rsidRDefault="00743C7F">
      <w:pPr>
        <w:pStyle w:val="Prrafodelista"/>
        <w:numPr>
          <w:ilvl w:val="0"/>
          <w:numId w:val="14"/>
        </w:numPr>
        <w:ind w:left="357" w:hanging="357"/>
        <w:contextualSpacing w:val="0"/>
        <w:rPr>
          <w:rFonts w:cs="Arial"/>
        </w:rPr>
      </w:pPr>
      <w:r w:rsidRPr="001C6BA8">
        <w:rPr>
          <w:rFonts w:cs="Arial"/>
        </w:rPr>
        <w:t xml:space="preserve">Que las entidades adheridas al Sistema Nacional de Registro de Anotaciones en </w:t>
      </w:r>
      <w:r w:rsidR="00477242" w:rsidRPr="001C6BA8">
        <w:rPr>
          <w:rFonts w:cs="Arial"/>
        </w:rPr>
        <w:t>Cuenta</w:t>
      </w:r>
      <w:r w:rsidRPr="001C6BA8">
        <w:rPr>
          <w:rFonts w:cs="Arial"/>
        </w:rPr>
        <w:t xml:space="preserve"> son las únicas competentes para emitir constancias de titularidad sobre dichos valores.</w:t>
      </w:r>
    </w:p>
    <w:p w14:paraId="72D4BBF0" w14:textId="77777777" w:rsidR="005B390E" w:rsidRPr="006E6390" w:rsidRDefault="005B390E" w:rsidP="00A50BF2">
      <w:pPr>
        <w:pStyle w:val="Ttulo3"/>
        <w:rPr>
          <w:rFonts w:cs="Arial"/>
        </w:rPr>
      </w:pPr>
      <w:bookmarkStart w:id="44" w:name="_Toc208394617"/>
      <w:bookmarkStart w:id="45" w:name="_Toc210618828"/>
      <w:bookmarkStart w:id="46" w:name="_Toc210619110"/>
      <w:bookmarkStart w:id="47" w:name="_Toc210619335"/>
      <w:bookmarkStart w:id="48" w:name="_Toc210619842"/>
      <w:bookmarkStart w:id="49" w:name="_Toc38630778"/>
      <w:bookmarkEnd w:id="44"/>
      <w:bookmarkEnd w:id="45"/>
      <w:bookmarkEnd w:id="46"/>
      <w:bookmarkEnd w:id="47"/>
      <w:bookmarkEnd w:id="48"/>
      <w:r w:rsidRPr="006E6390">
        <w:rPr>
          <w:rFonts w:cs="Arial"/>
        </w:rPr>
        <w:t>1.1.10</w:t>
      </w:r>
      <w:r w:rsidR="00DF2474" w:rsidRPr="006E6390">
        <w:rPr>
          <w:rFonts w:cs="Arial"/>
        </w:rPr>
        <w:t>.</w:t>
      </w:r>
      <w:bookmarkStart w:id="50" w:name="_Toc262483819"/>
      <w:r w:rsidR="00D30BC8" w:rsidRPr="006E6390">
        <w:rPr>
          <w:rFonts w:cs="Arial"/>
        </w:rPr>
        <w:t xml:space="preserve"> </w:t>
      </w:r>
      <w:r w:rsidRPr="006E6390">
        <w:rPr>
          <w:rFonts w:cs="Arial"/>
        </w:rPr>
        <w:t>Agente de Pago</w:t>
      </w:r>
      <w:bookmarkEnd w:id="49"/>
      <w:bookmarkEnd w:id="50"/>
    </w:p>
    <w:p w14:paraId="767C79E0" w14:textId="7894BD83" w:rsidR="00A44958" w:rsidRPr="006E6390" w:rsidRDefault="005B390E">
      <w:pPr>
        <w:rPr>
          <w:rFonts w:cs="Arial"/>
        </w:rPr>
      </w:pPr>
      <w:r w:rsidRPr="006E6390">
        <w:rPr>
          <w:rFonts w:cs="Arial"/>
        </w:rPr>
        <w:t xml:space="preserve">RECOPE hará los pagos por concepto de intereses y principal </w:t>
      </w:r>
      <w:bookmarkStart w:id="51" w:name="_Toc262483820"/>
      <w:r w:rsidR="005B0D5A" w:rsidRPr="006E6390">
        <w:rPr>
          <w:rFonts w:cs="Arial"/>
        </w:rPr>
        <w:t xml:space="preserve">de los títulos valores estandarizados mediante el siguiente mecanismo: depósito en </w:t>
      </w:r>
      <w:r w:rsidR="00A8023E" w:rsidRPr="006E6390">
        <w:rPr>
          <w:rFonts w:cs="Arial"/>
        </w:rPr>
        <w:t>Sistema de Anotación en Cuenta (SAC), administrado por el Banco Central de Costa Rica</w:t>
      </w:r>
      <w:r w:rsidR="005B0D5A" w:rsidRPr="006E6390">
        <w:rPr>
          <w:rFonts w:cs="Arial"/>
        </w:rPr>
        <w:t>, quien pagará a cada uno de los custodios para que éstos a su vez cancelen a los titulares de los valores.</w:t>
      </w:r>
    </w:p>
    <w:p w14:paraId="7869ACE7" w14:textId="77777777" w:rsidR="005B390E" w:rsidRPr="006E6390" w:rsidRDefault="005B390E" w:rsidP="00A50BF2">
      <w:pPr>
        <w:pStyle w:val="Ttulo3"/>
        <w:rPr>
          <w:rFonts w:cs="Arial"/>
        </w:rPr>
      </w:pPr>
      <w:bookmarkStart w:id="52" w:name="_Toc38630779"/>
      <w:r w:rsidRPr="006E6390">
        <w:rPr>
          <w:rFonts w:cs="Arial"/>
        </w:rPr>
        <w:t>1.1.11</w:t>
      </w:r>
      <w:r w:rsidR="00DF2474" w:rsidRPr="006E6390">
        <w:rPr>
          <w:rFonts w:cs="Arial"/>
        </w:rPr>
        <w:t>.</w:t>
      </w:r>
      <w:r w:rsidRPr="006E6390">
        <w:rPr>
          <w:rFonts w:cs="Arial"/>
        </w:rPr>
        <w:t xml:space="preserve"> Tratamiento tributario</w:t>
      </w:r>
      <w:bookmarkEnd w:id="51"/>
      <w:bookmarkEnd w:id="52"/>
    </w:p>
    <w:p w14:paraId="1153FA1D" w14:textId="458C4318" w:rsidR="00A44958" w:rsidRPr="006E6390" w:rsidRDefault="00827E5C">
      <w:pPr>
        <w:rPr>
          <w:rFonts w:cs="Arial"/>
        </w:rPr>
      </w:pPr>
      <w:r w:rsidRPr="006E6390">
        <w:rPr>
          <w:rFonts w:cs="Arial"/>
        </w:rPr>
        <w:t xml:space="preserve">El tratamiento tributario de la presente emisión se encuentra sujeto al ordenamiento jurídico costarricense, de conformidad con lo dispuesto en la </w:t>
      </w:r>
      <w:r w:rsidR="00470357" w:rsidRPr="006E6390">
        <w:rPr>
          <w:rFonts w:cs="Arial"/>
        </w:rPr>
        <w:t xml:space="preserve">Ley </w:t>
      </w:r>
      <w:r w:rsidRPr="006E6390">
        <w:rPr>
          <w:rFonts w:cs="Arial"/>
        </w:rPr>
        <w:t>No. 7092, Ley del Impuesto sobre la Renta, su reglamento y los pronunciamientos de la Autoridad Tributaria Costarricense.</w:t>
      </w:r>
      <w:r w:rsidR="004904C6" w:rsidRPr="006E6390">
        <w:rPr>
          <w:rFonts w:cs="Arial"/>
        </w:rPr>
        <w:t xml:space="preserve"> </w:t>
      </w:r>
      <w:r w:rsidRPr="006E6390">
        <w:rPr>
          <w:rFonts w:cs="Arial"/>
        </w:rPr>
        <w:t>El emisor es responsable de proceder de conformidad con ese ámbito normativo.</w:t>
      </w:r>
      <w:r w:rsidR="00440EBE">
        <w:rPr>
          <w:rFonts w:cs="Arial"/>
        </w:rPr>
        <w:t xml:space="preserve"> </w:t>
      </w:r>
      <w:r w:rsidRPr="006E6390">
        <w:rPr>
          <w:rFonts w:cs="Arial"/>
        </w:rPr>
        <w:t xml:space="preserve">Es responsabilidad del adquirente de los valores verificar el tratamiento tributario aplicable a su caso particular de conformidad con lo establecido en la Ley </w:t>
      </w:r>
      <w:r w:rsidR="00ED77BA" w:rsidRPr="006E6390">
        <w:rPr>
          <w:rFonts w:cs="Arial"/>
        </w:rPr>
        <w:t xml:space="preserve">No. </w:t>
      </w:r>
      <w:r w:rsidRPr="006E6390">
        <w:rPr>
          <w:rFonts w:cs="Arial"/>
        </w:rPr>
        <w:t>7092, Ley de Impuesto sobre la Renta y su Reglamento.</w:t>
      </w:r>
      <w:r w:rsidR="004904C6" w:rsidRPr="006E6390">
        <w:rPr>
          <w:rFonts w:cs="Arial"/>
        </w:rPr>
        <w:t xml:space="preserve"> </w:t>
      </w:r>
      <w:r w:rsidRPr="006E6390">
        <w:rPr>
          <w:rFonts w:cs="Arial"/>
        </w:rPr>
        <w:t>Si la emisión es colocada fuera del territorio costarricense, el inversionista es responsable de verificar el tratamiento tributario aplicable en la jurisdicción donde lo adquiera.</w:t>
      </w:r>
      <w:r w:rsidR="004904C6" w:rsidRPr="006E6390">
        <w:rPr>
          <w:rFonts w:cs="Arial"/>
        </w:rPr>
        <w:t xml:space="preserve"> </w:t>
      </w:r>
      <w:r w:rsidR="004C273A" w:rsidRPr="006E6390">
        <w:rPr>
          <w:rFonts w:cs="Arial"/>
        </w:rPr>
        <w:t>Las modificaciones futuras en la tasa impositiva aplicable a los intereses serán asumidas directamente por los inversionistas, todo de conformidad con el marco legal vigente.</w:t>
      </w:r>
    </w:p>
    <w:p w14:paraId="6EE8930A" w14:textId="77777777" w:rsidR="005B390E" w:rsidRPr="006E6390" w:rsidRDefault="005B390E" w:rsidP="00A50BF2">
      <w:pPr>
        <w:pStyle w:val="Ttulo3"/>
        <w:rPr>
          <w:rFonts w:cs="Arial"/>
        </w:rPr>
      </w:pPr>
      <w:bookmarkStart w:id="53" w:name="_Toc38630780"/>
      <w:r w:rsidRPr="006E6390">
        <w:rPr>
          <w:rFonts w:cs="Arial"/>
        </w:rPr>
        <w:t>1.1.12</w:t>
      </w:r>
      <w:r w:rsidR="003976FD" w:rsidRPr="006E6390">
        <w:rPr>
          <w:rFonts w:cs="Arial"/>
        </w:rPr>
        <w:t>.</w:t>
      </w:r>
      <w:r w:rsidRPr="006E6390">
        <w:rPr>
          <w:rFonts w:cs="Arial"/>
        </w:rPr>
        <w:t xml:space="preserve"> Emisiones inscritas en mercados internacionales</w:t>
      </w:r>
      <w:bookmarkEnd w:id="53"/>
    </w:p>
    <w:p w14:paraId="6B5DD85F" w14:textId="70B8CF3C" w:rsidR="00D3482B" w:rsidRDefault="00D3482B" w:rsidP="002F28AC">
      <w:pPr>
        <w:spacing w:after="0"/>
        <w:rPr>
          <w:rFonts w:cs="Arial"/>
        </w:rPr>
      </w:pPr>
      <w:r w:rsidRPr="006E6390">
        <w:rPr>
          <w:rFonts w:cs="Arial"/>
        </w:rPr>
        <w:t>El Programa A de Emisiones de Bonos Estandarizados se encuentra inscrito en el mercado secundario bursátiles en El Salvador.</w:t>
      </w:r>
      <w:r w:rsidR="004904C6" w:rsidRPr="006E6390">
        <w:rPr>
          <w:rFonts w:cs="Arial"/>
        </w:rPr>
        <w:t xml:space="preserve"> Según se comunicó mediante Comunicado de Hecho Relevante GG-2357-2012 de 3 de diciembre de 2012, cuenta con el Asiento Registral Único No. EM-0023-2012, del Registro Especial de Emisiones de Valores del Registro Público Bursátil, de la Superintendencia del Sistema Financiero de ese país.</w:t>
      </w:r>
    </w:p>
    <w:p w14:paraId="4C5F655F" w14:textId="37807AA6" w:rsidR="00A44958" w:rsidRDefault="00A44958">
      <w:pPr>
        <w:spacing w:after="0" w:line="240" w:lineRule="auto"/>
        <w:jc w:val="left"/>
        <w:rPr>
          <w:rFonts w:cs="Arial"/>
        </w:rPr>
      </w:pPr>
      <w:r>
        <w:rPr>
          <w:rFonts w:cs="Arial"/>
        </w:rPr>
        <w:br w:type="page"/>
      </w:r>
    </w:p>
    <w:p w14:paraId="56EDF0CB" w14:textId="77777777" w:rsidR="00A44958" w:rsidRPr="006E6390" w:rsidRDefault="00A44958" w:rsidP="004A26B9">
      <w:pPr>
        <w:rPr>
          <w:rFonts w:cs="Arial"/>
        </w:rPr>
      </w:pPr>
    </w:p>
    <w:p w14:paraId="0A42AA87" w14:textId="77777777" w:rsidR="00087DED" w:rsidRPr="006E6390" w:rsidRDefault="005B390E" w:rsidP="00A50BF2">
      <w:pPr>
        <w:pStyle w:val="Ttulo2"/>
        <w:rPr>
          <w:rFonts w:cs="Arial"/>
        </w:rPr>
      </w:pPr>
      <w:bookmarkStart w:id="54" w:name="_Toc38630781"/>
      <w:r w:rsidRPr="006E6390">
        <w:rPr>
          <w:rFonts w:cs="Arial"/>
        </w:rPr>
        <w:t>1.2</w:t>
      </w:r>
      <w:r w:rsidR="00D3482B" w:rsidRPr="006E6390">
        <w:rPr>
          <w:rFonts w:cs="Arial"/>
        </w:rPr>
        <w:t>.</w:t>
      </w:r>
      <w:bookmarkStart w:id="55" w:name="_Toc65500732"/>
      <w:r w:rsidR="00A732F8" w:rsidRPr="006E6390">
        <w:rPr>
          <w:rFonts w:cs="Arial"/>
        </w:rPr>
        <w:t xml:space="preserve"> </w:t>
      </w:r>
      <w:r w:rsidRPr="006E6390">
        <w:rPr>
          <w:rFonts w:cs="Arial"/>
        </w:rPr>
        <w:t>Identificación de los directores, gerentes y asesores involucrados con el proceso de oferta pública</w:t>
      </w:r>
      <w:bookmarkEnd w:id="54"/>
      <w:bookmarkEnd w:id="55"/>
    </w:p>
    <w:tbl>
      <w:tblPr>
        <w:tblStyle w:val="Tablaconcuadrculaclara"/>
        <w:tblW w:w="8520" w:type="dxa"/>
        <w:tblLayout w:type="fixed"/>
        <w:tblLook w:val="0000" w:firstRow="0" w:lastRow="0" w:firstColumn="0" w:lastColumn="0" w:noHBand="0" w:noVBand="0"/>
      </w:tblPr>
      <w:tblGrid>
        <w:gridCol w:w="2528"/>
        <w:gridCol w:w="4140"/>
        <w:gridCol w:w="1852"/>
      </w:tblGrid>
      <w:tr w:rsidR="005B390E" w:rsidRPr="006E6390" w14:paraId="6FB95F31" w14:textId="77777777" w:rsidTr="00477242">
        <w:tc>
          <w:tcPr>
            <w:tcW w:w="2528" w:type="dxa"/>
          </w:tcPr>
          <w:p w14:paraId="3A94B3D1" w14:textId="77777777" w:rsidR="005B390E" w:rsidRPr="006E6390" w:rsidRDefault="005B390E" w:rsidP="0037066D">
            <w:pPr>
              <w:pStyle w:val="Tablas"/>
              <w:tabs>
                <w:tab w:val="left" w:pos="9270"/>
              </w:tabs>
              <w:spacing w:before="60" w:after="60"/>
              <w:rPr>
                <w:rFonts w:cs="Arial"/>
                <w:b/>
              </w:rPr>
            </w:pPr>
            <w:r w:rsidRPr="006E6390">
              <w:rPr>
                <w:rFonts w:cs="Arial"/>
                <w:b/>
              </w:rPr>
              <w:t>Nombre</w:t>
            </w:r>
          </w:p>
        </w:tc>
        <w:tc>
          <w:tcPr>
            <w:tcW w:w="4140" w:type="dxa"/>
          </w:tcPr>
          <w:p w14:paraId="75C32A4C" w14:textId="77777777" w:rsidR="005B390E" w:rsidRPr="006E6390" w:rsidRDefault="005B390E" w:rsidP="0037066D">
            <w:pPr>
              <w:pStyle w:val="Tablas"/>
              <w:tabs>
                <w:tab w:val="left" w:pos="9270"/>
              </w:tabs>
              <w:spacing w:before="60" w:after="60"/>
              <w:rPr>
                <w:rFonts w:cs="Arial"/>
                <w:b/>
              </w:rPr>
            </w:pPr>
            <w:r w:rsidRPr="006E6390">
              <w:rPr>
                <w:rFonts w:cs="Arial"/>
                <w:b/>
              </w:rPr>
              <w:t>Puesto</w:t>
            </w:r>
          </w:p>
        </w:tc>
        <w:tc>
          <w:tcPr>
            <w:tcW w:w="1852" w:type="dxa"/>
          </w:tcPr>
          <w:p w14:paraId="5B3A897D" w14:textId="77777777" w:rsidR="005B390E" w:rsidRPr="006E6390" w:rsidRDefault="005B390E" w:rsidP="0037066D">
            <w:pPr>
              <w:pStyle w:val="Tablas"/>
              <w:tabs>
                <w:tab w:val="left" w:pos="9270"/>
              </w:tabs>
              <w:spacing w:before="60" w:after="60"/>
              <w:rPr>
                <w:rFonts w:cs="Arial"/>
                <w:b/>
              </w:rPr>
            </w:pPr>
            <w:r w:rsidRPr="006E6390">
              <w:rPr>
                <w:rFonts w:cs="Arial"/>
                <w:b/>
              </w:rPr>
              <w:t>Participación</w:t>
            </w:r>
          </w:p>
        </w:tc>
      </w:tr>
      <w:tr w:rsidR="005B390E" w:rsidRPr="006E6390" w14:paraId="69E4F5E8" w14:textId="77777777" w:rsidTr="00477242">
        <w:trPr>
          <w:trHeight w:val="390"/>
        </w:trPr>
        <w:tc>
          <w:tcPr>
            <w:tcW w:w="8520" w:type="dxa"/>
            <w:gridSpan w:val="3"/>
          </w:tcPr>
          <w:p w14:paraId="3585D263" w14:textId="77777777" w:rsidR="005B390E" w:rsidRPr="006E6390" w:rsidRDefault="005B390E" w:rsidP="0037066D">
            <w:pPr>
              <w:pStyle w:val="Tablas"/>
              <w:tabs>
                <w:tab w:val="left" w:pos="9270"/>
              </w:tabs>
              <w:spacing w:before="60" w:after="60"/>
              <w:rPr>
                <w:rFonts w:cs="Arial"/>
                <w:b/>
              </w:rPr>
            </w:pPr>
            <w:r w:rsidRPr="006E6390">
              <w:rPr>
                <w:rFonts w:cs="Arial"/>
                <w:b/>
              </w:rPr>
              <w:t>REFINADORA COSTARRICENSE DE PETRÓLEO S.A.</w:t>
            </w:r>
          </w:p>
        </w:tc>
      </w:tr>
      <w:tr w:rsidR="005B390E" w:rsidRPr="006E6390" w14:paraId="4CDA62B0" w14:textId="77777777" w:rsidTr="00477242">
        <w:trPr>
          <w:trHeight w:val="552"/>
        </w:trPr>
        <w:tc>
          <w:tcPr>
            <w:tcW w:w="2528" w:type="dxa"/>
          </w:tcPr>
          <w:p w14:paraId="0FBAAC3C" w14:textId="77777777" w:rsidR="005B390E" w:rsidRPr="000A6BCD" w:rsidRDefault="000A6BCD" w:rsidP="0037066D">
            <w:pPr>
              <w:pStyle w:val="Tablas"/>
              <w:tabs>
                <w:tab w:val="left" w:pos="9270"/>
              </w:tabs>
              <w:spacing w:before="60" w:after="60"/>
              <w:rPr>
                <w:rFonts w:cs="Arial"/>
              </w:rPr>
            </w:pPr>
            <w:r w:rsidRPr="00453185">
              <w:rPr>
                <w:rFonts w:cs="Arial"/>
              </w:rPr>
              <w:t>Jorge Villalobos Clare</w:t>
            </w:r>
          </w:p>
        </w:tc>
        <w:tc>
          <w:tcPr>
            <w:tcW w:w="4140" w:type="dxa"/>
          </w:tcPr>
          <w:p w14:paraId="076E434E" w14:textId="77777777" w:rsidR="005B390E" w:rsidRPr="006E6390" w:rsidRDefault="005B390E" w:rsidP="00E9578F">
            <w:pPr>
              <w:pStyle w:val="Tablas"/>
              <w:tabs>
                <w:tab w:val="left" w:pos="9270"/>
              </w:tabs>
              <w:spacing w:before="60" w:after="60"/>
              <w:rPr>
                <w:rFonts w:cs="Arial"/>
              </w:rPr>
            </w:pPr>
            <w:r w:rsidRPr="006E6390">
              <w:rPr>
                <w:rFonts w:cs="Arial"/>
              </w:rPr>
              <w:t xml:space="preserve">Presidente </w:t>
            </w:r>
          </w:p>
        </w:tc>
        <w:tc>
          <w:tcPr>
            <w:tcW w:w="1852" w:type="dxa"/>
          </w:tcPr>
          <w:p w14:paraId="2C18C215" w14:textId="77777777" w:rsidR="005B390E" w:rsidRPr="006E6390" w:rsidRDefault="005B390E" w:rsidP="0037066D">
            <w:pPr>
              <w:pStyle w:val="Tablas"/>
              <w:tabs>
                <w:tab w:val="left" w:pos="9270"/>
              </w:tabs>
              <w:spacing w:before="60" w:after="60"/>
              <w:rPr>
                <w:rFonts w:cs="Arial"/>
              </w:rPr>
            </w:pPr>
            <w:r w:rsidRPr="006E6390">
              <w:rPr>
                <w:rFonts w:cs="Arial"/>
              </w:rPr>
              <w:t>Representante Legal</w:t>
            </w:r>
          </w:p>
        </w:tc>
      </w:tr>
      <w:tr w:rsidR="005B390E" w:rsidRPr="006E6390" w14:paraId="1193E171" w14:textId="77777777" w:rsidTr="00477242">
        <w:trPr>
          <w:trHeight w:val="552"/>
        </w:trPr>
        <w:tc>
          <w:tcPr>
            <w:tcW w:w="2528" w:type="dxa"/>
          </w:tcPr>
          <w:p w14:paraId="7108E994" w14:textId="77777777" w:rsidR="005B390E" w:rsidRPr="000A6BCD" w:rsidRDefault="000A6BCD" w:rsidP="0037066D">
            <w:pPr>
              <w:pStyle w:val="Tablas"/>
              <w:tabs>
                <w:tab w:val="left" w:pos="9270"/>
              </w:tabs>
              <w:spacing w:before="60" w:after="60"/>
              <w:rPr>
                <w:rFonts w:cs="Arial"/>
              </w:rPr>
            </w:pPr>
            <w:r w:rsidRPr="00453185">
              <w:rPr>
                <w:rFonts w:cs="Arial"/>
              </w:rPr>
              <w:t>Jorge Rojas Montero</w:t>
            </w:r>
          </w:p>
        </w:tc>
        <w:tc>
          <w:tcPr>
            <w:tcW w:w="4140" w:type="dxa"/>
          </w:tcPr>
          <w:p w14:paraId="7DF5C554" w14:textId="77777777" w:rsidR="005B390E" w:rsidRPr="006E6390" w:rsidRDefault="00707EA6" w:rsidP="0037066D">
            <w:pPr>
              <w:pStyle w:val="Tablas"/>
              <w:tabs>
                <w:tab w:val="left" w:pos="9270"/>
              </w:tabs>
              <w:spacing w:before="60" w:after="60"/>
              <w:rPr>
                <w:rFonts w:cs="Arial"/>
              </w:rPr>
            </w:pPr>
            <w:r w:rsidRPr="006E6390">
              <w:rPr>
                <w:rFonts w:cs="Arial"/>
              </w:rPr>
              <w:t>Gerente General</w:t>
            </w:r>
          </w:p>
        </w:tc>
        <w:tc>
          <w:tcPr>
            <w:tcW w:w="1852" w:type="dxa"/>
          </w:tcPr>
          <w:p w14:paraId="58A01D60" w14:textId="77777777" w:rsidR="005B390E" w:rsidRPr="006E6390" w:rsidRDefault="000A6BCD" w:rsidP="0037066D">
            <w:pPr>
              <w:pStyle w:val="Tablas"/>
              <w:tabs>
                <w:tab w:val="left" w:pos="9270"/>
              </w:tabs>
              <w:spacing w:before="60" w:after="60"/>
              <w:rPr>
                <w:rFonts w:cs="Arial"/>
              </w:rPr>
            </w:pPr>
            <w:r>
              <w:rPr>
                <w:rFonts w:cs="Arial"/>
              </w:rPr>
              <w:t>Coordinador</w:t>
            </w:r>
          </w:p>
        </w:tc>
      </w:tr>
      <w:tr w:rsidR="005B390E" w:rsidRPr="006E6390" w14:paraId="3D5F8080" w14:textId="77777777" w:rsidTr="00477242">
        <w:trPr>
          <w:trHeight w:val="552"/>
        </w:trPr>
        <w:tc>
          <w:tcPr>
            <w:tcW w:w="2528" w:type="dxa"/>
          </w:tcPr>
          <w:p w14:paraId="713C5F4D" w14:textId="77777777" w:rsidR="005B390E" w:rsidRPr="006E6390" w:rsidRDefault="000A6BCD" w:rsidP="0037066D">
            <w:pPr>
              <w:pStyle w:val="Tablas"/>
              <w:tabs>
                <w:tab w:val="left" w:pos="9270"/>
              </w:tabs>
              <w:spacing w:before="60" w:after="60"/>
              <w:rPr>
                <w:rFonts w:cs="Arial"/>
              </w:rPr>
            </w:pPr>
            <w:r w:rsidRPr="00453185">
              <w:rPr>
                <w:rFonts w:cs="Arial"/>
              </w:rPr>
              <w:t>Edgar Gutiérrez Valitutti</w:t>
            </w:r>
          </w:p>
        </w:tc>
        <w:tc>
          <w:tcPr>
            <w:tcW w:w="4140" w:type="dxa"/>
          </w:tcPr>
          <w:p w14:paraId="3420F01B" w14:textId="77777777" w:rsidR="005B390E" w:rsidRPr="006E6390" w:rsidRDefault="005B390E" w:rsidP="0037066D">
            <w:pPr>
              <w:pStyle w:val="Tablas"/>
              <w:tabs>
                <w:tab w:val="left" w:pos="9270"/>
              </w:tabs>
              <w:spacing w:before="60" w:after="60"/>
              <w:rPr>
                <w:rFonts w:cs="Arial"/>
              </w:rPr>
            </w:pPr>
            <w:r w:rsidRPr="006E6390">
              <w:rPr>
                <w:rFonts w:cs="Arial"/>
              </w:rPr>
              <w:t>Gerente de Administración y Finanzas</w:t>
            </w:r>
          </w:p>
        </w:tc>
        <w:tc>
          <w:tcPr>
            <w:tcW w:w="1852" w:type="dxa"/>
          </w:tcPr>
          <w:p w14:paraId="6EA7FB45" w14:textId="77777777" w:rsidR="005B390E" w:rsidRPr="006E6390" w:rsidRDefault="000A6BCD" w:rsidP="0037066D">
            <w:pPr>
              <w:pStyle w:val="Tablas"/>
              <w:tabs>
                <w:tab w:val="left" w:pos="9270"/>
              </w:tabs>
              <w:spacing w:before="60" w:after="60"/>
              <w:rPr>
                <w:rFonts w:cs="Arial"/>
              </w:rPr>
            </w:pPr>
            <w:r>
              <w:rPr>
                <w:rFonts w:cs="Arial"/>
              </w:rPr>
              <w:t>Coordinador</w:t>
            </w:r>
          </w:p>
        </w:tc>
      </w:tr>
      <w:tr w:rsidR="005B390E" w:rsidRPr="006E6390" w14:paraId="15AE8907" w14:textId="77777777" w:rsidTr="00477242">
        <w:trPr>
          <w:trHeight w:val="552"/>
        </w:trPr>
        <w:tc>
          <w:tcPr>
            <w:tcW w:w="2528" w:type="dxa"/>
          </w:tcPr>
          <w:p w14:paraId="13D180D9" w14:textId="77777777" w:rsidR="005B390E" w:rsidRPr="006E6390" w:rsidRDefault="005B390E" w:rsidP="0037066D">
            <w:pPr>
              <w:pStyle w:val="Tablas"/>
              <w:tabs>
                <w:tab w:val="left" w:pos="9270"/>
              </w:tabs>
              <w:spacing w:before="60" w:after="60"/>
              <w:rPr>
                <w:rFonts w:cs="Arial"/>
              </w:rPr>
            </w:pPr>
            <w:r w:rsidRPr="006E6390">
              <w:rPr>
                <w:rFonts w:cs="Arial"/>
              </w:rPr>
              <w:t>Luis Carlos Solera Salazar</w:t>
            </w:r>
          </w:p>
        </w:tc>
        <w:tc>
          <w:tcPr>
            <w:tcW w:w="4140" w:type="dxa"/>
          </w:tcPr>
          <w:p w14:paraId="6748D035" w14:textId="77777777" w:rsidR="005B390E" w:rsidRPr="006E6390" w:rsidRDefault="000A6BCD" w:rsidP="0037066D">
            <w:pPr>
              <w:pStyle w:val="Tablas"/>
              <w:tabs>
                <w:tab w:val="left" w:pos="9270"/>
              </w:tabs>
              <w:spacing w:before="60" w:after="60"/>
              <w:rPr>
                <w:rFonts w:cs="Arial"/>
              </w:rPr>
            </w:pPr>
            <w:r>
              <w:rPr>
                <w:rFonts w:cs="Arial"/>
              </w:rPr>
              <w:t>Jefe Depto. Estudios Económicos y Financieros</w:t>
            </w:r>
          </w:p>
        </w:tc>
        <w:tc>
          <w:tcPr>
            <w:tcW w:w="1852" w:type="dxa"/>
          </w:tcPr>
          <w:p w14:paraId="6F68771D" w14:textId="77777777" w:rsidR="005B390E" w:rsidRPr="006E6390" w:rsidRDefault="005B390E" w:rsidP="0037066D">
            <w:pPr>
              <w:pStyle w:val="Tablas"/>
              <w:tabs>
                <w:tab w:val="left" w:pos="9270"/>
              </w:tabs>
              <w:spacing w:before="60" w:after="60"/>
              <w:rPr>
                <w:rFonts w:cs="Arial"/>
              </w:rPr>
            </w:pPr>
            <w:r w:rsidRPr="006E6390">
              <w:rPr>
                <w:rFonts w:cs="Arial"/>
              </w:rPr>
              <w:t>Coordinador</w:t>
            </w:r>
          </w:p>
        </w:tc>
      </w:tr>
      <w:tr w:rsidR="005B390E" w:rsidRPr="006E6390" w14:paraId="10A6EEE8" w14:textId="77777777" w:rsidTr="00477242">
        <w:trPr>
          <w:trHeight w:val="390"/>
        </w:trPr>
        <w:tc>
          <w:tcPr>
            <w:tcW w:w="8520" w:type="dxa"/>
            <w:gridSpan w:val="3"/>
          </w:tcPr>
          <w:p w14:paraId="63CB7DD3" w14:textId="77777777" w:rsidR="005B390E" w:rsidRPr="006E6390" w:rsidRDefault="005B390E" w:rsidP="0037066D">
            <w:pPr>
              <w:pStyle w:val="Tablas"/>
              <w:tabs>
                <w:tab w:val="left" w:pos="9270"/>
              </w:tabs>
              <w:spacing w:before="60" w:after="60"/>
              <w:rPr>
                <w:rFonts w:cs="Arial"/>
                <w:b/>
              </w:rPr>
            </w:pPr>
            <w:r w:rsidRPr="006E6390">
              <w:rPr>
                <w:rFonts w:cs="Arial"/>
                <w:b/>
              </w:rPr>
              <w:t>FINANZAS CORPORATIVAS DE CENTROAMERICA, FCCA S.A.</w:t>
            </w:r>
          </w:p>
        </w:tc>
      </w:tr>
      <w:tr w:rsidR="005B390E" w:rsidRPr="006E6390" w14:paraId="3E82AFB1" w14:textId="77777777" w:rsidTr="00477242">
        <w:trPr>
          <w:trHeight w:val="552"/>
        </w:trPr>
        <w:tc>
          <w:tcPr>
            <w:tcW w:w="2528" w:type="dxa"/>
          </w:tcPr>
          <w:p w14:paraId="6F27F94B" w14:textId="77777777" w:rsidR="005B390E" w:rsidRPr="006E6390" w:rsidRDefault="005B390E" w:rsidP="0037066D">
            <w:pPr>
              <w:pStyle w:val="Tablas"/>
              <w:tabs>
                <w:tab w:val="left" w:pos="9270"/>
              </w:tabs>
              <w:spacing w:before="60" w:after="60"/>
              <w:rPr>
                <w:rFonts w:cs="Arial"/>
              </w:rPr>
            </w:pPr>
            <w:r w:rsidRPr="006E6390">
              <w:rPr>
                <w:rFonts w:cs="Arial"/>
              </w:rPr>
              <w:t>Roberto Venegas Renauld</w:t>
            </w:r>
          </w:p>
        </w:tc>
        <w:tc>
          <w:tcPr>
            <w:tcW w:w="4140" w:type="dxa"/>
          </w:tcPr>
          <w:p w14:paraId="6B93A93B" w14:textId="77777777" w:rsidR="005B390E" w:rsidRPr="006E6390" w:rsidRDefault="00203A70" w:rsidP="0037066D">
            <w:pPr>
              <w:pStyle w:val="Tablas"/>
              <w:tabs>
                <w:tab w:val="left" w:pos="9270"/>
              </w:tabs>
              <w:spacing w:before="60" w:after="60"/>
              <w:rPr>
                <w:rFonts w:cs="Arial"/>
              </w:rPr>
            </w:pPr>
            <w:r w:rsidRPr="006E6390">
              <w:rPr>
                <w:rFonts w:cs="Arial"/>
              </w:rPr>
              <w:t>Presidente</w:t>
            </w:r>
          </w:p>
        </w:tc>
        <w:tc>
          <w:tcPr>
            <w:tcW w:w="1852" w:type="dxa"/>
          </w:tcPr>
          <w:p w14:paraId="1AD0275C" w14:textId="77777777" w:rsidR="005B390E" w:rsidRPr="006E6390" w:rsidRDefault="00203A70" w:rsidP="0037066D">
            <w:pPr>
              <w:pStyle w:val="Tablas"/>
              <w:tabs>
                <w:tab w:val="left" w:pos="9270"/>
              </w:tabs>
              <w:spacing w:before="60" w:after="60"/>
              <w:rPr>
                <w:rFonts w:cs="Arial"/>
              </w:rPr>
            </w:pPr>
            <w:r w:rsidRPr="006E6390">
              <w:rPr>
                <w:rFonts w:cs="Arial"/>
              </w:rPr>
              <w:t xml:space="preserve">Estructurador </w:t>
            </w:r>
          </w:p>
        </w:tc>
      </w:tr>
      <w:tr w:rsidR="00215093" w:rsidRPr="006E6390" w14:paraId="6BA469D8" w14:textId="77777777" w:rsidTr="00477242">
        <w:trPr>
          <w:trHeight w:val="552"/>
        </w:trPr>
        <w:tc>
          <w:tcPr>
            <w:tcW w:w="2528" w:type="dxa"/>
          </w:tcPr>
          <w:p w14:paraId="369AE6C7" w14:textId="77777777" w:rsidR="00215093" w:rsidRPr="006E6390" w:rsidDel="0076038B" w:rsidRDefault="000A6BCD" w:rsidP="0037066D">
            <w:pPr>
              <w:pStyle w:val="Tablas"/>
              <w:tabs>
                <w:tab w:val="left" w:pos="9270"/>
              </w:tabs>
              <w:spacing w:before="60" w:after="60"/>
              <w:rPr>
                <w:rFonts w:cs="Arial"/>
              </w:rPr>
            </w:pPr>
            <w:r>
              <w:rPr>
                <w:rFonts w:cs="Arial"/>
              </w:rPr>
              <w:t>Bárbara Dehais Córdova</w:t>
            </w:r>
          </w:p>
        </w:tc>
        <w:tc>
          <w:tcPr>
            <w:tcW w:w="4140" w:type="dxa"/>
          </w:tcPr>
          <w:p w14:paraId="6F943316" w14:textId="77777777" w:rsidR="00215093" w:rsidRPr="006E6390" w:rsidRDefault="000A6BCD" w:rsidP="0037066D">
            <w:pPr>
              <w:pStyle w:val="Tablas"/>
              <w:tabs>
                <w:tab w:val="left" w:pos="9270"/>
              </w:tabs>
              <w:spacing w:before="60" w:after="60"/>
              <w:rPr>
                <w:rFonts w:cs="Arial"/>
              </w:rPr>
            </w:pPr>
            <w:r>
              <w:rPr>
                <w:rFonts w:cs="Arial"/>
              </w:rPr>
              <w:t>Directora de Finanzas Bursátiles</w:t>
            </w:r>
          </w:p>
        </w:tc>
        <w:tc>
          <w:tcPr>
            <w:tcW w:w="1852" w:type="dxa"/>
          </w:tcPr>
          <w:p w14:paraId="2378C82F" w14:textId="77777777" w:rsidR="00215093" w:rsidRPr="006E6390" w:rsidRDefault="00335078" w:rsidP="0037066D">
            <w:pPr>
              <w:pStyle w:val="Tablas"/>
              <w:tabs>
                <w:tab w:val="left" w:pos="9270"/>
              </w:tabs>
              <w:spacing w:before="60" w:after="60"/>
              <w:rPr>
                <w:rFonts w:cs="Arial"/>
              </w:rPr>
            </w:pPr>
            <w:r w:rsidRPr="006E6390">
              <w:rPr>
                <w:rFonts w:cs="Arial"/>
              </w:rPr>
              <w:t>Estructurador</w:t>
            </w:r>
          </w:p>
        </w:tc>
      </w:tr>
    </w:tbl>
    <w:p w14:paraId="1D7D7B35" w14:textId="77777777" w:rsidR="00E9208E" w:rsidRDefault="00E9208E" w:rsidP="00B0078B">
      <w:pPr>
        <w:rPr>
          <w:rFonts w:cs="Arial"/>
        </w:rPr>
      </w:pPr>
      <w:r>
        <w:rPr>
          <w:rFonts w:cs="Arial"/>
        </w:rPr>
        <w:t>Nota: las personas arriba indicadas corresponden a las que participaron en el proceso de inscripción y registro de la Serie A y no a los funcionarios actuales.</w:t>
      </w:r>
    </w:p>
    <w:p w14:paraId="71EC5DEB" w14:textId="77777777" w:rsidR="00203A70" w:rsidRPr="006E6390" w:rsidRDefault="00203A70" w:rsidP="00B0078B">
      <w:pPr>
        <w:rPr>
          <w:rFonts w:cs="Arial"/>
        </w:rPr>
      </w:pPr>
      <w:r w:rsidRPr="006E6390">
        <w:rPr>
          <w:rFonts w:cs="Arial"/>
        </w:rPr>
        <w:br w:type="page"/>
      </w:r>
    </w:p>
    <w:p w14:paraId="13DBED05" w14:textId="77777777" w:rsidR="005B390E" w:rsidRPr="006E6390" w:rsidRDefault="00D3482B" w:rsidP="00B86698">
      <w:pPr>
        <w:pStyle w:val="Ttulo1"/>
      </w:pPr>
      <w:bookmarkStart w:id="56" w:name="_Toc38630782"/>
      <w:r w:rsidRPr="006E6390">
        <w:lastRenderedPageBreak/>
        <w:t xml:space="preserve">2. </w:t>
      </w:r>
      <w:r w:rsidR="005B390E" w:rsidRPr="006E6390">
        <w:t>Información esencial</w:t>
      </w:r>
      <w:bookmarkEnd w:id="56"/>
    </w:p>
    <w:p w14:paraId="18812698" w14:textId="191D0E26" w:rsidR="00A44958" w:rsidRPr="006E6390" w:rsidRDefault="005B390E">
      <w:pPr>
        <w:rPr>
          <w:rFonts w:cs="Arial"/>
          <w:lang w:eastAsia="es-MX"/>
        </w:rPr>
      </w:pPr>
      <w:r w:rsidRPr="006E6390">
        <w:rPr>
          <w:rFonts w:cs="Arial"/>
          <w:lang w:eastAsia="es-MX"/>
        </w:rPr>
        <w:t>En esta sección se comunicará a los posibles inversionistas los aspectos más relevantes sobre la condición financiera de RECOPE y los factores de riesgo asociados a la inversión.</w:t>
      </w:r>
    </w:p>
    <w:p w14:paraId="38E65192" w14:textId="77777777" w:rsidR="005B390E" w:rsidRPr="006E6390" w:rsidRDefault="005B390E" w:rsidP="00A50BF2">
      <w:pPr>
        <w:pStyle w:val="Ttulo2"/>
        <w:rPr>
          <w:rFonts w:cs="Arial"/>
        </w:rPr>
      </w:pPr>
      <w:bookmarkStart w:id="57" w:name="_Toc38630783"/>
      <w:r w:rsidRPr="006E6390">
        <w:rPr>
          <w:rFonts w:cs="Arial"/>
        </w:rPr>
        <w:t>2.1</w:t>
      </w:r>
      <w:bookmarkStart w:id="58" w:name="_Toc65500734"/>
      <w:r w:rsidR="00DE609C" w:rsidRPr="006E6390">
        <w:rPr>
          <w:rFonts w:cs="Arial"/>
        </w:rPr>
        <w:t>.</w:t>
      </w:r>
      <w:r w:rsidRPr="006E6390">
        <w:rPr>
          <w:rFonts w:cs="Arial"/>
        </w:rPr>
        <w:t xml:space="preserve"> Factores de riesgo que afectan a la emisión y a la empresa</w:t>
      </w:r>
      <w:bookmarkEnd w:id="57"/>
      <w:bookmarkEnd w:id="58"/>
    </w:p>
    <w:p w14:paraId="76D4257A" w14:textId="0AB47750" w:rsidR="005B390E" w:rsidRDefault="005B390E" w:rsidP="002F28AC">
      <w:pPr>
        <w:spacing w:after="0"/>
        <w:rPr>
          <w:rFonts w:cs="Arial"/>
          <w:lang w:eastAsia="es-MX"/>
        </w:rPr>
      </w:pPr>
      <w:r w:rsidRPr="006E6390">
        <w:rPr>
          <w:rFonts w:cs="Arial"/>
          <w:lang w:eastAsia="es-MX"/>
        </w:rPr>
        <w:t>Los factores de riesgo definen algunas situaciones, circunstancias o eventos que pueden suscitarse en la empresa y reducir o limitar el rendimiento y liquidez de los valores objeto de la oferta pública y traducirse en pérdidas para el inversionista.</w:t>
      </w:r>
      <w:r w:rsidR="0014757D" w:rsidRPr="006E6390">
        <w:rPr>
          <w:rFonts w:cs="Arial"/>
          <w:lang w:eastAsia="es-MX"/>
        </w:rPr>
        <w:t xml:space="preserve"> </w:t>
      </w:r>
      <w:r w:rsidRPr="006E6390">
        <w:rPr>
          <w:rFonts w:cs="Arial"/>
          <w:lang w:eastAsia="es-MX"/>
        </w:rPr>
        <w:t>Las siguientes anotaciones le servirán de orientación para evaluar el efecto que éstos podrían tener en la inversión.</w:t>
      </w:r>
    </w:p>
    <w:p w14:paraId="650BE2B0" w14:textId="77777777" w:rsidR="00A44958" w:rsidRPr="006E6390" w:rsidRDefault="00A44958" w:rsidP="002F28AC">
      <w:pPr>
        <w:spacing w:after="0"/>
        <w:rPr>
          <w:rFonts w:cs="Arial"/>
          <w:lang w:eastAsia="es-MX"/>
        </w:rPr>
      </w:pPr>
    </w:p>
    <w:p w14:paraId="43AEB88C" w14:textId="75490D86" w:rsidR="005B390E" w:rsidRDefault="005B390E" w:rsidP="002F28AC">
      <w:pPr>
        <w:spacing w:after="0"/>
        <w:rPr>
          <w:rFonts w:cs="Arial"/>
          <w:lang w:eastAsia="es-MX"/>
        </w:rPr>
      </w:pPr>
      <w:r w:rsidRPr="006E6390">
        <w:rPr>
          <w:rFonts w:cs="Arial"/>
          <w:lang w:eastAsia="es-MX"/>
        </w:rPr>
        <w:t>Estos factores de riesgo son clasificados como riesgos asociados con la emisión de los títulos valores (de oferta), riesgos asociados propiamente con el emisor (RECOPE), riesgos asociados con la industria y riesgos asociados a las principales variables macroeconómicos (del entorno).</w:t>
      </w:r>
    </w:p>
    <w:p w14:paraId="0E98BE86" w14:textId="77777777" w:rsidR="00A44958" w:rsidRPr="006E6390" w:rsidRDefault="00A44958" w:rsidP="002F28AC">
      <w:pPr>
        <w:spacing w:after="0"/>
        <w:rPr>
          <w:rFonts w:cs="Arial"/>
          <w:lang w:eastAsia="es-MX"/>
        </w:rPr>
      </w:pPr>
    </w:p>
    <w:p w14:paraId="20EABD2F" w14:textId="77777777" w:rsidR="005B390E" w:rsidRPr="006E6390" w:rsidRDefault="005B390E" w:rsidP="00A50BF2">
      <w:pPr>
        <w:pStyle w:val="Ttulo3"/>
        <w:rPr>
          <w:rFonts w:cs="Arial"/>
        </w:rPr>
      </w:pPr>
      <w:bookmarkStart w:id="59" w:name="_Toc38630784"/>
      <w:r w:rsidRPr="006E6390">
        <w:rPr>
          <w:rFonts w:cs="Arial"/>
        </w:rPr>
        <w:t>2.1.1</w:t>
      </w:r>
      <w:r w:rsidR="00DE609C" w:rsidRPr="006E6390">
        <w:rPr>
          <w:rFonts w:cs="Arial"/>
        </w:rPr>
        <w:t>.</w:t>
      </w:r>
      <w:r w:rsidRPr="006E6390">
        <w:rPr>
          <w:rFonts w:cs="Arial"/>
        </w:rPr>
        <w:t xml:space="preserve"> Riesgos de la oferta</w:t>
      </w:r>
      <w:bookmarkEnd w:id="59"/>
    </w:p>
    <w:p w14:paraId="4F5FD834" w14:textId="0E8AB564" w:rsidR="00A44958" w:rsidRPr="006E6390" w:rsidRDefault="005B390E" w:rsidP="002F28AC">
      <w:pPr>
        <w:spacing w:before="240"/>
        <w:rPr>
          <w:rFonts w:cs="Arial"/>
          <w:lang w:eastAsia="es-MX"/>
        </w:rPr>
      </w:pPr>
      <w:r w:rsidRPr="006E6390">
        <w:rPr>
          <w:rFonts w:cs="Arial"/>
          <w:lang w:eastAsia="es-MX"/>
        </w:rPr>
        <w:t xml:space="preserve">Son los riesgos propios de las emisiones y la forma en que afectan a los inversionistas. A </w:t>
      </w:r>
      <w:r w:rsidR="0031490A" w:rsidRPr="006E6390">
        <w:rPr>
          <w:rFonts w:cs="Arial"/>
          <w:lang w:eastAsia="es-MX"/>
        </w:rPr>
        <w:t>continuación,</w:t>
      </w:r>
      <w:r w:rsidRPr="006E6390">
        <w:rPr>
          <w:rFonts w:cs="Arial"/>
          <w:lang w:eastAsia="es-MX"/>
        </w:rPr>
        <w:t xml:space="preserve"> se detalla cada uno de ellos:</w:t>
      </w:r>
    </w:p>
    <w:p w14:paraId="0CA64C5E" w14:textId="77777777" w:rsidR="005B390E" w:rsidRPr="006E6390" w:rsidRDefault="005B390E" w:rsidP="002331C3">
      <w:pPr>
        <w:pStyle w:val="Ttulo4"/>
        <w:numPr>
          <w:ilvl w:val="0"/>
          <w:numId w:val="6"/>
        </w:numPr>
        <w:rPr>
          <w:rFonts w:cs="Arial"/>
        </w:rPr>
      </w:pPr>
      <w:r w:rsidRPr="006E6390">
        <w:rPr>
          <w:rFonts w:cs="Arial"/>
        </w:rPr>
        <w:t>Riesgo de cesación de pagos</w:t>
      </w:r>
    </w:p>
    <w:p w14:paraId="158AD75E" w14:textId="1ECDC61F" w:rsidR="00A44958" w:rsidRPr="006E6390" w:rsidRDefault="005B390E">
      <w:pPr>
        <w:rPr>
          <w:rFonts w:cs="Arial"/>
          <w:lang w:eastAsia="es-MX"/>
        </w:rPr>
      </w:pPr>
      <w:r w:rsidRPr="006E6390">
        <w:rPr>
          <w:rFonts w:cs="Arial"/>
          <w:lang w:eastAsia="es-MX"/>
        </w:rPr>
        <w:t>El riesgo de crédito, para el inversionista, se origina en la posibilidad de que el emisor incumpla con sus obligaciones. El riesgo de crédito puede tomar la forma de atrasos o de un incumplimiento de los pagos del principal e intereses.</w:t>
      </w:r>
    </w:p>
    <w:p w14:paraId="55806703" w14:textId="77777777" w:rsidR="005B390E" w:rsidRPr="006E6390" w:rsidRDefault="005B390E" w:rsidP="002331C3">
      <w:pPr>
        <w:pStyle w:val="Ttulo4"/>
        <w:numPr>
          <w:ilvl w:val="0"/>
          <w:numId w:val="6"/>
        </w:numPr>
        <w:rPr>
          <w:rFonts w:cs="Arial"/>
        </w:rPr>
      </w:pPr>
      <w:r w:rsidRPr="006E6390">
        <w:rPr>
          <w:rFonts w:cs="Arial"/>
        </w:rPr>
        <w:t>Riesgo de variación de precio de los valores</w:t>
      </w:r>
    </w:p>
    <w:p w14:paraId="23E07E4A" w14:textId="257BC8BD" w:rsidR="00A44958" w:rsidRPr="006E6390" w:rsidRDefault="005B390E">
      <w:pPr>
        <w:rPr>
          <w:rFonts w:cs="Arial"/>
          <w:lang w:eastAsia="es-MX"/>
        </w:rPr>
      </w:pPr>
      <w:r w:rsidRPr="006E6390">
        <w:rPr>
          <w:rFonts w:cs="Arial"/>
          <w:lang w:eastAsia="es-MX"/>
        </w:rPr>
        <w:t>Los precios de los valores podrían verse afectados por condiciones relacionadas con la percepción de riesgo que tengan los inversionistas sobre la solvencia del emisor. En forma similar, condiciones adversas en el mercado de valores, como problemas de liquidez, aumentos en las tasas de interés y otros, pueden afectar los precios de los valores. En esos casos los tenedores podrían experimentar fluctuaciones en el valor de mercado de los valores.</w:t>
      </w:r>
    </w:p>
    <w:p w14:paraId="31E377B5" w14:textId="77777777" w:rsidR="005B390E" w:rsidRPr="006E6390" w:rsidRDefault="005B390E" w:rsidP="002331C3">
      <w:pPr>
        <w:pStyle w:val="Ttulo4"/>
        <w:numPr>
          <w:ilvl w:val="0"/>
          <w:numId w:val="6"/>
        </w:numPr>
        <w:rPr>
          <w:rFonts w:cs="Arial"/>
        </w:rPr>
      </w:pPr>
      <w:r w:rsidRPr="006E6390">
        <w:rPr>
          <w:rFonts w:cs="Arial"/>
        </w:rPr>
        <w:t>Riesgo de iliquidez en el mercado secundario</w:t>
      </w:r>
    </w:p>
    <w:p w14:paraId="600D21DF" w14:textId="3E4B84E2" w:rsidR="00A44958" w:rsidRPr="006E6390" w:rsidRDefault="005B390E">
      <w:pPr>
        <w:rPr>
          <w:rFonts w:cs="Arial"/>
          <w:lang w:eastAsia="es-MX"/>
        </w:rPr>
      </w:pPr>
      <w:r w:rsidRPr="006E6390">
        <w:rPr>
          <w:rFonts w:cs="Arial"/>
          <w:lang w:eastAsia="es-MX"/>
        </w:rPr>
        <w:t>El riesgo de iliquidez se refiere a la posible dificultad del inversionista en convertir los títulos valores en fondos líquidos con la prontitud esperada, ya sea por limitaciones del mercado o por las características de las emisiones. Tal situación puede conllevar ajustes en el precio y en los costos de transacción para cerrar una operación en el mercado, lo que podría ocasionar que el inversionista reciba un monto menor al invertido o que éste no pueda liquidar su inversión.</w:t>
      </w:r>
    </w:p>
    <w:p w14:paraId="4A68E485" w14:textId="77777777" w:rsidR="005B390E" w:rsidRPr="006E6390" w:rsidRDefault="005B390E" w:rsidP="002331C3">
      <w:pPr>
        <w:pStyle w:val="Ttulo4"/>
        <w:numPr>
          <w:ilvl w:val="0"/>
          <w:numId w:val="6"/>
        </w:numPr>
        <w:rPr>
          <w:rFonts w:cs="Arial"/>
        </w:rPr>
      </w:pPr>
      <w:r w:rsidRPr="006E6390">
        <w:rPr>
          <w:rFonts w:cs="Arial"/>
        </w:rPr>
        <w:lastRenderedPageBreak/>
        <w:t>Riesgo de variación en el tratamiento fiscal de los intereses</w:t>
      </w:r>
    </w:p>
    <w:p w14:paraId="0DDC4B65" w14:textId="6292D031" w:rsidR="00A44958" w:rsidRPr="006E6390" w:rsidRDefault="005B390E" w:rsidP="002F28AC">
      <w:pPr>
        <w:spacing w:before="240"/>
        <w:rPr>
          <w:rFonts w:cs="Arial"/>
          <w:lang w:eastAsia="es-MX"/>
        </w:rPr>
      </w:pPr>
      <w:r w:rsidRPr="006E6390">
        <w:rPr>
          <w:rFonts w:cs="Arial"/>
          <w:lang w:eastAsia="es-MX"/>
        </w:rPr>
        <w:t>El tratamiento fiscal vigente, para los intereses de los bonos de la presente emisión, puede ser modificado por eventuales cambios en la legislación tributaria, en cuyo caso se verían afectados los intereses netos de impuesto sobre la renta.</w:t>
      </w:r>
    </w:p>
    <w:p w14:paraId="4E3D667A" w14:textId="77777777" w:rsidR="005B390E" w:rsidRPr="006E6390" w:rsidRDefault="005B390E" w:rsidP="002331C3">
      <w:pPr>
        <w:pStyle w:val="Ttulo4"/>
        <w:numPr>
          <w:ilvl w:val="0"/>
          <w:numId w:val="6"/>
        </w:numPr>
        <w:rPr>
          <w:rFonts w:cs="Arial"/>
        </w:rPr>
      </w:pPr>
      <w:r w:rsidRPr="006E6390">
        <w:rPr>
          <w:rFonts w:cs="Arial"/>
        </w:rPr>
        <w:t>Riesgo de redención anticipada</w:t>
      </w:r>
    </w:p>
    <w:p w14:paraId="24912DEA" w14:textId="3549CA42" w:rsidR="005B390E" w:rsidRDefault="005B390E" w:rsidP="002F28AC">
      <w:pPr>
        <w:spacing w:after="0"/>
        <w:rPr>
          <w:rFonts w:cs="Arial"/>
          <w:lang w:eastAsia="es-MX"/>
        </w:rPr>
      </w:pPr>
      <w:r w:rsidRPr="006E6390">
        <w:rPr>
          <w:rFonts w:cs="Arial"/>
          <w:lang w:eastAsia="es-MX"/>
        </w:rPr>
        <w:t>Las emisiones del programa de emisiones pueden tener cláusulas de redención anticipada, en virtud de la cual el emisor puede cancelar, parcial o totalmente, en forma anticipada en las condiciones que se estipulen en dicha cláusula. A pesar de que el emisor anuncia la</w:t>
      </w:r>
      <w:r w:rsidR="007310B2" w:rsidRPr="006E6390">
        <w:rPr>
          <w:rFonts w:cs="Arial"/>
          <w:lang w:eastAsia="es-MX"/>
        </w:rPr>
        <w:t>s</w:t>
      </w:r>
      <w:r w:rsidRPr="006E6390">
        <w:rPr>
          <w:rFonts w:cs="Arial"/>
          <w:lang w:eastAsia="es-MX"/>
        </w:rPr>
        <w:t xml:space="preserve"> características de la redención anticipada al momento de oferta pública de la serie que haya decidido que tenga esta condición, para el inversionista no hay certeza de cuando se haría efectiva la cláusula de redención, por lo que el rendimiento al vencimiento puede ser distinto al rendimiento esperado en el momento de compra del valor.</w:t>
      </w:r>
    </w:p>
    <w:p w14:paraId="772AEE7C" w14:textId="77777777" w:rsidR="00A44958" w:rsidRPr="006E6390" w:rsidRDefault="00A44958" w:rsidP="004A26B9">
      <w:pPr>
        <w:rPr>
          <w:rFonts w:cs="Arial"/>
          <w:lang w:eastAsia="es-MX"/>
        </w:rPr>
      </w:pPr>
    </w:p>
    <w:p w14:paraId="709B2A72" w14:textId="77777777" w:rsidR="005B390E" w:rsidRPr="006E6390" w:rsidRDefault="005B390E" w:rsidP="002331C3">
      <w:pPr>
        <w:pStyle w:val="Ttulo4"/>
        <w:numPr>
          <w:ilvl w:val="0"/>
          <w:numId w:val="6"/>
        </w:numPr>
        <w:rPr>
          <w:rFonts w:cs="Arial"/>
        </w:rPr>
      </w:pPr>
      <w:r w:rsidRPr="006E6390">
        <w:rPr>
          <w:rFonts w:cs="Arial"/>
        </w:rPr>
        <w:t>Riesgo de desinscripción de la emisión</w:t>
      </w:r>
    </w:p>
    <w:p w14:paraId="0BB83959" w14:textId="57B13C11" w:rsidR="005B390E" w:rsidRDefault="005B390E" w:rsidP="002F28AC">
      <w:pPr>
        <w:spacing w:after="0"/>
        <w:rPr>
          <w:rFonts w:cs="Arial"/>
          <w:lang w:eastAsia="es-MX"/>
        </w:rPr>
      </w:pPr>
      <w:r w:rsidRPr="006E6390">
        <w:rPr>
          <w:rFonts w:cs="Arial"/>
          <w:lang w:eastAsia="es-MX"/>
        </w:rPr>
        <w:t>Las emisiones de Bonos Estandarizados pueden ser desinscritas del Registro de Valores e Intermediarios. Para efectuar la desinscripción el emisor debe cumplir con una serie de requisitos previstos en el Reglamento de Oferta Pública a satisfacción de la Superintendencia General de Valores, entre otros, los indicados en los artículos 127 al 129, dentro de los cuales se establece que el 100% de los tenedores de los títulos debe estar de acuerdo con la desinscripción.</w:t>
      </w:r>
    </w:p>
    <w:p w14:paraId="315E5A6A" w14:textId="77777777" w:rsidR="00DA4765" w:rsidRPr="006E6390" w:rsidRDefault="00DA4765" w:rsidP="002F28AC">
      <w:pPr>
        <w:spacing w:after="0"/>
        <w:rPr>
          <w:rFonts w:cs="Arial"/>
          <w:lang w:eastAsia="es-MX"/>
        </w:rPr>
      </w:pPr>
    </w:p>
    <w:p w14:paraId="357CCE65" w14:textId="25622297" w:rsidR="005B390E" w:rsidRDefault="005B390E" w:rsidP="002F28AC">
      <w:pPr>
        <w:spacing w:after="0"/>
        <w:rPr>
          <w:rFonts w:cs="Arial"/>
          <w:lang w:eastAsia="es-MX"/>
        </w:rPr>
      </w:pPr>
      <w:r w:rsidRPr="006E6390">
        <w:rPr>
          <w:rFonts w:cs="Arial"/>
          <w:lang w:eastAsia="es-MX"/>
        </w:rPr>
        <w:t>En el caso que se desinscriba la emisión y no se liquiden los valores, los inversionistas no contarían con información periódica ni podrían negociar los valores en el mercado secundario.</w:t>
      </w:r>
    </w:p>
    <w:p w14:paraId="40D5BBD2" w14:textId="77777777" w:rsidR="00DA4765" w:rsidRPr="006E6390" w:rsidRDefault="00DA4765" w:rsidP="004A26B9">
      <w:pPr>
        <w:rPr>
          <w:rFonts w:cs="Arial"/>
          <w:lang w:eastAsia="es-MX"/>
        </w:rPr>
      </w:pPr>
    </w:p>
    <w:p w14:paraId="1006C1F9" w14:textId="77777777" w:rsidR="005B390E" w:rsidRPr="006E6390" w:rsidRDefault="005B390E" w:rsidP="002331C3">
      <w:pPr>
        <w:pStyle w:val="Ttulo4"/>
        <w:numPr>
          <w:ilvl w:val="0"/>
          <w:numId w:val="6"/>
        </w:numPr>
        <w:rPr>
          <w:rFonts w:cs="Arial"/>
        </w:rPr>
      </w:pPr>
      <w:r w:rsidRPr="006E6390">
        <w:rPr>
          <w:rFonts w:cs="Arial"/>
        </w:rPr>
        <w:t>Riesgo por la posibilidad de que el emisor pague los intereses y principal en colones.</w:t>
      </w:r>
    </w:p>
    <w:p w14:paraId="6E4C39A8" w14:textId="2DFBE784" w:rsidR="005B390E" w:rsidRDefault="005B390E" w:rsidP="002F28AC">
      <w:pPr>
        <w:spacing w:after="0"/>
        <w:rPr>
          <w:rFonts w:cs="Arial"/>
          <w:lang w:eastAsia="es-MX"/>
        </w:rPr>
      </w:pPr>
      <w:r w:rsidRPr="006E6390">
        <w:rPr>
          <w:rFonts w:cs="Arial"/>
          <w:lang w:eastAsia="es-MX"/>
        </w:rPr>
        <w:t xml:space="preserve">Existe el riesgo de que, ante la presencia de algún grado de inestabilidad macroeconómica relevante, el emisor no pueda disponer de las divisas necesarias para cancelar a los inversionistas sus beneficios en la moneda funcional de la Emisión de las series denominadas en dólares, moneda de curso legal de los Estados Unidos de América. </w:t>
      </w:r>
    </w:p>
    <w:p w14:paraId="33ED6ED2" w14:textId="77777777" w:rsidR="00A217A3" w:rsidRPr="006E6390" w:rsidRDefault="00A217A3" w:rsidP="002F28AC">
      <w:pPr>
        <w:spacing w:after="0"/>
        <w:rPr>
          <w:rFonts w:cs="Arial"/>
          <w:lang w:eastAsia="es-MX"/>
        </w:rPr>
      </w:pPr>
    </w:p>
    <w:p w14:paraId="7D4CD7D1" w14:textId="455A2B1F" w:rsidR="005B390E" w:rsidRDefault="005B390E" w:rsidP="002F28AC">
      <w:pPr>
        <w:spacing w:after="0"/>
        <w:rPr>
          <w:rFonts w:cs="Arial"/>
          <w:lang w:eastAsia="es-MX"/>
        </w:rPr>
      </w:pPr>
      <w:r w:rsidRPr="006E6390">
        <w:rPr>
          <w:rFonts w:cs="Arial"/>
          <w:lang w:eastAsia="es-MX"/>
        </w:rPr>
        <w:t>En consecuencia, el emisor podría recurrir a cancelar el principal y los intereses en moneda nacional, de conformidad con lo estipulado en el artículo 48 de la Ley Orgánica del Banco Central de Costa Rica. Lo anterior influye en el rendimiento final de los inversionistas, ya que el inversionista podría nunca recibir sus aportes y rendimientos estrictamente en la moneda funcional, en el caso de las series denominadas en dólares, moneda de curso legal de los Estados Unidos de América.</w:t>
      </w:r>
    </w:p>
    <w:p w14:paraId="05BEBAF9" w14:textId="77777777" w:rsidR="00A217A3" w:rsidRPr="006E6390" w:rsidRDefault="00A217A3" w:rsidP="004A26B9">
      <w:pPr>
        <w:rPr>
          <w:rFonts w:cs="Arial"/>
          <w:lang w:eastAsia="es-MX"/>
        </w:rPr>
      </w:pPr>
    </w:p>
    <w:p w14:paraId="08005B73" w14:textId="77777777" w:rsidR="005B390E" w:rsidRPr="006E6390" w:rsidRDefault="005B390E" w:rsidP="008F23AD">
      <w:pPr>
        <w:pStyle w:val="Ttulo3"/>
        <w:rPr>
          <w:rFonts w:cs="Arial"/>
        </w:rPr>
      </w:pPr>
      <w:bookmarkStart w:id="60" w:name="_Toc38630785"/>
      <w:r w:rsidRPr="006E6390">
        <w:rPr>
          <w:rFonts w:cs="Arial"/>
        </w:rPr>
        <w:lastRenderedPageBreak/>
        <w:t>2.1.2</w:t>
      </w:r>
      <w:r w:rsidR="00DE609C" w:rsidRPr="006E6390">
        <w:rPr>
          <w:rFonts w:cs="Arial"/>
        </w:rPr>
        <w:t>.</w:t>
      </w:r>
      <w:r w:rsidRPr="006E6390">
        <w:rPr>
          <w:rFonts w:cs="Arial"/>
        </w:rPr>
        <w:t xml:space="preserve"> Riesgos propios de la Refinadora Costarricense de Petróleo S.A.</w:t>
      </w:r>
      <w:bookmarkEnd w:id="60"/>
    </w:p>
    <w:p w14:paraId="3419D8C2" w14:textId="31B0C6A5" w:rsidR="00D97A2F" w:rsidRPr="006E6390" w:rsidRDefault="005B390E">
      <w:pPr>
        <w:rPr>
          <w:rFonts w:cs="Arial"/>
          <w:lang w:eastAsia="es-MX"/>
        </w:rPr>
      </w:pPr>
      <w:r w:rsidRPr="006E6390">
        <w:rPr>
          <w:rFonts w:cs="Arial"/>
          <w:lang w:eastAsia="es-MX"/>
        </w:rPr>
        <w:t>Son los riesgos derivados de la propia administración del emisor, lo cual puede tener un impacto en su desempeño financiero y, consecuentemente, en su capacidad de pago para hacer frente a las obligaciones con los inversionistas. Este tipo de riesgos incluye los siguientes:</w:t>
      </w:r>
    </w:p>
    <w:p w14:paraId="5673DA75" w14:textId="77777777" w:rsidR="005B390E" w:rsidRPr="006E6390" w:rsidRDefault="005B390E" w:rsidP="00F275AD">
      <w:pPr>
        <w:pStyle w:val="Prrafodelista"/>
        <w:numPr>
          <w:ilvl w:val="0"/>
          <w:numId w:val="26"/>
        </w:numPr>
        <w:rPr>
          <w:rFonts w:cs="Arial"/>
          <w:b/>
        </w:rPr>
      </w:pPr>
      <w:r w:rsidRPr="006E6390">
        <w:rPr>
          <w:rFonts w:cs="Arial"/>
          <w:b/>
        </w:rPr>
        <w:t>Riesgo de concentración de clientes</w:t>
      </w:r>
    </w:p>
    <w:p w14:paraId="712CD9B8" w14:textId="49C95A04" w:rsidR="00D97A2F" w:rsidRPr="006E6390" w:rsidRDefault="005B390E">
      <w:pPr>
        <w:rPr>
          <w:rFonts w:cs="Arial"/>
          <w:lang w:eastAsia="es-MX"/>
        </w:rPr>
      </w:pPr>
      <w:r w:rsidRPr="006E6390">
        <w:rPr>
          <w:rFonts w:cs="Arial"/>
          <w:lang w:eastAsia="es-MX"/>
        </w:rPr>
        <w:t xml:space="preserve">Este riesgo se define como una alta concentración de la empresa en un segmento específico de clientes: ya sea por sector económico o naturaleza del consumo de combustibles. </w:t>
      </w:r>
      <w:r w:rsidR="0014757D" w:rsidRPr="006E6390">
        <w:rPr>
          <w:rFonts w:cs="Arial"/>
          <w:lang w:eastAsia="es-MX"/>
        </w:rPr>
        <w:t xml:space="preserve"> </w:t>
      </w:r>
      <w:r w:rsidRPr="006E6390">
        <w:rPr>
          <w:rFonts w:cs="Arial"/>
          <w:lang w:eastAsia="es-MX"/>
        </w:rPr>
        <w:t>Esto conlleva a un riesgo de dependencia de la actividad del cliente, por sector o uso, o en su defecto la posibilidad de que el cliente intente cambiar las condiciones de la relación comercial con la empresa, o que el sector disminuya su consumo o el uso sea sustituido por otra fuente, provocando una disminución en las ventas y, por tanto, en la utilidad de RECOPE.</w:t>
      </w:r>
    </w:p>
    <w:p w14:paraId="083B72C3" w14:textId="77777777" w:rsidR="00B74DCD" w:rsidRPr="006E6390" w:rsidRDefault="00B74DCD" w:rsidP="00F275AD">
      <w:pPr>
        <w:pStyle w:val="Prrafodelista"/>
        <w:numPr>
          <w:ilvl w:val="0"/>
          <w:numId w:val="26"/>
        </w:numPr>
        <w:rPr>
          <w:rFonts w:cs="Arial"/>
          <w:b/>
        </w:rPr>
      </w:pPr>
      <w:r w:rsidRPr="006E6390">
        <w:rPr>
          <w:rFonts w:cs="Arial"/>
          <w:b/>
        </w:rPr>
        <w:t>Riesgo de concentración de proveedores</w:t>
      </w:r>
    </w:p>
    <w:p w14:paraId="6BAE6201" w14:textId="5A37989A" w:rsidR="00C453B3" w:rsidRDefault="00487BCB" w:rsidP="002F28AC">
      <w:pPr>
        <w:spacing w:after="0"/>
        <w:rPr>
          <w:rFonts w:cs="Arial"/>
          <w:lang w:eastAsia="es-MX"/>
        </w:rPr>
      </w:pPr>
      <w:r w:rsidRPr="006E6390">
        <w:rPr>
          <w:rFonts w:cs="Arial"/>
          <w:lang w:eastAsia="es-MX"/>
        </w:rPr>
        <w:t>Es el riesgo al que se</w:t>
      </w:r>
      <w:r w:rsidR="00B74DCD" w:rsidRPr="006E6390">
        <w:rPr>
          <w:rFonts w:cs="Arial"/>
          <w:lang w:eastAsia="es-MX"/>
        </w:rPr>
        <w:t xml:space="preserve"> enfrenta una empresa cuando el suministro de su materia prima se concentra en pocos proveedores, exponiéndola al posible desabastecimiento en función de capacidad o interés de los proveedores para suplir las necesidades del cliente. </w:t>
      </w:r>
    </w:p>
    <w:p w14:paraId="21E63DB0" w14:textId="77777777" w:rsidR="00964858" w:rsidRPr="006E6390" w:rsidRDefault="00964858" w:rsidP="002F28AC">
      <w:pPr>
        <w:spacing w:after="0"/>
        <w:rPr>
          <w:rFonts w:cs="Arial"/>
          <w:lang w:eastAsia="es-MX"/>
        </w:rPr>
      </w:pPr>
    </w:p>
    <w:p w14:paraId="1BF29EED" w14:textId="515A15C3" w:rsidR="009B6188" w:rsidRDefault="009B6188" w:rsidP="002F28AC">
      <w:pPr>
        <w:spacing w:after="0"/>
        <w:rPr>
          <w:rFonts w:cs="Arial"/>
          <w:lang w:eastAsia="es-MX"/>
        </w:rPr>
      </w:pPr>
      <w:r w:rsidRPr="006E6390">
        <w:rPr>
          <w:rFonts w:cs="Arial"/>
          <w:lang w:eastAsia="es-MX"/>
        </w:rPr>
        <w:t xml:space="preserve">RECOPE compra por medio de concursos anuales donde participan </w:t>
      </w:r>
      <w:r w:rsidR="007760F3" w:rsidRPr="006E6390">
        <w:rPr>
          <w:rFonts w:cs="Arial"/>
          <w:lang w:eastAsia="es-MX"/>
        </w:rPr>
        <w:t>diferentes</w:t>
      </w:r>
      <w:r w:rsidRPr="006E6390">
        <w:rPr>
          <w:rFonts w:cs="Arial"/>
          <w:lang w:eastAsia="es-MX"/>
        </w:rPr>
        <w:t xml:space="preserve"> proveedores</w:t>
      </w:r>
      <w:r w:rsidR="007760F3" w:rsidRPr="006E6390">
        <w:rPr>
          <w:rFonts w:cs="Arial"/>
          <w:lang w:eastAsia="es-MX"/>
        </w:rPr>
        <w:t>, actores importantes del mercado internacional de combustibles previamente evaluados de garantizar el suministro. N</w:t>
      </w:r>
      <w:r w:rsidRPr="006E6390">
        <w:rPr>
          <w:rFonts w:cs="Arial"/>
          <w:lang w:eastAsia="es-MX"/>
        </w:rPr>
        <w:t xml:space="preserve">o le compra exclusivamente a una empresa </w:t>
      </w:r>
      <w:r w:rsidR="007760F3" w:rsidRPr="006E6390">
        <w:rPr>
          <w:rFonts w:cs="Arial"/>
          <w:lang w:eastAsia="es-MX"/>
        </w:rPr>
        <w:t xml:space="preserve">privada o </w:t>
      </w:r>
      <w:r w:rsidRPr="006E6390">
        <w:rPr>
          <w:rFonts w:cs="Arial"/>
          <w:lang w:eastAsia="es-MX"/>
        </w:rPr>
        <w:t xml:space="preserve">estatal de otro país como sucede en otros casos.  </w:t>
      </w:r>
      <w:r w:rsidR="00C453B3" w:rsidRPr="006E6390">
        <w:rPr>
          <w:rFonts w:cs="Arial"/>
          <w:lang w:eastAsia="es-MX"/>
        </w:rPr>
        <w:t>Para mitigar este riesgo</w:t>
      </w:r>
      <w:r w:rsidRPr="006E6390">
        <w:rPr>
          <w:rFonts w:cs="Arial"/>
          <w:lang w:eastAsia="es-MX"/>
        </w:rPr>
        <w:t xml:space="preserve">, los contratos más recientes </w:t>
      </w:r>
      <w:r w:rsidR="007760F3" w:rsidRPr="006E6390">
        <w:rPr>
          <w:rFonts w:cs="Arial"/>
          <w:lang w:eastAsia="es-MX"/>
        </w:rPr>
        <w:t>contemplan la posibilidad de compras en el me</w:t>
      </w:r>
      <w:r w:rsidRPr="006E6390">
        <w:rPr>
          <w:rFonts w:cs="Arial"/>
          <w:lang w:eastAsia="es-MX"/>
        </w:rPr>
        <w:t>rcado spot cuando las condiciones de mercado lo permiten.</w:t>
      </w:r>
    </w:p>
    <w:p w14:paraId="0801B601" w14:textId="77777777" w:rsidR="00964858" w:rsidRPr="006E6390" w:rsidRDefault="00964858" w:rsidP="002F28AC">
      <w:pPr>
        <w:spacing w:after="0"/>
        <w:rPr>
          <w:rFonts w:cs="Arial"/>
          <w:lang w:eastAsia="es-MX"/>
        </w:rPr>
      </w:pPr>
    </w:p>
    <w:p w14:paraId="5E8E8480" w14:textId="0C235ED0" w:rsidR="00964858" w:rsidRPr="006E6390" w:rsidRDefault="007760F3">
      <w:pPr>
        <w:rPr>
          <w:rFonts w:cs="Arial"/>
          <w:lang w:eastAsia="es-MX"/>
        </w:rPr>
      </w:pPr>
      <w:r w:rsidRPr="006E6390">
        <w:rPr>
          <w:rFonts w:cs="Arial"/>
          <w:lang w:eastAsia="es-MX"/>
        </w:rPr>
        <w:t xml:space="preserve">Un incumplimiento de un proveedor podría impactar a RECOPE con un desabastecimiento, a pesar de que RECOPE </w:t>
      </w:r>
      <w:r w:rsidRPr="001110AF">
        <w:rPr>
          <w:rFonts w:cs="Arial"/>
          <w:lang w:eastAsia="es-MX"/>
        </w:rPr>
        <w:t>maneja inventarios de seguridad podrían no ser suficientes para evitar el desabastecimiento.  Esto se mitiga dando seguimiento a las importaciones desde antes del momento de carga y hasta su llegada a los tanques de RECOPE.</w:t>
      </w:r>
    </w:p>
    <w:p w14:paraId="174DD28F" w14:textId="77777777" w:rsidR="005B390E" w:rsidRPr="006E6390" w:rsidRDefault="005B390E" w:rsidP="00F275AD">
      <w:pPr>
        <w:pStyle w:val="Prrafodelista"/>
        <w:numPr>
          <w:ilvl w:val="0"/>
          <w:numId w:val="26"/>
        </w:numPr>
        <w:rPr>
          <w:rFonts w:cs="Arial"/>
          <w:b/>
        </w:rPr>
      </w:pPr>
      <w:r w:rsidRPr="006E6390">
        <w:rPr>
          <w:rFonts w:cs="Arial"/>
          <w:b/>
        </w:rPr>
        <w:t>Riesgo en el desarrollo de infraestructura</w:t>
      </w:r>
    </w:p>
    <w:p w14:paraId="1F936F2C" w14:textId="6106A7BF" w:rsidR="005B390E" w:rsidRDefault="005B390E" w:rsidP="002F28AC">
      <w:pPr>
        <w:spacing w:after="0"/>
        <w:rPr>
          <w:rFonts w:cs="Arial"/>
          <w:lang w:eastAsia="es-MX"/>
        </w:rPr>
      </w:pPr>
      <w:r w:rsidRPr="006E6390">
        <w:rPr>
          <w:rFonts w:cs="Arial"/>
          <w:lang w:eastAsia="es-MX"/>
        </w:rPr>
        <w:t xml:space="preserve">En el desarrollo de los proyectos de infraestructura, existen varios factores que pueden afectar el cumplimiento </w:t>
      </w:r>
      <w:r w:rsidRPr="007D2D03">
        <w:rPr>
          <w:rFonts w:cs="Arial"/>
          <w:lang w:eastAsia="es-MX"/>
        </w:rPr>
        <w:t xml:space="preserve">de los objetivos planteados, entre los que se destacan: </w:t>
      </w:r>
      <w:r w:rsidR="007D2D03" w:rsidRPr="007D2D03">
        <w:rPr>
          <w:rFonts w:cs="Arial"/>
          <w:lang w:eastAsia="es-MX"/>
        </w:rPr>
        <w:t>(i) inadecu</w:t>
      </w:r>
      <w:r w:rsidR="007D2D03" w:rsidRPr="002621AA">
        <w:rPr>
          <w:rFonts w:cs="Arial"/>
          <w:lang w:eastAsia="es-MX"/>
        </w:rPr>
        <w:t xml:space="preserve">ada planificación de </w:t>
      </w:r>
      <w:r w:rsidR="007D2D03" w:rsidRPr="00F9083E">
        <w:rPr>
          <w:rFonts w:cs="Arial"/>
          <w:lang w:eastAsia="es-MX"/>
        </w:rPr>
        <w:t>los</w:t>
      </w:r>
      <w:r w:rsidR="007D2D03" w:rsidRPr="007D2D03">
        <w:rPr>
          <w:rFonts w:cs="Arial"/>
          <w:lang w:eastAsia="es-MX"/>
        </w:rPr>
        <w:t xml:space="preserve"> proyectos puede provocar que la empresa desista </w:t>
      </w:r>
      <w:r w:rsidR="00CB3770">
        <w:rPr>
          <w:rFonts w:cs="Arial"/>
          <w:lang w:eastAsia="es-MX"/>
        </w:rPr>
        <w:t xml:space="preserve">o se vea imposibilitado </w:t>
      </w:r>
      <w:r w:rsidR="007D2D03" w:rsidRPr="007D2D03">
        <w:rPr>
          <w:rFonts w:cs="Arial"/>
          <w:lang w:eastAsia="es-MX"/>
        </w:rPr>
        <w:t xml:space="preserve">de llevarlos a cabo, </w:t>
      </w:r>
      <w:r w:rsidRPr="007D2D03">
        <w:rPr>
          <w:rFonts w:cs="Arial"/>
          <w:lang w:eastAsia="es-MX"/>
        </w:rPr>
        <w:t>(</w:t>
      </w:r>
      <w:r w:rsidR="007D2D03" w:rsidRPr="007D2D03">
        <w:rPr>
          <w:rFonts w:cs="Arial"/>
          <w:lang w:eastAsia="es-MX"/>
        </w:rPr>
        <w:t>i</w:t>
      </w:r>
      <w:r w:rsidRPr="007D2D03">
        <w:rPr>
          <w:rFonts w:cs="Arial"/>
          <w:lang w:eastAsia="es-MX"/>
        </w:rPr>
        <w:t>i) subestimación de costos, (ii</w:t>
      </w:r>
      <w:r w:rsidR="0015034A">
        <w:rPr>
          <w:rFonts w:cs="Arial"/>
          <w:lang w:eastAsia="es-MX"/>
        </w:rPr>
        <w:t>i</w:t>
      </w:r>
      <w:r w:rsidRPr="007D2D03">
        <w:rPr>
          <w:rFonts w:cs="Arial"/>
          <w:lang w:eastAsia="es-MX"/>
        </w:rPr>
        <w:t>) retraso de los proveedores en el suministro de materiales y equipos, (i</w:t>
      </w:r>
      <w:r w:rsidR="007D2D03" w:rsidRPr="007D2D03">
        <w:rPr>
          <w:rFonts w:cs="Arial"/>
          <w:lang w:eastAsia="es-MX"/>
        </w:rPr>
        <w:t>v</w:t>
      </w:r>
      <w:r w:rsidRPr="007D2D03">
        <w:rPr>
          <w:rFonts w:cs="Arial"/>
          <w:lang w:eastAsia="es-MX"/>
        </w:rPr>
        <w:t>) errores en la supervisión del desarrollo de los proyectos,  (v) problemas en los procesos de contratación administrativa, (v</w:t>
      </w:r>
      <w:r w:rsidR="007D2D03" w:rsidRPr="007D2D03">
        <w:rPr>
          <w:rFonts w:cs="Arial"/>
          <w:lang w:eastAsia="es-MX"/>
        </w:rPr>
        <w:t>i</w:t>
      </w:r>
      <w:r w:rsidRPr="007D2D03">
        <w:rPr>
          <w:rFonts w:cs="Arial"/>
          <w:lang w:eastAsia="es-MX"/>
        </w:rPr>
        <w:t>) retrasos en la construcción, montaje, instalación y puesta en marcha, (vi</w:t>
      </w:r>
      <w:r w:rsidR="007D2D03" w:rsidRPr="007D2D03">
        <w:rPr>
          <w:rFonts w:cs="Arial"/>
          <w:lang w:eastAsia="es-MX"/>
        </w:rPr>
        <w:t>i</w:t>
      </w:r>
      <w:r w:rsidRPr="007D2D03">
        <w:rPr>
          <w:rFonts w:cs="Arial"/>
          <w:lang w:eastAsia="es-MX"/>
        </w:rPr>
        <w:t>) atrasos o limitaciones para obtener el financiamiento de los proyectos, debido a los trámites y autorizaciones que deben obtener las entidades públicas, (vii</w:t>
      </w:r>
      <w:r w:rsidR="007D2D03" w:rsidRPr="007D2D03">
        <w:rPr>
          <w:rFonts w:cs="Arial"/>
          <w:lang w:eastAsia="es-MX"/>
        </w:rPr>
        <w:t>i</w:t>
      </w:r>
      <w:r w:rsidRPr="007D2D03">
        <w:rPr>
          <w:rFonts w:cs="Arial"/>
          <w:lang w:eastAsia="es-MX"/>
        </w:rPr>
        <w:t xml:space="preserve">) atrasos en la tramitación u obtención de permisos </w:t>
      </w:r>
      <w:r w:rsidRPr="007D2D03">
        <w:rPr>
          <w:rFonts w:cs="Arial"/>
          <w:lang w:eastAsia="es-MX"/>
        </w:rPr>
        <w:lastRenderedPageBreak/>
        <w:t>necesarios para su ejecución, tales como SETENA, municipales y Contra</w:t>
      </w:r>
      <w:r w:rsidR="00F72437" w:rsidRPr="00F9083E">
        <w:rPr>
          <w:rFonts w:cs="Arial"/>
          <w:lang w:eastAsia="es-MX"/>
        </w:rPr>
        <w:t>loría General de la República.</w:t>
      </w:r>
    </w:p>
    <w:p w14:paraId="575E29EB" w14:textId="77777777" w:rsidR="00964858" w:rsidRPr="006E6390" w:rsidRDefault="00964858" w:rsidP="002F28AC">
      <w:pPr>
        <w:spacing w:after="0"/>
        <w:rPr>
          <w:rFonts w:cs="Arial"/>
          <w:lang w:eastAsia="es-MX"/>
        </w:rPr>
      </w:pPr>
    </w:p>
    <w:p w14:paraId="742807B1" w14:textId="61579E7B" w:rsidR="00964858" w:rsidRPr="006E6390" w:rsidRDefault="005B390E">
      <w:pPr>
        <w:rPr>
          <w:rFonts w:cs="Arial"/>
          <w:lang w:eastAsia="es-MX"/>
        </w:rPr>
      </w:pPr>
      <w:r w:rsidRPr="006E6390">
        <w:rPr>
          <w:rFonts w:cs="Arial"/>
          <w:lang w:eastAsia="es-MX"/>
        </w:rPr>
        <w:t xml:space="preserve">Estos factores pueden, eventualmente, traducirse en retrasos en el cumplimiento de metas estratégicas, insuficiencia de la capacidad instalada para atender la demanda y calidad en la entrega del servicio, entre otros. En caso de ocurrir una o varias de las situaciones antes mencionadas, la capacidad de generación de ingresos de la empresa podría verse afectada. </w:t>
      </w:r>
      <w:r w:rsidR="0014757D" w:rsidRPr="006E6390">
        <w:rPr>
          <w:rFonts w:cs="Arial"/>
          <w:lang w:eastAsia="es-MX"/>
        </w:rPr>
        <w:t xml:space="preserve"> </w:t>
      </w:r>
      <w:r w:rsidRPr="006E6390">
        <w:rPr>
          <w:rFonts w:cs="Arial"/>
          <w:lang w:eastAsia="es-MX"/>
        </w:rPr>
        <w:t>Los resultados de RECOPE, así como su flujo de caja, podrían reducirse por mayores costos requeridos, para atender, de manera alternativa, la demanda de combustibles del país.</w:t>
      </w:r>
    </w:p>
    <w:p w14:paraId="47F70CFD" w14:textId="77777777" w:rsidR="005B390E" w:rsidRPr="006E6390" w:rsidRDefault="005B390E" w:rsidP="00F275AD">
      <w:pPr>
        <w:pStyle w:val="Prrafodelista"/>
        <w:numPr>
          <w:ilvl w:val="0"/>
          <w:numId w:val="26"/>
        </w:numPr>
        <w:rPr>
          <w:rFonts w:cs="Arial"/>
          <w:b/>
        </w:rPr>
      </w:pPr>
      <w:r w:rsidRPr="006E6390">
        <w:rPr>
          <w:rFonts w:cs="Arial"/>
          <w:b/>
        </w:rPr>
        <w:t>Riesgos por inventarios</w:t>
      </w:r>
    </w:p>
    <w:p w14:paraId="6BBA26F1" w14:textId="5EDC2FB3" w:rsidR="005B390E" w:rsidRDefault="005B390E" w:rsidP="002F28AC">
      <w:pPr>
        <w:spacing w:after="0"/>
        <w:rPr>
          <w:rFonts w:cs="Arial"/>
          <w:lang w:eastAsia="es-MX"/>
        </w:rPr>
      </w:pPr>
      <w:r w:rsidRPr="006E6390">
        <w:rPr>
          <w:rFonts w:cs="Arial"/>
          <w:lang w:eastAsia="es-MX"/>
        </w:rPr>
        <w:t xml:space="preserve">Es la probabilidad de pérdidas derivadas de una variación negativa en el valor de los inventarios o derivada de la volatilidad del precio de los bienes que lo conforman, en virtud de la necesidad de reposición </w:t>
      </w:r>
      <w:r w:rsidR="003F2A48" w:rsidRPr="006E6390">
        <w:rPr>
          <w:rFonts w:cs="Arial"/>
          <w:lang w:eastAsia="es-MX"/>
        </w:rPr>
        <w:t>de este</w:t>
      </w:r>
      <w:r w:rsidRPr="006E6390">
        <w:rPr>
          <w:rFonts w:cs="Arial"/>
          <w:lang w:eastAsia="es-MX"/>
        </w:rPr>
        <w:t>.</w:t>
      </w:r>
    </w:p>
    <w:p w14:paraId="401EC290" w14:textId="77777777" w:rsidR="00964858" w:rsidRPr="006E6390" w:rsidRDefault="00964858" w:rsidP="002F28AC">
      <w:pPr>
        <w:spacing w:after="0"/>
        <w:rPr>
          <w:rFonts w:cs="Arial"/>
          <w:lang w:eastAsia="es-MX"/>
        </w:rPr>
      </w:pPr>
    </w:p>
    <w:p w14:paraId="650290C7" w14:textId="13BC2AF2" w:rsidR="00964858" w:rsidRPr="006E6390" w:rsidRDefault="003F2A48">
      <w:pPr>
        <w:rPr>
          <w:rFonts w:cs="Arial"/>
          <w:lang w:eastAsia="es-MX"/>
        </w:rPr>
      </w:pPr>
      <w:r w:rsidRPr="00CE37A6">
        <w:rPr>
          <w:rFonts w:cs="Arial"/>
          <w:lang w:eastAsia="es-MX"/>
        </w:rPr>
        <w:t>En relación con</w:t>
      </w:r>
      <w:r w:rsidR="005B390E" w:rsidRPr="00CE37A6">
        <w:rPr>
          <w:rFonts w:cs="Arial"/>
          <w:lang w:eastAsia="es-MX"/>
        </w:rPr>
        <w:t xml:space="preserve"> lo anterior, el procedimiento de fijación de precios se indexa al precio internacional, por lo que se cubre la volatilidad en el valor de los inventarios.</w:t>
      </w:r>
      <w:r w:rsidR="00B807BA" w:rsidRPr="00CE37A6">
        <w:rPr>
          <w:rFonts w:cs="Arial"/>
          <w:lang w:eastAsia="es-MX"/>
        </w:rPr>
        <w:t xml:space="preserve"> </w:t>
      </w:r>
      <w:r w:rsidR="005B390E" w:rsidRPr="00CE37A6">
        <w:rPr>
          <w:rFonts w:cs="Arial"/>
          <w:lang w:eastAsia="es-MX"/>
        </w:rPr>
        <w:t>No obstante</w:t>
      </w:r>
      <w:r w:rsidR="005B390E" w:rsidRPr="006E6390">
        <w:rPr>
          <w:rFonts w:cs="Arial"/>
          <w:lang w:eastAsia="es-MX"/>
        </w:rPr>
        <w:t>, pese a los mecanismos automáticos de ajuste de precios, RECOPE puede enfrentar un descalce temporal producto de crecimientos constantes y acelerados de los precios internacionales, que no sean transmitidos de manera oportuna a los precios de venta internos.</w:t>
      </w:r>
    </w:p>
    <w:p w14:paraId="1F0FF048" w14:textId="77777777" w:rsidR="005B390E" w:rsidRPr="006E6390" w:rsidRDefault="005B390E" w:rsidP="00F275AD">
      <w:pPr>
        <w:pStyle w:val="Prrafodelista"/>
        <w:numPr>
          <w:ilvl w:val="0"/>
          <w:numId w:val="26"/>
        </w:numPr>
        <w:rPr>
          <w:rFonts w:cs="Arial"/>
          <w:b/>
        </w:rPr>
      </w:pPr>
      <w:r w:rsidRPr="006E6390">
        <w:rPr>
          <w:rFonts w:cs="Arial"/>
          <w:b/>
        </w:rPr>
        <w:t>Riesgo operacional</w:t>
      </w:r>
    </w:p>
    <w:p w14:paraId="7D1F8F01" w14:textId="5B1C89CF" w:rsidR="00964858" w:rsidRPr="006E6390" w:rsidRDefault="005B390E" w:rsidP="002F28AC">
      <w:pPr>
        <w:spacing w:before="240"/>
        <w:rPr>
          <w:rFonts w:cs="Arial"/>
          <w:lang w:eastAsia="es-MX"/>
        </w:rPr>
      </w:pPr>
      <w:r w:rsidRPr="006E6390">
        <w:rPr>
          <w:rFonts w:cs="Arial"/>
          <w:lang w:eastAsia="es-MX"/>
        </w:rPr>
        <w:t>Los riesgos operacionales se definen como aquellos riesgos de tipo logístico y técnico que afecten los sistemas de importación, producción, distribución, almacenamiento y comercialización; así como fallas en los sistemas de información operativos y gerenciales, y aquellos relacionados con el personal y los procedimientos.</w:t>
      </w:r>
      <w:r w:rsidR="0014757D" w:rsidRPr="006E6390">
        <w:rPr>
          <w:rFonts w:cs="Arial"/>
          <w:lang w:eastAsia="es-MX"/>
        </w:rPr>
        <w:t xml:space="preserve"> </w:t>
      </w:r>
      <w:r w:rsidRPr="006E6390">
        <w:rPr>
          <w:rFonts w:cs="Arial"/>
          <w:lang w:eastAsia="es-MX"/>
        </w:rPr>
        <w:t>Este riesgo podría manifestarse en la forma de mayores costos operativos</w:t>
      </w:r>
      <w:r w:rsidR="00385071" w:rsidRPr="006E6390">
        <w:rPr>
          <w:rFonts w:cs="Arial"/>
          <w:lang w:eastAsia="es-MX"/>
        </w:rPr>
        <w:t xml:space="preserve"> y/o eventuales contingencias en la empresa</w:t>
      </w:r>
      <w:r w:rsidRPr="006E6390">
        <w:rPr>
          <w:rFonts w:cs="Arial"/>
          <w:lang w:eastAsia="es-MX"/>
        </w:rPr>
        <w:t>.</w:t>
      </w:r>
    </w:p>
    <w:p w14:paraId="74FA32EF" w14:textId="7F9DA958" w:rsidR="00964858" w:rsidRPr="006E6390" w:rsidRDefault="005B390E">
      <w:pPr>
        <w:rPr>
          <w:rFonts w:cs="Arial"/>
          <w:lang w:eastAsia="es-MX"/>
        </w:rPr>
      </w:pPr>
      <w:r w:rsidRPr="006E6390">
        <w:rPr>
          <w:rFonts w:cs="Arial"/>
          <w:lang w:eastAsia="es-MX"/>
        </w:rPr>
        <w:t>Dentro de los riesgos operacionales se encuentra el riesgo de interrupción de la producción, producto de eventos inesperados, lo que tendría como consecuencia que se importe una mayor cantidad de producto terminado, lo cual implicaría un mayor costo de producción para la empresa</w:t>
      </w:r>
      <w:r w:rsidR="00F65B16" w:rsidRPr="006E6390">
        <w:rPr>
          <w:rFonts w:cs="Arial"/>
          <w:lang w:eastAsia="es-MX"/>
        </w:rPr>
        <w:t>.</w:t>
      </w:r>
    </w:p>
    <w:p w14:paraId="496E112E" w14:textId="77777777" w:rsidR="005B390E" w:rsidRPr="006E6390" w:rsidRDefault="005B390E" w:rsidP="00F275AD">
      <w:pPr>
        <w:pStyle w:val="Prrafodelista"/>
        <w:numPr>
          <w:ilvl w:val="0"/>
          <w:numId w:val="26"/>
        </w:numPr>
        <w:rPr>
          <w:rFonts w:cs="Arial"/>
          <w:b/>
        </w:rPr>
      </w:pPr>
      <w:r w:rsidRPr="006E6390">
        <w:rPr>
          <w:rFonts w:cs="Arial"/>
          <w:b/>
        </w:rPr>
        <w:t>Riesgo asociado a las limitaciones de capacidad de la infraestructura</w:t>
      </w:r>
    </w:p>
    <w:p w14:paraId="2C65D005" w14:textId="56431C57" w:rsidR="00465075" w:rsidRPr="006E6390" w:rsidRDefault="005B390E">
      <w:pPr>
        <w:rPr>
          <w:rFonts w:cs="Arial"/>
          <w:lang w:eastAsia="es-MX"/>
        </w:rPr>
      </w:pPr>
      <w:r w:rsidRPr="006E6390">
        <w:rPr>
          <w:rFonts w:cs="Arial"/>
          <w:lang w:eastAsia="es-MX"/>
        </w:rPr>
        <w:t>Existen dos eslabones de la cadena de valor de RECOPE que presentan limitaciones en su infraestructura. Por un lado, se encuentra la limitada capacidad de almacenamiento de algunos productos y la concent</w:t>
      </w:r>
      <w:r w:rsidR="00AA7CA6" w:rsidRPr="006E6390">
        <w:rPr>
          <w:rFonts w:cs="Arial"/>
          <w:lang w:eastAsia="es-MX"/>
        </w:rPr>
        <w:t xml:space="preserve">ración de ésta en </w:t>
      </w:r>
      <w:r w:rsidR="002F28AC">
        <w:rPr>
          <w:rFonts w:cs="Arial"/>
          <w:lang w:eastAsia="es-MX"/>
        </w:rPr>
        <w:t>la</w:t>
      </w:r>
      <w:r w:rsidR="002F28AC" w:rsidRPr="006E6390">
        <w:rPr>
          <w:rFonts w:cs="Arial"/>
          <w:lang w:eastAsia="es-MX"/>
        </w:rPr>
        <w:t xml:space="preserve"> </w:t>
      </w:r>
      <w:r w:rsidR="00465C19">
        <w:rPr>
          <w:rFonts w:cs="Arial"/>
          <w:lang w:eastAsia="es-MX"/>
        </w:rPr>
        <w:t>Terminal</w:t>
      </w:r>
      <w:r w:rsidR="00AA7CA6" w:rsidRPr="006E6390">
        <w:rPr>
          <w:rFonts w:cs="Arial"/>
          <w:lang w:eastAsia="es-MX"/>
        </w:rPr>
        <w:t xml:space="preserve"> Moí</w:t>
      </w:r>
      <w:r w:rsidRPr="006E6390">
        <w:rPr>
          <w:rFonts w:cs="Arial"/>
          <w:lang w:eastAsia="es-MX"/>
        </w:rPr>
        <w:t xml:space="preserve">n, lo que podría ocasionar desabastecimiento temporal </w:t>
      </w:r>
      <w:r w:rsidR="00665902" w:rsidRPr="006E6390">
        <w:rPr>
          <w:rFonts w:cs="Arial"/>
          <w:lang w:eastAsia="es-MX"/>
        </w:rPr>
        <w:t>en</w:t>
      </w:r>
      <w:r w:rsidRPr="006E6390">
        <w:rPr>
          <w:rFonts w:cs="Arial"/>
          <w:lang w:eastAsia="es-MX"/>
        </w:rPr>
        <w:t xml:space="preserve"> alguno (s) de l</w:t>
      </w:r>
      <w:r w:rsidR="002F28AC">
        <w:rPr>
          <w:rFonts w:cs="Arial"/>
          <w:lang w:eastAsia="es-MX"/>
        </w:rPr>
        <w:t>a</w:t>
      </w:r>
      <w:r w:rsidRPr="006E6390">
        <w:rPr>
          <w:rFonts w:cs="Arial"/>
          <w:lang w:eastAsia="es-MX"/>
        </w:rPr>
        <w:t xml:space="preserve">s </w:t>
      </w:r>
      <w:r w:rsidR="00465C19">
        <w:rPr>
          <w:rFonts w:cs="Arial"/>
          <w:lang w:eastAsia="es-MX"/>
        </w:rPr>
        <w:t>terminal</w:t>
      </w:r>
      <w:r w:rsidRPr="006E6390">
        <w:rPr>
          <w:rFonts w:cs="Arial"/>
          <w:lang w:eastAsia="es-MX"/>
        </w:rPr>
        <w:t xml:space="preserve">es de almacenamiento. Por otro lado, el país solo cuenta con un muelle especializado en la importación de hidrocarburos lo que, ante ciertos fenómenos naturales, podría impedir el atraque de los barcos e interrumpir el abastecimiento normal de la demanda. Estas situaciones podrían implicar una reducción </w:t>
      </w:r>
      <w:r w:rsidRPr="006E6390">
        <w:rPr>
          <w:rFonts w:cs="Arial"/>
          <w:lang w:eastAsia="es-MX"/>
        </w:rPr>
        <w:lastRenderedPageBreak/>
        <w:t>en las ventas o un aumento en los costos operativos, lo cual reduciría la rentabilidad de RECOPE.</w:t>
      </w:r>
    </w:p>
    <w:p w14:paraId="76AE6695" w14:textId="77777777" w:rsidR="005B390E" w:rsidRPr="006E6390" w:rsidRDefault="005B390E" w:rsidP="00F275AD">
      <w:pPr>
        <w:pStyle w:val="Prrafodelista"/>
        <w:numPr>
          <w:ilvl w:val="0"/>
          <w:numId w:val="26"/>
        </w:numPr>
        <w:rPr>
          <w:rFonts w:cs="Arial"/>
          <w:b/>
        </w:rPr>
      </w:pPr>
      <w:r w:rsidRPr="006E6390">
        <w:rPr>
          <w:rFonts w:cs="Arial"/>
          <w:b/>
        </w:rPr>
        <w:t>Riesgo por posibles diferencias entre la administración de RECOPE y organizaciones de sus colaboradores</w:t>
      </w:r>
    </w:p>
    <w:p w14:paraId="1DEFEC15" w14:textId="68FBBDCF" w:rsidR="00465075" w:rsidRPr="006E6390" w:rsidRDefault="005B390E">
      <w:pPr>
        <w:rPr>
          <w:rFonts w:cs="Arial"/>
          <w:lang w:eastAsia="es-MX"/>
        </w:rPr>
      </w:pPr>
      <w:r w:rsidRPr="006E6390">
        <w:rPr>
          <w:rFonts w:cs="Arial"/>
          <w:lang w:eastAsia="es-MX"/>
        </w:rPr>
        <w:t>Este riesgo surge de la posibilidad de que las organizaciones gremiales, a las que se encuentran adscritos los trabajadores de RECOPE, opongan resistencia contra decisiones tomadas por la Administración de la empresa o que se adhieran, por solidaridad, a otros movimientos sociales, como los convocados por el sindicato de JAPDEVA. Esto puede ocasionar retrasos en la ejecución de los proyectos e interrupción de las operaciones y, consecuentemente, tener un impacto negativo en los resultados de la empresa.</w:t>
      </w:r>
    </w:p>
    <w:p w14:paraId="40A5DCFD" w14:textId="77777777" w:rsidR="005B390E" w:rsidRPr="006E6390" w:rsidRDefault="005B390E" w:rsidP="00F275AD">
      <w:pPr>
        <w:pStyle w:val="Prrafodelista"/>
        <w:numPr>
          <w:ilvl w:val="0"/>
          <w:numId w:val="26"/>
        </w:numPr>
        <w:rPr>
          <w:rFonts w:cs="Arial"/>
          <w:b/>
        </w:rPr>
      </w:pPr>
      <w:r w:rsidRPr="006E6390">
        <w:rPr>
          <w:rFonts w:cs="Arial"/>
          <w:b/>
        </w:rPr>
        <w:t>Riesgo legal</w:t>
      </w:r>
    </w:p>
    <w:p w14:paraId="7B139B29" w14:textId="2FA62D58" w:rsidR="00465075" w:rsidRPr="006E6390" w:rsidRDefault="005B390E">
      <w:pPr>
        <w:rPr>
          <w:rFonts w:cs="Arial"/>
          <w:lang w:eastAsia="es-MX"/>
        </w:rPr>
      </w:pPr>
      <w:r w:rsidRPr="006E6390">
        <w:rPr>
          <w:rFonts w:cs="Arial"/>
          <w:lang w:eastAsia="es-MX"/>
        </w:rPr>
        <w:t>El riesgo legal se define como los posibles perjuicios que pueden enfrentar RECOPE y sus subsidiarias como consecuencia de las demandas que se deriven de contratos con proveedores, clientes o empresas con las que se realiza actividades comerciales, incumplimiento de disposiciones legales que regulan su operación, sus contratos, o bien por ambigüedades en las normas legales. Estos perjuicios eventualmente podrían tener un efecto económico negativo en los resultados y el patrimonio del emisor.</w:t>
      </w:r>
    </w:p>
    <w:p w14:paraId="5C552B66" w14:textId="77777777" w:rsidR="005B390E" w:rsidRPr="006E6390" w:rsidRDefault="005B390E" w:rsidP="00F275AD">
      <w:pPr>
        <w:pStyle w:val="Prrafodelista"/>
        <w:numPr>
          <w:ilvl w:val="0"/>
          <w:numId w:val="26"/>
        </w:numPr>
        <w:rPr>
          <w:rFonts w:cs="Arial"/>
          <w:b/>
        </w:rPr>
      </w:pPr>
      <w:r w:rsidRPr="006E6390">
        <w:rPr>
          <w:rFonts w:cs="Arial"/>
          <w:b/>
        </w:rPr>
        <w:t>Riesgo regulatorio en la fijación de precios</w:t>
      </w:r>
    </w:p>
    <w:p w14:paraId="4A6ED081" w14:textId="15266582" w:rsidR="005B390E" w:rsidRDefault="005B390E">
      <w:pPr>
        <w:rPr>
          <w:rFonts w:cs="Arial"/>
          <w:lang w:eastAsia="es-MX"/>
        </w:rPr>
      </w:pPr>
      <w:r w:rsidRPr="006E6390">
        <w:rPr>
          <w:rFonts w:cs="Arial"/>
          <w:lang w:eastAsia="es-MX"/>
        </w:rPr>
        <w:t xml:space="preserve">Dado que el abastecimiento de la demanda nacional </w:t>
      </w:r>
      <w:r w:rsidR="00B831A7" w:rsidRPr="006E6390">
        <w:rPr>
          <w:rFonts w:cs="Arial"/>
          <w:lang w:eastAsia="es-MX"/>
        </w:rPr>
        <w:t xml:space="preserve">de </w:t>
      </w:r>
      <w:r w:rsidRPr="006E6390">
        <w:rPr>
          <w:rFonts w:cs="Arial"/>
          <w:lang w:eastAsia="es-MX"/>
        </w:rPr>
        <w:t>combustibles es un servicio público regulado por la Ley 7593 “Ley de la Autoridad Reguladora de los Servicios Públicos”, los ingresos de RECOPE están subordinados al procedimiento y a la fijación de precios que realice ARESEP y dicha fijación de precios podría no realizarse con la oportunidad que se requiere o no reconocer, dentro de la estructura de precios de los combustibles, la totalidad de lo</w:t>
      </w:r>
      <w:r w:rsidR="00436B46" w:rsidRPr="006E6390">
        <w:rPr>
          <w:rFonts w:cs="Arial"/>
          <w:lang w:eastAsia="es-MX"/>
        </w:rPr>
        <w:t>s costos y gastos de la empresa</w:t>
      </w:r>
      <w:r w:rsidRPr="006E6390">
        <w:rPr>
          <w:rFonts w:cs="Arial"/>
          <w:lang w:eastAsia="es-MX"/>
        </w:rPr>
        <w:t>. Esta situación podría significar problemas en la generación de recursos de la empresa para atender sus obligaciones, incluidas las de los inversionistas.</w:t>
      </w:r>
    </w:p>
    <w:p w14:paraId="3A0C662D" w14:textId="11EC31F0" w:rsidR="00465075" w:rsidRPr="006E6390" w:rsidRDefault="005B390E">
      <w:pPr>
        <w:rPr>
          <w:rFonts w:cs="Arial"/>
          <w:lang w:eastAsia="es-MX"/>
        </w:rPr>
      </w:pPr>
      <w:r w:rsidRPr="006E6390">
        <w:rPr>
          <w:rFonts w:cs="Arial"/>
          <w:lang w:eastAsia="es-MX"/>
        </w:rPr>
        <w:t>La fijación de precios de los servicios públicos, incluidos los combustibles, se realiza de acuerdo en el “principio de servicio al costo”, lo que implica que los precios contemplen los costos necesarios para prestar el servicio y permiten una retribución competitiva que garanticen el adecuado desarrollo de la actividad. En el caso de RECOPE, la metodología de precios considera como parte de los costos tarifarios el servicio de la deuda (intereses más amortización). No obstante</w:t>
      </w:r>
      <w:r w:rsidR="00196F5D" w:rsidRPr="006E6390">
        <w:rPr>
          <w:rFonts w:cs="Arial"/>
          <w:lang w:eastAsia="es-MX"/>
        </w:rPr>
        <w:t>,</w:t>
      </w:r>
      <w:r w:rsidRPr="006E6390">
        <w:rPr>
          <w:rFonts w:cs="Arial"/>
          <w:lang w:eastAsia="es-MX"/>
        </w:rPr>
        <w:t xml:space="preserve"> lo anterior, la administración planea la posibilidad de crear un fondo interno para el repago de las emisiones, con recursos que provienen de los precios fijados.</w:t>
      </w:r>
    </w:p>
    <w:p w14:paraId="2E6E835B" w14:textId="77777777" w:rsidR="005B390E" w:rsidRPr="006E6390" w:rsidRDefault="005B390E" w:rsidP="00F275AD">
      <w:pPr>
        <w:pStyle w:val="Prrafodelista"/>
        <w:numPr>
          <w:ilvl w:val="0"/>
          <w:numId w:val="26"/>
        </w:numPr>
        <w:rPr>
          <w:rFonts w:cs="Arial"/>
          <w:b/>
        </w:rPr>
      </w:pPr>
      <w:r w:rsidRPr="006E6390">
        <w:rPr>
          <w:rFonts w:cs="Arial"/>
          <w:b/>
        </w:rPr>
        <w:t>Riesgo político</w:t>
      </w:r>
    </w:p>
    <w:p w14:paraId="75C45207" w14:textId="18B066D3" w:rsidR="00465075" w:rsidRPr="006E6390" w:rsidRDefault="005B390E">
      <w:pPr>
        <w:rPr>
          <w:rFonts w:cs="Arial"/>
          <w:lang w:eastAsia="es-MX"/>
        </w:rPr>
      </w:pPr>
      <w:r w:rsidRPr="006E6390">
        <w:rPr>
          <w:rFonts w:cs="Arial"/>
          <w:lang w:eastAsia="es-MX"/>
        </w:rPr>
        <w:t xml:space="preserve">RECOPE es una empresa pública de propiedad estatal, que opera dentro del marco de la regulación pública, lo cual le establece límites en múltiples aspectos de la operación </w:t>
      </w:r>
      <w:r w:rsidRPr="006E6390">
        <w:rPr>
          <w:rFonts w:cs="Arial"/>
          <w:lang w:eastAsia="es-MX"/>
        </w:rPr>
        <w:lastRenderedPageBreak/>
        <w:t>(contratación administrativa, inversión, endeudamiento y gasto, entre otros); los cuales podrían inducir a decisiones y acciones que afecten temporalmente los resultados de la empresa.</w:t>
      </w:r>
    </w:p>
    <w:p w14:paraId="23146FC5" w14:textId="4FF977AC" w:rsidR="00465075" w:rsidRPr="006E6390" w:rsidRDefault="005B390E">
      <w:pPr>
        <w:rPr>
          <w:rFonts w:cs="Arial"/>
          <w:lang w:eastAsia="es-MX"/>
        </w:rPr>
      </w:pPr>
      <w:r w:rsidRPr="006E6390">
        <w:rPr>
          <w:rFonts w:cs="Arial"/>
          <w:lang w:eastAsia="es-MX"/>
        </w:rPr>
        <w:t>Riesgos de esta naturaleza podrían derivarse de reformas en leyes o reglamentos que afecten la operación de la empresa; decisiones administrativas de los entes reguladores o supervisores, que afecten los planes de desarrollo de proyectos de infraestructura; y hasta la apertura a la competencia de las actividades que desarrolla RECOPE (la importación, refinación y distribución al mayoreo de petróleo crudo y sus derivados, que comprenden combustibles, asfaltos y naftas). Estas situaciones podrían significar insatisfacción de la demanda o reducción en la participación de mercado, lo que ocasionará una reducción en los ingresos de la empresa.</w:t>
      </w:r>
    </w:p>
    <w:p w14:paraId="73CD31AC" w14:textId="4737FE5C" w:rsidR="00465075" w:rsidRPr="006E6390" w:rsidRDefault="005B390E">
      <w:pPr>
        <w:rPr>
          <w:rFonts w:cs="Arial"/>
          <w:lang w:eastAsia="es-MX"/>
        </w:rPr>
      </w:pPr>
      <w:r w:rsidRPr="006E6390">
        <w:rPr>
          <w:rFonts w:cs="Arial"/>
          <w:lang w:eastAsia="es-MX"/>
        </w:rPr>
        <w:t>Adicionalmente existe un riesgo de que la influencia política sobre la empresa resulte en cambios en la estructura administrativa y funcional de la entidad, en los costos de operación y en normas que regulen su actividad, lo cual podría afectar los resultados de la operación y la situación financiera de RECOPE.</w:t>
      </w:r>
    </w:p>
    <w:p w14:paraId="0D0EFCEB" w14:textId="78154D80" w:rsidR="00465075" w:rsidRPr="006E6390" w:rsidRDefault="005B390E">
      <w:pPr>
        <w:rPr>
          <w:rFonts w:cs="Arial"/>
          <w:lang w:eastAsia="es-MX"/>
        </w:rPr>
      </w:pPr>
      <w:r w:rsidRPr="006E6390">
        <w:rPr>
          <w:rFonts w:cs="Arial"/>
          <w:lang w:eastAsia="es-MX"/>
        </w:rPr>
        <w:t>Por otra parte, el impuesto único al combustible podría variar, lo cual implica un cambio en el precio final del combustible, que puede estimular o desestimular la demanda, pero no afectaría el ingreso neto recibido por RECOPE por la venta de productos</w:t>
      </w:r>
      <w:r w:rsidR="0032015A" w:rsidRPr="006E6390">
        <w:rPr>
          <w:rFonts w:cs="Arial"/>
          <w:lang w:eastAsia="es-MX"/>
        </w:rPr>
        <w:t>.</w:t>
      </w:r>
    </w:p>
    <w:p w14:paraId="6F4C7832" w14:textId="77777777" w:rsidR="005B390E" w:rsidRPr="006E6390" w:rsidRDefault="005B390E" w:rsidP="00F275AD">
      <w:pPr>
        <w:pStyle w:val="Prrafodelista"/>
        <w:numPr>
          <w:ilvl w:val="0"/>
          <w:numId w:val="26"/>
        </w:numPr>
        <w:rPr>
          <w:rFonts w:cs="Arial"/>
          <w:b/>
        </w:rPr>
      </w:pPr>
      <w:r w:rsidRPr="006E6390">
        <w:rPr>
          <w:rFonts w:cs="Arial"/>
          <w:b/>
        </w:rPr>
        <w:t>Riesg</w:t>
      </w:r>
      <w:r w:rsidR="00F65B16" w:rsidRPr="006E6390">
        <w:rPr>
          <w:rFonts w:cs="Arial"/>
          <w:b/>
        </w:rPr>
        <w:t>o geológico</w:t>
      </w:r>
    </w:p>
    <w:p w14:paraId="098F15D9" w14:textId="5C6D88B9" w:rsidR="00465075" w:rsidRPr="006E6390" w:rsidRDefault="005B390E">
      <w:pPr>
        <w:rPr>
          <w:rFonts w:cs="Arial"/>
          <w:lang w:eastAsia="es-MX"/>
        </w:rPr>
      </w:pPr>
      <w:r w:rsidRPr="006E6390">
        <w:rPr>
          <w:rFonts w:cs="Arial"/>
          <w:lang w:eastAsia="es-MX"/>
        </w:rPr>
        <w:t>Existe un riesgo de que las condiciones geológicas de algunos proyectos que desarrolle RECOPE no sean las esperadas o las establecidas en los análisis previos, lo cual podría generar un aumento en costos o un retraso en la construcción de dicho proyecto. El riesgo geológico se asocia con las variaciones sustanciales en las condiciones de las obras, excavaciones de terreno, etc. y su impacto en las finanzas de la empresa.</w:t>
      </w:r>
    </w:p>
    <w:p w14:paraId="5244DDBF" w14:textId="383BD0EE" w:rsidR="00465075" w:rsidRPr="006E6390" w:rsidRDefault="005B390E">
      <w:pPr>
        <w:rPr>
          <w:rFonts w:cs="Arial"/>
          <w:lang w:eastAsia="es-MX"/>
        </w:rPr>
      </w:pPr>
      <w:r w:rsidRPr="006E6390">
        <w:rPr>
          <w:rFonts w:cs="Arial"/>
          <w:lang w:eastAsia="es-MX"/>
        </w:rPr>
        <w:t xml:space="preserve">Todos los proyectos que serán financiados mediante la captación de recursos en el mercado de </w:t>
      </w:r>
      <w:r w:rsidR="00B0078B" w:rsidRPr="006E6390">
        <w:rPr>
          <w:rFonts w:cs="Arial"/>
          <w:lang w:eastAsia="es-MX"/>
        </w:rPr>
        <w:t>valores</w:t>
      </w:r>
      <w:r w:rsidRPr="006E6390">
        <w:rPr>
          <w:rFonts w:cs="Arial"/>
          <w:lang w:eastAsia="es-MX"/>
        </w:rPr>
        <w:t xml:space="preserve"> pueden verse expuestos por la ocurrencia de este riesgo.</w:t>
      </w:r>
    </w:p>
    <w:p w14:paraId="3537BCB4" w14:textId="77777777" w:rsidR="005B390E" w:rsidRPr="006E6390" w:rsidRDefault="005B390E" w:rsidP="00F275AD">
      <w:pPr>
        <w:pStyle w:val="Prrafodelista"/>
        <w:numPr>
          <w:ilvl w:val="0"/>
          <w:numId w:val="26"/>
        </w:numPr>
        <w:rPr>
          <w:rFonts w:cs="Arial"/>
          <w:b/>
        </w:rPr>
      </w:pPr>
      <w:r w:rsidRPr="006E6390">
        <w:rPr>
          <w:rFonts w:cs="Arial"/>
          <w:b/>
        </w:rPr>
        <w:t>Riesgo en la posibilidad de atrasos en las expropiaciones que sean necesarias para ejecutar proyectos</w:t>
      </w:r>
    </w:p>
    <w:p w14:paraId="364F0D19" w14:textId="2E94829F" w:rsidR="005B390E" w:rsidRDefault="005B390E" w:rsidP="005D448C">
      <w:pPr>
        <w:spacing w:after="0"/>
        <w:rPr>
          <w:rFonts w:cs="Arial"/>
          <w:lang w:eastAsia="es-MX"/>
        </w:rPr>
      </w:pPr>
      <w:r w:rsidRPr="006E6390">
        <w:rPr>
          <w:rFonts w:cs="Arial"/>
          <w:lang w:eastAsia="es-MX"/>
        </w:rPr>
        <w:t xml:space="preserve">Algunos de los proyectos elaborados por RECOPE podrían expropiar terrenos para el desarrollo de </w:t>
      </w:r>
      <w:r w:rsidR="00DE6C62" w:rsidRPr="006E6390">
        <w:rPr>
          <w:rFonts w:cs="Arial"/>
          <w:lang w:eastAsia="es-MX"/>
        </w:rPr>
        <w:t>estos</w:t>
      </w:r>
      <w:r w:rsidRPr="006E6390">
        <w:rPr>
          <w:rFonts w:cs="Arial"/>
          <w:lang w:eastAsia="es-MX"/>
        </w:rPr>
        <w:t>. Existe un riesgo de que los procesos de expropiación presente</w:t>
      </w:r>
      <w:r w:rsidR="00324AEF" w:rsidRPr="006E6390">
        <w:rPr>
          <w:rFonts w:cs="Arial"/>
          <w:lang w:eastAsia="es-MX"/>
        </w:rPr>
        <w:t>n</w:t>
      </w:r>
      <w:r w:rsidRPr="006E6390">
        <w:rPr>
          <w:rFonts w:cs="Arial"/>
          <w:lang w:eastAsia="es-MX"/>
        </w:rPr>
        <w:t xml:space="preserve"> atrasos, lo cual conllevaría a un</w:t>
      </w:r>
      <w:r w:rsidR="00324AEF" w:rsidRPr="006E6390">
        <w:rPr>
          <w:rFonts w:cs="Arial"/>
          <w:lang w:eastAsia="es-MX"/>
        </w:rPr>
        <w:t>a</w:t>
      </w:r>
      <w:r w:rsidRPr="006E6390">
        <w:rPr>
          <w:rFonts w:cs="Arial"/>
          <w:lang w:eastAsia="es-MX"/>
        </w:rPr>
        <w:t xml:space="preserve"> postergación en el desarrollo del proyecto. Lo anterior podría generar mayores costos de construcción para RECOPE y un retraso en el flujo de ingresos que eventualmente genere el proyecto, lo cual podría eventualmente disminuir la rentabilidad y solidez financiera de la entidad.</w:t>
      </w:r>
    </w:p>
    <w:p w14:paraId="2C760449" w14:textId="77777777" w:rsidR="00465075" w:rsidRPr="006E6390" w:rsidRDefault="00465075" w:rsidP="005D448C">
      <w:pPr>
        <w:spacing w:after="0"/>
        <w:rPr>
          <w:rFonts w:cs="Arial"/>
          <w:lang w:eastAsia="es-MX"/>
        </w:rPr>
      </w:pPr>
    </w:p>
    <w:p w14:paraId="11B64B68" w14:textId="72FE891A" w:rsidR="005B390E" w:rsidRDefault="005B390E" w:rsidP="005D448C">
      <w:pPr>
        <w:spacing w:after="0"/>
        <w:rPr>
          <w:rFonts w:cs="Arial"/>
          <w:lang w:eastAsia="es-MX"/>
        </w:rPr>
      </w:pPr>
      <w:r w:rsidRPr="006E6390">
        <w:rPr>
          <w:rFonts w:cs="Arial"/>
          <w:lang w:eastAsia="es-MX"/>
        </w:rPr>
        <w:t>Ninguno de los proyectos a financiar con los recursos captados con las emisiones aquí descritas, se enfrentan al riesgo descrito.</w:t>
      </w:r>
    </w:p>
    <w:p w14:paraId="29DEA1E2" w14:textId="77777777" w:rsidR="00465075" w:rsidRPr="006E6390" w:rsidRDefault="00465075" w:rsidP="004A26B9">
      <w:pPr>
        <w:rPr>
          <w:rFonts w:cs="Arial"/>
          <w:lang w:eastAsia="es-MX"/>
        </w:rPr>
      </w:pPr>
    </w:p>
    <w:p w14:paraId="197787A9" w14:textId="77777777" w:rsidR="009E4D5C" w:rsidRPr="006E6390" w:rsidRDefault="009E4D5C" w:rsidP="00F275AD">
      <w:pPr>
        <w:pStyle w:val="Prrafodelista"/>
        <w:numPr>
          <w:ilvl w:val="0"/>
          <w:numId w:val="26"/>
        </w:numPr>
        <w:rPr>
          <w:rFonts w:cs="Arial"/>
          <w:b/>
        </w:rPr>
      </w:pPr>
      <w:r w:rsidRPr="006E6390">
        <w:rPr>
          <w:rFonts w:cs="Arial"/>
          <w:b/>
        </w:rPr>
        <w:lastRenderedPageBreak/>
        <w:t>Riesgo de cambios en la regulación ambiental</w:t>
      </w:r>
    </w:p>
    <w:p w14:paraId="199C1EB0" w14:textId="1A9C9471" w:rsidR="009E4D5C" w:rsidRDefault="009E4D5C" w:rsidP="005D448C">
      <w:pPr>
        <w:spacing w:after="0"/>
        <w:rPr>
          <w:rFonts w:cs="Arial"/>
          <w:lang w:eastAsia="es-MX"/>
        </w:rPr>
      </w:pPr>
      <w:r w:rsidRPr="006E6390">
        <w:rPr>
          <w:rFonts w:cs="Arial"/>
          <w:lang w:eastAsia="es-MX"/>
        </w:rPr>
        <w:t>RECOPE al igual que cualquier otra empresa que brinde servicios donde se manejan sustancias inflamables, está sujeto a regulaciones ambientales.</w:t>
      </w:r>
      <w:r w:rsidR="008D6433">
        <w:rPr>
          <w:rFonts w:cs="Arial"/>
          <w:lang w:eastAsia="es-MX"/>
        </w:rPr>
        <w:t xml:space="preserve"> </w:t>
      </w:r>
      <w:r w:rsidRPr="006E6390">
        <w:rPr>
          <w:rFonts w:cs="Arial"/>
          <w:lang w:eastAsia="es-MX"/>
        </w:rPr>
        <w:t>Cambios en estas regulaciones, o cambios en los niveles de aplicación de dichas regulaciones, pueden afectar los resultados de las empresas. SETENA como responsable</w:t>
      </w:r>
      <w:r w:rsidR="00CC374F" w:rsidRPr="006E6390">
        <w:rPr>
          <w:rFonts w:cs="Arial"/>
          <w:lang w:eastAsia="es-MX"/>
        </w:rPr>
        <w:t xml:space="preserve"> </w:t>
      </w:r>
      <w:r w:rsidRPr="006E6390">
        <w:rPr>
          <w:rFonts w:cs="Arial"/>
          <w:lang w:eastAsia="es-MX"/>
        </w:rPr>
        <w:t>de velar por la aplicación de las leyes y regulaciones en materia ambiental, puede tomar acciones como el cierre de plantas, revocar licencias o establecer multas.</w:t>
      </w:r>
      <w:r w:rsidR="008D6433">
        <w:rPr>
          <w:rFonts w:cs="Arial"/>
          <w:lang w:eastAsia="es-MX"/>
        </w:rPr>
        <w:t xml:space="preserve"> </w:t>
      </w:r>
      <w:r w:rsidRPr="006E6390">
        <w:rPr>
          <w:rFonts w:cs="Arial"/>
          <w:lang w:eastAsia="es-MX"/>
        </w:rPr>
        <w:t>Adicionalmente, cambios en las regulaciones ambientales pueden generar inversiones o gastos de capital, que a la postre pueden afectar la rentabilidad de las empresas.</w:t>
      </w:r>
    </w:p>
    <w:p w14:paraId="4D7006CF" w14:textId="77777777" w:rsidR="00465075" w:rsidRPr="006E6390" w:rsidRDefault="00465075" w:rsidP="005D448C">
      <w:pPr>
        <w:spacing w:after="0"/>
        <w:rPr>
          <w:rFonts w:cs="Arial"/>
          <w:lang w:eastAsia="es-MX"/>
        </w:rPr>
      </w:pPr>
    </w:p>
    <w:p w14:paraId="1551F392" w14:textId="5A4A5036" w:rsidR="009E4D5C" w:rsidRDefault="009E4D5C" w:rsidP="005D448C">
      <w:pPr>
        <w:spacing w:after="0"/>
        <w:rPr>
          <w:rFonts w:cs="Arial"/>
          <w:lang w:eastAsia="es-MX"/>
        </w:rPr>
      </w:pPr>
      <w:r w:rsidRPr="006E6390">
        <w:rPr>
          <w:rFonts w:cs="Arial"/>
          <w:lang w:eastAsia="es-MX"/>
        </w:rPr>
        <w:t>Por otra parte, existe la posibilidad de mayores ambientales sobre los proyectos de inversión, ya que dichos proyectos implican posibilidades de riesgo para el ambiente</w:t>
      </w:r>
      <w:r w:rsidR="00F7635D">
        <w:rPr>
          <w:rFonts w:cs="Arial"/>
          <w:lang w:eastAsia="es-MX"/>
        </w:rPr>
        <w:t>,</w:t>
      </w:r>
      <w:r w:rsidRPr="006E6390">
        <w:rPr>
          <w:rFonts w:cs="Arial"/>
          <w:lang w:eastAsia="es-MX"/>
        </w:rPr>
        <w:t xml:space="preserve"> por ejemplo, la liberación de emisiones contaminantes, los niveles de ruido, contaminación del agua o suelos</w:t>
      </w:r>
      <w:r w:rsidR="00465075">
        <w:rPr>
          <w:rFonts w:cs="Arial"/>
          <w:lang w:eastAsia="es-MX"/>
        </w:rPr>
        <w:t>,</w:t>
      </w:r>
      <w:r w:rsidRPr="006E6390">
        <w:rPr>
          <w:rFonts w:cs="Arial"/>
          <w:lang w:eastAsia="es-MX"/>
        </w:rPr>
        <w:t xml:space="preserve"> </w:t>
      </w:r>
      <w:r w:rsidR="00465075">
        <w:rPr>
          <w:rFonts w:cs="Arial"/>
          <w:lang w:eastAsia="es-MX"/>
        </w:rPr>
        <w:t>así como</w:t>
      </w:r>
      <w:r w:rsidRPr="006E6390">
        <w:rPr>
          <w:rFonts w:cs="Arial"/>
          <w:lang w:eastAsia="es-MX"/>
        </w:rPr>
        <w:t xml:space="preserve"> accidentes </w:t>
      </w:r>
      <w:r w:rsidR="00465075">
        <w:rPr>
          <w:rFonts w:cs="Arial"/>
          <w:lang w:eastAsia="es-MX"/>
        </w:rPr>
        <w:t>e</w:t>
      </w:r>
      <w:r w:rsidR="00465075" w:rsidRPr="006E6390">
        <w:rPr>
          <w:rFonts w:cs="Arial"/>
          <w:lang w:eastAsia="es-MX"/>
        </w:rPr>
        <w:t xml:space="preserve">n </w:t>
      </w:r>
      <w:r w:rsidRPr="006E6390">
        <w:rPr>
          <w:rFonts w:cs="Arial"/>
          <w:lang w:eastAsia="es-MX"/>
        </w:rPr>
        <w:t>el uso de materiales implicados (derrames de combustible o productos petroquímicos y derivados).</w:t>
      </w:r>
    </w:p>
    <w:p w14:paraId="5F5B36A9" w14:textId="77777777" w:rsidR="00465075" w:rsidRPr="006E6390" w:rsidRDefault="00465075" w:rsidP="005D448C">
      <w:pPr>
        <w:spacing w:after="0"/>
        <w:rPr>
          <w:rFonts w:cs="Arial"/>
          <w:lang w:eastAsia="es-MX"/>
        </w:rPr>
      </w:pPr>
    </w:p>
    <w:p w14:paraId="36E53510" w14:textId="6FA49756" w:rsidR="00465075" w:rsidRPr="006E6390" w:rsidRDefault="009E4D5C">
      <w:pPr>
        <w:rPr>
          <w:rFonts w:cs="Arial"/>
          <w:lang w:eastAsia="es-MX"/>
        </w:rPr>
      </w:pPr>
      <w:r w:rsidRPr="006E6390">
        <w:rPr>
          <w:rFonts w:cs="Arial"/>
          <w:lang w:eastAsia="es-MX"/>
        </w:rPr>
        <w:t>Todo cambio en la regulación ambiental podría generar mayores costos, así como retrasos en la implementación de los proyectos, lo cual podría generar menores rentabilidades y liquidez para la entidad.</w:t>
      </w:r>
    </w:p>
    <w:p w14:paraId="26F65FA1" w14:textId="77777777" w:rsidR="005B390E" w:rsidRPr="006E6390" w:rsidRDefault="005B390E" w:rsidP="00F275AD">
      <w:pPr>
        <w:pStyle w:val="Prrafodelista"/>
        <w:numPr>
          <w:ilvl w:val="0"/>
          <w:numId w:val="26"/>
        </w:numPr>
        <w:rPr>
          <w:rFonts w:cs="Arial"/>
          <w:b/>
        </w:rPr>
      </w:pPr>
      <w:r w:rsidRPr="006E6390">
        <w:rPr>
          <w:rFonts w:cs="Arial"/>
          <w:b/>
        </w:rPr>
        <w:t>Riesgo de liquidez</w:t>
      </w:r>
    </w:p>
    <w:p w14:paraId="27AB7802" w14:textId="135390E4" w:rsidR="00465075" w:rsidRPr="006E6390" w:rsidRDefault="005B390E">
      <w:pPr>
        <w:rPr>
          <w:rFonts w:cs="Arial"/>
          <w:lang w:eastAsia="es-MX"/>
        </w:rPr>
      </w:pPr>
      <w:r w:rsidRPr="006E6390">
        <w:rPr>
          <w:rFonts w:cs="Arial"/>
          <w:lang w:eastAsia="es-MX"/>
        </w:rPr>
        <w:t>Riesgo asociado a la posibilidad de que RECOPE, en algún momento, no cuente con los recursos de efectivo necesario para cubrir sus obligaciones de corto plazo, como pago de compromisos financieros, compra de materia prima e importación de producto.</w:t>
      </w:r>
      <w:r w:rsidR="00781C23" w:rsidRPr="006E6390">
        <w:rPr>
          <w:rFonts w:cs="Arial"/>
          <w:lang w:eastAsia="es-MX"/>
        </w:rPr>
        <w:t xml:space="preserve"> </w:t>
      </w:r>
      <w:r w:rsidRPr="006E6390">
        <w:rPr>
          <w:rFonts w:cs="Arial"/>
          <w:lang w:eastAsia="es-MX"/>
        </w:rPr>
        <w:t>Esta situación podría afectar las relaciones comerciales de la empresa con sus proveedores, tanto comerciales como financieros, y generar retrasos en la distribución y comercialización de productos, así como en el desarrollo de los proyectos de inversión.</w:t>
      </w:r>
    </w:p>
    <w:p w14:paraId="50D8F574" w14:textId="77777777" w:rsidR="005B390E" w:rsidRPr="006E6390" w:rsidRDefault="005B390E" w:rsidP="00F275AD">
      <w:pPr>
        <w:pStyle w:val="Prrafodelista"/>
        <w:numPr>
          <w:ilvl w:val="0"/>
          <w:numId w:val="26"/>
        </w:numPr>
        <w:rPr>
          <w:rFonts w:cs="Arial"/>
          <w:b/>
        </w:rPr>
      </w:pPr>
      <w:r w:rsidRPr="006E6390">
        <w:rPr>
          <w:rFonts w:cs="Arial"/>
          <w:b/>
        </w:rPr>
        <w:t>Riesgo de suministro de materias primas</w:t>
      </w:r>
    </w:p>
    <w:p w14:paraId="2E4D5170" w14:textId="0AF9BF05" w:rsidR="005B390E" w:rsidRDefault="005B390E" w:rsidP="005D448C">
      <w:pPr>
        <w:spacing w:after="0"/>
        <w:rPr>
          <w:rFonts w:cs="Arial"/>
          <w:lang w:eastAsia="es-MX"/>
        </w:rPr>
      </w:pPr>
      <w:r w:rsidRPr="006E6390">
        <w:rPr>
          <w:rFonts w:cs="Arial"/>
          <w:lang w:eastAsia="es-MX"/>
        </w:rPr>
        <w:t xml:space="preserve">Las mayores reservas de petróleo en el mundo se encuentran ubicadas en regiones altamente conflictivas, por lo que existe un riesgo de que condiciones económicas o </w:t>
      </w:r>
      <w:r w:rsidR="00B0078B" w:rsidRPr="006E6390">
        <w:rPr>
          <w:rFonts w:cs="Arial"/>
          <w:lang w:eastAsia="es-MX"/>
        </w:rPr>
        <w:t>sociopolíticas</w:t>
      </w:r>
      <w:r w:rsidRPr="006E6390">
        <w:rPr>
          <w:rFonts w:cs="Arial"/>
          <w:lang w:eastAsia="es-MX"/>
        </w:rPr>
        <w:t xml:space="preserve"> adversas en dichas regiones, generen una escasez de crudo y, por lo tanto, de producto terminado, lo cual implicaría una disminución de las ventas de la empresa y/o un alza en el precio de los combustibles, que originaría una posible contracción de la demanda.</w:t>
      </w:r>
    </w:p>
    <w:p w14:paraId="2A21C92E" w14:textId="77777777" w:rsidR="00465075" w:rsidRPr="006E6390" w:rsidRDefault="00465075" w:rsidP="005D448C">
      <w:pPr>
        <w:spacing w:after="0"/>
        <w:rPr>
          <w:rFonts w:cs="Arial"/>
          <w:lang w:eastAsia="es-MX"/>
        </w:rPr>
      </w:pPr>
    </w:p>
    <w:p w14:paraId="5942C276" w14:textId="7A63BFAE" w:rsidR="00C10341" w:rsidRPr="006E6390" w:rsidRDefault="00B0078B">
      <w:pPr>
        <w:rPr>
          <w:rFonts w:cs="Arial"/>
          <w:lang w:eastAsia="es-MX"/>
        </w:rPr>
      </w:pPr>
      <w:r w:rsidRPr="006E6390">
        <w:rPr>
          <w:rFonts w:cs="Arial"/>
          <w:lang w:eastAsia="es-MX"/>
        </w:rPr>
        <w:t>Aun</w:t>
      </w:r>
      <w:r w:rsidR="00FA4A61" w:rsidRPr="006E6390">
        <w:rPr>
          <w:rFonts w:cs="Arial"/>
          <w:lang w:eastAsia="es-MX"/>
        </w:rPr>
        <w:t xml:space="preserve"> cuando los Estados Unidos ha pasado a ser el mayor productor mundial de petróleo, la</w:t>
      </w:r>
      <w:r w:rsidR="005B390E" w:rsidRPr="006E6390">
        <w:rPr>
          <w:rFonts w:cs="Arial"/>
          <w:lang w:eastAsia="es-MX"/>
        </w:rPr>
        <w:t xml:space="preserve"> </w:t>
      </w:r>
      <w:r w:rsidR="005913E0" w:rsidRPr="006E6390">
        <w:rPr>
          <w:rFonts w:cs="Arial"/>
          <w:lang w:eastAsia="es-MX"/>
        </w:rPr>
        <w:t>Organización de Países Exportadores de Petróleo (</w:t>
      </w:r>
      <w:r w:rsidR="005B390E" w:rsidRPr="006E6390">
        <w:rPr>
          <w:rFonts w:cs="Arial"/>
          <w:lang w:eastAsia="es-MX"/>
        </w:rPr>
        <w:t>OPEP</w:t>
      </w:r>
      <w:r w:rsidR="005913E0" w:rsidRPr="006E6390">
        <w:rPr>
          <w:rFonts w:cs="Arial"/>
          <w:lang w:eastAsia="es-MX"/>
        </w:rPr>
        <w:t>)</w:t>
      </w:r>
      <w:r w:rsidR="005B390E" w:rsidRPr="006E6390">
        <w:rPr>
          <w:rFonts w:cs="Arial"/>
          <w:lang w:eastAsia="es-MX"/>
        </w:rPr>
        <w:t xml:space="preserve"> controla </w:t>
      </w:r>
      <w:r w:rsidR="00FA4A61" w:rsidRPr="006E6390">
        <w:rPr>
          <w:rFonts w:cs="Arial"/>
          <w:lang w:eastAsia="es-MX"/>
        </w:rPr>
        <w:t>más d</w:t>
      </w:r>
      <w:r w:rsidR="005B390E" w:rsidRPr="006E6390">
        <w:rPr>
          <w:rFonts w:cs="Arial"/>
          <w:lang w:eastAsia="es-MX"/>
        </w:rPr>
        <w:t xml:space="preserve">el </w:t>
      </w:r>
      <w:r w:rsidR="00FA4A61" w:rsidRPr="006E6390">
        <w:rPr>
          <w:rFonts w:cs="Arial"/>
          <w:lang w:eastAsia="es-MX"/>
        </w:rPr>
        <w:t>3</w:t>
      </w:r>
      <w:r w:rsidR="005B390E" w:rsidRPr="006E6390">
        <w:rPr>
          <w:rFonts w:cs="Arial"/>
          <w:lang w:eastAsia="es-MX"/>
        </w:rPr>
        <w:t xml:space="preserve">0% de la producción mundial del petróleo y por las tensiones políticas y militares en Medio Oriente, principalmente en los tres grandes productores de la organización: Arabia Saudita, Irak e Irán. Cualquier proceso de desestabilización en el Medio Oriente afectará a toda la región y, por lo tanto, las principales zonas de producción y los puntos neurálgicos del transporte de </w:t>
      </w:r>
      <w:r w:rsidR="005B390E" w:rsidRPr="006E6390">
        <w:rPr>
          <w:rFonts w:cs="Arial"/>
          <w:lang w:eastAsia="es-MX"/>
        </w:rPr>
        <w:lastRenderedPageBreak/>
        <w:t>petróleo, tales como: a) el estrecho de Hormuz, entre Omán e Irán, b) el paso de Bah al Mandal, en la entrada del Mar Rojo, y c) el Canal de Suez, que une el Mar Mediterráneo con el Mar Rojo.</w:t>
      </w:r>
      <w:r w:rsidR="00FA4A61" w:rsidRPr="006E6390">
        <w:rPr>
          <w:rFonts w:cs="Arial"/>
          <w:lang w:eastAsia="es-MX"/>
        </w:rPr>
        <w:t xml:space="preserve"> Estados Unidos por sí solo no podría evitar un alza de precios o una escasez de crudo, lo que impactaría al país durante el tiempo que dure dicho proceso.</w:t>
      </w:r>
    </w:p>
    <w:p w14:paraId="35DAA91A" w14:textId="77777777" w:rsidR="005B390E" w:rsidRPr="006E6390" w:rsidRDefault="005B390E" w:rsidP="00F275AD">
      <w:pPr>
        <w:pStyle w:val="Prrafodelista"/>
        <w:numPr>
          <w:ilvl w:val="0"/>
          <w:numId w:val="26"/>
        </w:numPr>
        <w:rPr>
          <w:rFonts w:cs="Arial"/>
          <w:b/>
        </w:rPr>
      </w:pPr>
      <w:r w:rsidRPr="006E6390">
        <w:rPr>
          <w:rFonts w:cs="Arial"/>
          <w:b/>
        </w:rPr>
        <w:t>Riesgos tecnológicos</w:t>
      </w:r>
    </w:p>
    <w:p w14:paraId="0874002F" w14:textId="7E3E8594" w:rsidR="00C10341" w:rsidRPr="006E6390" w:rsidRDefault="005B390E">
      <w:pPr>
        <w:rPr>
          <w:rFonts w:cs="Arial"/>
          <w:lang w:eastAsia="es-MX"/>
        </w:rPr>
      </w:pPr>
      <w:r w:rsidRPr="006E6390">
        <w:rPr>
          <w:rFonts w:cs="Arial"/>
          <w:lang w:eastAsia="es-MX"/>
        </w:rPr>
        <w:t>Debido a que las operaciones de RECOPE se realizan de manera desconcentrada en l</w:t>
      </w:r>
      <w:r w:rsidR="005D448C">
        <w:rPr>
          <w:rFonts w:cs="Arial"/>
          <w:lang w:eastAsia="es-MX"/>
        </w:rPr>
        <w:t>a</w:t>
      </w:r>
      <w:r w:rsidRPr="006E6390">
        <w:rPr>
          <w:rFonts w:cs="Arial"/>
          <w:lang w:eastAsia="es-MX"/>
        </w:rPr>
        <w:t xml:space="preserve">s </w:t>
      </w:r>
      <w:r w:rsidR="00465C19">
        <w:rPr>
          <w:rFonts w:cs="Arial"/>
          <w:lang w:eastAsia="es-MX"/>
        </w:rPr>
        <w:t>terminal</w:t>
      </w:r>
      <w:r w:rsidRPr="006E6390">
        <w:rPr>
          <w:rFonts w:cs="Arial"/>
          <w:lang w:eastAsia="es-MX"/>
        </w:rPr>
        <w:t>es de almacenamiento y ventas, la conectividad e integración de los diferentes sistemas resulta crítico para la operación diaria de la empresa, por lo que problemas con la transmisión de datos, integración, ingreso y registro de la información, redundancia de los sistema</w:t>
      </w:r>
      <w:r w:rsidR="009D1617" w:rsidRPr="006E6390">
        <w:rPr>
          <w:rFonts w:cs="Arial"/>
          <w:lang w:eastAsia="es-MX"/>
        </w:rPr>
        <w:t>s</w:t>
      </w:r>
      <w:r w:rsidRPr="006E6390">
        <w:rPr>
          <w:rFonts w:cs="Arial"/>
          <w:lang w:eastAsia="es-MX"/>
        </w:rPr>
        <w:t xml:space="preserve"> y otros podrían impedir la operación normal de la empresa.</w:t>
      </w:r>
    </w:p>
    <w:p w14:paraId="66BB1884" w14:textId="78ADCE73" w:rsidR="00C10341" w:rsidRPr="006E6390" w:rsidRDefault="005B390E">
      <w:pPr>
        <w:rPr>
          <w:rFonts w:cs="Arial"/>
          <w:lang w:eastAsia="es-MX"/>
        </w:rPr>
      </w:pPr>
      <w:r w:rsidRPr="006E6390">
        <w:rPr>
          <w:rFonts w:cs="Arial"/>
          <w:lang w:eastAsia="es-MX"/>
        </w:rPr>
        <w:t xml:space="preserve">Todos estos procesos se caracterizan por la rápida obsolescencia tecnológica, por lo que la falta de planificación y actualización de </w:t>
      </w:r>
      <w:r w:rsidR="00DE6C62" w:rsidRPr="006E6390">
        <w:rPr>
          <w:rFonts w:cs="Arial"/>
          <w:lang w:eastAsia="es-MX"/>
        </w:rPr>
        <w:t>estos</w:t>
      </w:r>
      <w:r w:rsidRPr="006E6390">
        <w:rPr>
          <w:rFonts w:cs="Arial"/>
          <w:lang w:eastAsia="es-MX"/>
        </w:rPr>
        <w:t>, podrían impedir el desarrollo normal de los procesos productivos.</w:t>
      </w:r>
    </w:p>
    <w:p w14:paraId="564D16D5" w14:textId="77777777" w:rsidR="00D76F68" w:rsidRPr="006E6390" w:rsidRDefault="00D76F68" w:rsidP="00D76F68">
      <w:pPr>
        <w:pStyle w:val="Prrafodelista"/>
        <w:numPr>
          <w:ilvl w:val="0"/>
          <w:numId w:val="26"/>
        </w:numPr>
        <w:rPr>
          <w:rFonts w:cs="Arial"/>
          <w:b/>
        </w:rPr>
      </w:pPr>
      <w:r w:rsidRPr="006E6390">
        <w:rPr>
          <w:rFonts w:cs="Arial"/>
          <w:b/>
        </w:rPr>
        <w:t>Riesgo de reputación</w:t>
      </w:r>
    </w:p>
    <w:p w14:paraId="2D999B86" w14:textId="121B4B1E" w:rsidR="00C10341" w:rsidRPr="006E6390" w:rsidRDefault="00D76F68">
      <w:pPr>
        <w:rPr>
          <w:rFonts w:cs="Arial"/>
          <w:lang w:eastAsia="es-MX"/>
        </w:rPr>
      </w:pPr>
      <w:r w:rsidRPr="006E6390">
        <w:rPr>
          <w:rFonts w:cs="Arial"/>
          <w:shd w:val="clear" w:color="auto" w:fill="FFFFFF"/>
        </w:rPr>
        <w:t>Debido a la condición de empresa pública y la naturaleza de los productos que expende, RECOPE está expuesta a un continuo escrutinio público acerca del nivel de precios de los combustibles, los gastos de operación en que incurre, el desarrollo de los proyectos de inversión, situaciones legales de diferente índole, conductas contrarias a la ética de los funcionarios o representantes de la entidad, entre otros. De esta forma, se generan noticias negativas y rumores, que se masifican por medio de redes sociales, afectando la imagen y reputación de la empresa. Estas situaciones causan desconfianza y malestar en los sujetos interesados, que se intensifican en algunos momentos, provocando que se planteen reformas o se sugieran cambios en la naturaleza jurídica de la empresa.</w:t>
      </w:r>
    </w:p>
    <w:p w14:paraId="384F0B01" w14:textId="77777777" w:rsidR="00823336" w:rsidRPr="006E6390" w:rsidRDefault="00823336" w:rsidP="00823336">
      <w:pPr>
        <w:pStyle w:val="Prrafodelista"/>
        <w:numPr>
          <w:ilvl w:val="0"/>
          <w:numId w:val="26"/>
        </w:numPr>
        <w:rPr>
          <w:rFonts w:cs="Arial"/>
          <w:b/>
        </w:rPr>
      </w:pPr>
      <w:r w:rsidRPr="006E6390">
        <w:rPr>
          <w:rFonts w:cs="Arial"/>
          <w:b/>
        </w:rPr>
        <w:t>Riesgo de continuidad de negocio</w:t>
      </w:r>
    </w:p>
    <w:p w14:paraId="1E6518DF" w14:textId="458AAB5B" w:rsidR="00C10341" w:rsidRPr="005D448C" w:rsidRDefault="000A1A94" w:rsidP="005D448C">
      <w:pPr>
        <w:shd w:val="clear" w:color="auto" w:fill="FFFFFF"/>
        <w:rPr>
          <w:rFonts w:cs="Arial"/>
          <w:lang w:val="es-ES" w:eastAsia="es-ES"/>
        </w:rPr>
      </w:pPr>
      <w:r w:rsidRPr="006E6390">
        <w:rPr>
          <w:rFonts w:cs="Arial"/>
          <w:lang w:eastAsia="es-ES"/>
        </w:rPr>
        <w:t xml:space="preserve">Las interrupciones en la continuidad de las operaciones, originadas en la no disponibilidad de materias primas o inventario de producto (debido a errores u omisiones en la programación de las importaciones, definición de inventarios mínimos, proceso de contratación; incumplimientos contractuales; problemas de atraque y descarga, o bien, </w:t>
      </w:r>
      <w:r w:rsidRPr="00CE37A6">
        <w:rPr>
          <w:rFonts w:cs="Arial"/>
          <w:lang w:eastAsia="es-ES"/>
        </w:rPr>
        <w:t>generados por afectaciones por el cambio climático,</w:t>
      </w:r>
      <w:r w:rsidRPr="006E6390">
        <w:rPr>
          <w:rFonts w:cs="Arial"/>
          <w:lang w:eastAsia="es-ES"/>
        </w:rPr>
        <w:t xml:space="preserve"> en las tecnologías de información </w:t>
      </w:r>
      <w:r w:rsidRPr="00C10341">
        <w:rPr>
          <w:rFonts w:cs="Arial"/>
          <w:lang w:eastAsia="es-ES"/>
        </w:rPr>
        <w:t>(sistemas y equipos), la no disponibilidad de personal experimentado o instalaciones apropiadas, de infraestructura y equipos, conflictos laborales, emergencias de cualquier otra índole, amenazan la capacidad de la empresa de conducir exitosamente sus actividades de negocios.</w:t>
      </w:r>
    </w:p>
    <w:p w14:paraId="21783106" w14:textId="77777777" w:rsidR="000A1A94" w:rsidRPr="00A144EB" w:rsidRDefault="000A1A94" w:rsidP="00A144EB">
      <w:pPr>
        <w:shd w:val="clear" w:color="auto" w:fill="FFFFFF"/>
        <w:spacing w:after="0"/>
        <w:rPr>
          <w:rFonts w:cs="Arial"/>
          <w:lang w:val="es-ES" w:eastAsia="es-ES"/>
        </w:rPr>
      </w:pPr>
      <w:r w:rsidRPr="00C10341">
        <w:rPr>
          <w:rFonts w:cs="Arial"/>
          <w:lang w:eastAsia="es-ES"/>
        </w:rPr>
        <w:t>Estas situaciones</w:t>
      </w:r>
      <w:r w:rsidRPr="006E6390">
        <w:rPr>
          <w:rFonts w:cs="Arial"/>
          <w:lang w:eastAsia="es-ES"/>
        </w:rPr>
        <w:t xml:space="preserve"> podrían comprometer la oportunidad en la atención de las obligaciones de la empresa con los clientes, los proveedores, los inversionistas, entre otros.</w:t>
      </w:r>
    </w:p>
    <w:p w14:paraId="1AFD7977" w14:textId="77777777" w:rsidR="00D76F68" w:rsidRPr="006E6390" w:rsidRDefault="00D76F68" w:rsidP="004A26B9">
      <w:pPr>
        <w:rPr>
          <w:rFonts w:cs="Arial"/>
          <w:lang w:eastAsia="es-MX"/>
        </w:rPr>
      </w:pPr>
    </w:p>
    <w:p w14:paraId="09298C3F" w14:textId="77777777" w:rsidR="005B390E" w:rsidRPr="006E6390" w:rsidRDefault="005B390E" w:rsidP="002331C3">
      <w:pPr>
        <w:pStyle w:val="Ttulo3"/>
        <w:rPr>
          <w:rFonts w:cs="Arial"/>
          <w:lang w:eastAsia="es-MX"/>
        </w:rPr>
      </w:pPr>
      <w:bookmarkStart w:id="61" w:name="_Toc38630786"/>
      <w:r w:rsidRPr="006E6390">
        <w:rPr>
          <w:rFonts w:cs="Arial"/>
          <w:lang w:eastAsia="es-MX"/>
        </w:rPr>
        <w:lastRenderedPageBreak/>
        <w:t>2.1.3</w:t>
      </w:r>
      <w:r w:rsidR="00DE609C" w:rsidRPr="006E6390">
        <w:rPr>
          <w:rFonts w:cs="Arial"/>
          <w:lang w:eastAsia="es-MX"/>
        </w:rPr>
        <w:t>.</w:t>
      </w:r>
      <w:r w:rsidRPr="006E6390">
        <w:rPr>
          <w:rFonts w:cs="Arial"/>
          <w:lang w:eastAsia="es-MX"/>
        </w:rPr>
        <w:t xml:space="preserve"> Riesgos de la industria</w:t>
      </w:r>
      <w:bookmarkEnd w:id="61"/>
    </w:p>
    <w:p w14:paraId="5B4A3EBF" w14:textId="3EF56FF4" w:rsidR="00C10341" w:rsidRPr="006E6390" w:rsidRDefault="005B390E">
      <w:pPr>
        <w:rPr>
          <w:rFonts w:cs="Arial"/>
          <w:lang w:eastAsia="es-MX"/>
        </w:rPr>
      </w:pPr>
      <w:r w:rsidRPr="006E6390">
        <w:rPr>
          <w:rFonts w:cs="Arial"/>
          <w:lang w:eastAsia="es-MX"/>
        </w:rPr>
        <w:t xml:space="preserve">Los riesgos de la industria son originados por factores externos a la administración de RECOPE y son comunes para cualquier otra empresa que brinde el mismo tipo de servicio. </w:t>
      </w:r>
      <w:r w:rsidR="00781C23" w:rsidRPr="006E6390">
        <w:rPr>
          <w:rFonts w:cs="Arial"/>
          <w:lang w:eastAsia="es-MX"/>
        </w:rPr>
        <w:t xml:space="preserve"> </w:t>
      </w:r>
      <w:r w:rsidRPr="006E6390">
        <w:rPr>
          <w:rFonts w:cs="Arial"/>
          <w:lang w:eastAsia="es-MX"/>
        </w:rPr>
        <w:t>Estos factores pueden llegar a erosionar la solvencia de la empresa y por consiguiente afectar la capacidad de pago a los inversionistas.</w:t>
      </w:r>
    </w:p>
    <w:p w14:paraId="0D9E1FC7" w14:textId="77777777" w:rsidR="005B390E" w:rsidRPr="006E6390" w:rsidRDefault="005B390E" w:rsidP="00F275AD">
      <w:pPr>
        <w:pStyle w:val="Prrafodelista"/>
        <w:numPr>
          <w:ilvl w:val="0"/>
          <w:numId w:val="27"/>
        </w:numPr>
        <w:rPr>
          <w:rFonts w:cs="Arial"/>
          <w:b/>
        </w:rPr>
      </w:pPr>
      <w:r w:rsidRPr="006E6390">
        <w:rPr>
          <w:rFonts w:cs="Arial"/>
          <w:b/>
        </w:rPr>
        <w:t>Riesgos por fluctuaciones en el precio del petróleo</w:t>
      </w:r>
    </w:p>
    <w:p w14:paraId="443E265D" w14:textId="41067380" w:rsidR="00C10341" w:rsidRPr="006E6390" w:rsidRDefault="005B390E">
      <w:pPr>
        <w:rPr>
          <w:rFonts w:cs="Arial"/>
          <w:lang w:eastAsia="es-MX"/>
        </w:rPr>
      </w:pPr>
      <w:r w:rsidRPr="006E6390">
        <w:rPr>
          <w:rFonts w:cs="Arial"/>
          <w:lang w:eastAsia="es-MX"/>
        </w:rPr>
        <w:t>Al ser Costa Rica un importador neto de combustibles, RECOPE, como administradora del monopolio de la importación, refinación y distribución a granel de estos productos, es tomadora de precios a nivel internacional. Históricamente, los precios del petróleo han presentado una alta volatilidad, en donde no solo interfieren aspectos de oferta y demanda (los “fundamentales”), sino aspectos especulativos derivados de la geopolítica y de los mercados financieros internacionales.</w:t>
      </w:r>
    </w:p>
    <w:p w14:paraId="0020B75C" w14:textId="10CF1B08" w:rsidR="00C10341" w:rsidRPr="006E6390" w:rsidRDefault="005B390E">
      <w:pPr>
        <w:rPr>
          <w:rFonts w:cs="Arial"/>
          <w:lang w:eastAsia="es-MX"/>
        </w:rPr>
      </w:pPr>
      <w:r w:rsidRPr="006E6390">
        <w:rPr>
          <w:rFonts w:cs="Arial"/>
          <w:lang w:eastAsia="es-MX"/>
        </w:rPr>
        <w:t xml:space="preserve">Cuando se presentan aumentos y disminuciones en los precios del crudo y los combustibles, dentro de un limitado periodo, el procedimiento de fijación de precios permite que las finanzas de la empresa se equilibren. No obstante, cuando se presentan crecimientos sostenidos en los precios y la velocidad de crecimiento de </w:t>
      </w:r>
      <w:r w:rsidR="00D1594A" w:rsidRPr="006E6390">
        <w:rPr>
          <w:rFonts w:cs="Arial"/>
          <w:lang w:eastAsia="es-MX"/>
        </w:rPr>
        <w:t>estos,</w:t>
      </w:r>
      <w:r w:rsidRPr="006E6390">
        <w:rPr>
          <w:rFonts w:cs="Arial"/>
          <w:lang w:eastAsia="es-MX"/>
        </w:rPr>
        <w:t xml:space="preserve"> es mayor a la velocidad con que se ajusta el rezago de precios, las finanzas de la empresa pueden deteriorase y afectar su capacidad para atender sus obligaciones.</w:t>
      </w:r>
    </w:p>
    <w:p w14:paraId="149AF56C" w14:textId="77777777" w:rsidR="005B390E" w:rsidRPr="006E6390" w:rsidRDefault="00AF59C8" w:rsidP="00F275AD">
      <w:pPr>
        <w:pStyle w:val="Prrafodelista"/>
        <w:numPr>
          <w:ilvl w:val="0"/>
          <w:numId w:val="27"/>
        </w:numPr>
        <w:rPr>
          <w:rFonts w:cs="Arial"/>
          <w:b/>
        </w:rPr>
      </w:pPr>
      <w:r w:rsidRPr="006E6390">
        <w:rPr>
          <w:rFonts w:cs="Arial"/>
          <w:b/>
        </w:rPr>
        <w:t xml:space="preserve">Riesgos </w:t>
      </w:r>
      <w:r w:rsidR="005B390E" w:rsidRPr="006E6390">
        <w:rPr>
          <w:rFonts w:cs="Arial"/>
          <w:b/>
        </w:rPr>
        <w:t>de la actividad petrolera</w:t>
      </w:r>
    </w:p>
    <w:p w14:paraId="17C5FCE4" w14:textId="744CB621" w:rsidR="005B390E" w:rsidRDefault="005B390E" w:rsidP="005D448C">
      <w:pPr>
        <w:spacing w:after="0"/>
        <w:rPr>
          <w:rFonts w:cs="Arial"/>
          <w:lang w:eastAsia="es-MX"/>
        </w:rPr>
      </w:pPr>
      <w:r w:rsidRPr="006E6390">
        <w:rPr>
          <w:rFonts w:cs="Arial"/>
          <w:lang w:eastAsia="es-MX"/>
        </w:rPr>
        <w:t xml:space="preserve">Debido a las preocupaciones del impacto de las actividades de la industria de los hidrocarburos en el medio ambiente, existe la posibilidad de que se impongan nuevas restricciones a la operación de las empresas en esta industria, </w:t>
      </w:r>
      <w:r w:rsidRPr="00CE37A6">
        <w:rPr>
          <w:rFonts w:cs="Arial"/>
          <w:lang w:eastAsia="es-MX"/>
        </w:rPr>
        <w:t>con el fin de mejorar los estándares de operac</w:t>
      </w:r>
      <w:r w:rsidR="0032015A" w:rsidRPr="00CE37A6">
        <w:rPr>
          <w:rFonts w:cs="Arial"/>
          <w:lang w:eastAsia="es-MX"/>
        </w:rPr>
        <w:t>ión y calidad de los productos.</w:t>
      </w:r>
      <w:r w:rsidR="003A57DB" w:rsidRPr="00CE37A6">
        <w:rPr>
          <w:rFonts w:cs="Arial"/>
          <w:lang w:eastAsia="es-MX"/>
        </w:rPr>
        <w:t xml:space="preserve"> </w:t>
      </w:r>
      <w:r w:rsidRPr="00CE37A6">
        <w:rPr>
          <w:rFonts w:cs="Arial"/>
          <w:lang w:eastAsia="es-MX"/>
        </w:rPr>
        <w:t>Adicionalmente, existe la posibilidad de que la operación de RECOPE produzca daños al medio ambiente.</w:t>
      </w:r>
    </w:p>
    <w:p w14:paraId="7E295E66" w14:textId="77777777" w:rsidR="00C10341" w:rsidRPr="006E6390" w:rsidRDefault="00C10341" w:rsidP="005D448C">
      <w:pPr>
        <w:spacing w:after="0"/>
        <w:rPr>
          <w:rFonts w:cs="Arial"/>
          <w:lang w:eastAsia="es-MX"/>
        </w:rPr>
      </w:pPr>
    </w:p>
    <w:p w14:paraId="48EF20C1" w14:textId="4222788B" w:rsidR="00C10341" w:rsidRPr="00CE37A6" w:rsidRDefault="005B390E">
      <w:pPr>
        <w:rPr>
          <w:rFonts w:cs="Arial"/>
          <w:lang w:eastAsia="es-MX"/>
        </w:rPr>
      </w:pPr>
      <w:r w:rsidRPr="006E6390">
        <w:rPr>
          <w:rFonts w:cs="Arial"/>
          <w:lang w:eastAsia="es-MX"/>
        </w:rPr>
        <w:t xml:space="preserve">Estas modificaciones en la regulación y operación de las empresas, tanto a nivel internacional como a nivel local, así como posibles demandas o sanciones por daños al medio ambiente, podrían incrementar los costos de operación o retrasar la implementación de proyectos y por </w:t>
      </w:r>
      <w:r w:rsidRPr="00CE37A6">
        <w:rPr>
          <w:rFonts w:cs="Arial"/>
          <w:lang w:eastAsia="es-MX"/>
        </w:rPr>
        <w:t>ende reflejar un menor mar</w:t>
      </w:r>
      <w:r w:rsidR="00BA13B5" w:rsidRPr="00CE37A6">
        <w:rPr>
          <w:rFonts w:cs="Arial"/>
          <w:lang w:eastAsia="es-MX"/>
        </w:rPr>
        <w:t>gen de utilidad para la empresa.</w:t>
      </w:r>
    </w:p>
    <w:p w14:paraId="4886B009" w14:textId="77777777" w:rsidR="005B390E" w:rsidRPr="00CE37A6" w:rsidRDefault="005B390E" w:rsidP="00F275AD">
      <w:pPr>
        <w:pStyle w:val="Prrafodelista"/>
        <w:numPr>
          <w:ilvl w:val="0"/>
          <w:numId w:val="27"/>
        </w:numPr>
        <w:rPr>
          <w:rFonts w:cs="Arial"/>
          <w:b/>
        </w:rPr>
      </w:pPr>
      <w:r w:rsidRPr="00CE37A6">
        <w:rPr>
          <w:rFonts w:cs="Arial"/>
          <w:b/>
        </w:rPr>
        <w:t>Riesgo por desastres naturales</w:t>
      </w:r>
    </w:p>
    <w:p w14:paraId="721C2248" w14:textId="6BA41F3B" w:rsidR="005B390E" w:rsidRDefault="005B390E" w:rsidP="005D448C">
      <w:pPr>
        <w:spacing w:after="0"/>
        <w:rPr>
          <w:rFonts w:cs="Arial"/>
          <w:lang w:eastAsia="es-MX"/>
        </w:rPr>
      </w:pPr>
      <w:r w:rsidRPr="006E6390">
        <w:rPr>
          <w:rFonts w:cs="Arial"/>
          <w:lang w:eastAsia="es-MX"/>
        </w:rPr>
        <w:t>RECOPE se enfrenta al riesgo de que desastres naturales puedan limitar su capacidad, de manera parcial o total, de importar, almacenar, refinar o distribuir los productos para abastecer la demanda nacional, ya sea por los efectos de estos desastres en los puntos de origen de las fuentes de suministro o en la estructura local de RECOPE.</w:t>
      </w:r>
    </w:p>
    <w:p w14:paraId="124F15FE" w14:textId="77777777" w:rsidR="00C10341" w:rsidRPr="006E6390" w:rsidRDefault="00C10341" w:rsidP="005D448C">
      <w:pPr>
        <w:spacing w:after="0"/>
        <w:rPr>
          <w:rFonts w:cs="Arial"/>
          <w:lang w:eastAsia="es-MX"/>
        </w:rPr>
      </w:pPr>
    </w:p>
    <w:p w14:paraId="3C5C1C44" w14:textId="5BCEF0F8" w:rsidR="005B390E" w:rsidRDefault="005B390E" w:rsidP="005D448C">
      <w:pPr>
        <w:spacing w:after="0"/>
        <w:rPr>
          <w:rFonts w:cs="Arial"/>
          <w:lang w:eastAsia="es-MX"/>
        </w:rPr>
      </w:pPr>
      <w:r w:rsidRPr="006E6390">
        <w:rPr>
          <w:rFonts w:cs="Arial"/>
          <w:lang w:eastAsia="es-MX"/>
        </w:rPr>
        <w:t>Algunos eventos naturales pueden llegar a sedimentar el muelle, lo cual implicaría una disminución en el peso muerto de los buques que atraquen en el muelle.</w:t>
      </w:r>
    </w:p>
    <w:p w14:paraId="2CFF300A" w14:textId="77777777" w:rsidR="00C10341" w:rsidRPr="006E6390" w:rsidRDefault="00C10341" w:rsidP="005D448C">
      <w:pPr>
        <w:spacing w:after="0"/>
        <w:rPr>
          <w:rFonts w:cs="Arial"/>
          <w:lang w:eastAsia="es-MX"/>
        </w:rPr>
      </w:pPr>
    </w:p>
    <w:p w14:paraId="27F738CA" w14:textId="61D10DAD" w:rsidR="005B390E" w:rsidRPr="006E6390" w:rsidRDefault="005B390E">
      <w:pPr>
        <w:rPr>
          <w:rFonts w:cs="Arial"/>
          <w:lang w:eastAsia="es-MX"/>
        </w:rPr>
      </w:pPr>
      <w:r w:rsidRPr="006E6390">
        <w:rPr>
          <w:rFonts w:cs="Arial"/>
          <w:lang w:eastAsia="es-MX"/>
        </w:rPr>
        <w:lastRenderedPageBreak/>
        <w:t>Estos desastres naturales podrían generar atrasos en la importación del crudo y sus derivados, y en la distribución de los combustibles, lo que podría generar escasez de producto y/o un mayor costo para RECOPE.</w:t>
      </w:r>
    </w:p>
    <w:p w14:paraId="524A6563" w14:textId="77777777" w:rsidR="005B390E" w:rsidRPr="006E6390" w:rsidRDefault="005B390E" w:rsidP="00F275AD">
      <w:pPr>
        <w:pStyle w:val="Prrafodelista"/>
        <w:numPr>
          <w:ilvl w:val="0"/>
          <w:numId w:val="27"/>
        </w:numPr>
        <w:rPr>
          <w:rFonts w:cs="Arial"/>
          <w:b/>
        </w:rPr>
      </w:pPr>
      <w:r w:rsidRPr="006E6390">
        <w:rPr>
          <w:rFonts w:cs="Arial"/>
          <w:b/>
        </w:rPr>
        <w:t>Riesgo por cambios en patrones de consumo</w:t>
      </w:r>
    </w:p>
    <w:p w14:paraId="68C658F2" w14:textId="06157E19" w:rsidR="00614703" w:rsidRPr="006E6390" w:rsidRDefault="005B390E">
      <w:pPr>
        <w:rPr>
          <w:rFonts w:cs="Arial"/>
          <w:lang w:eastAsia="es-MX"/>
        </w:rPr>
      </w:pPr>
      <w:r w:rsidRPr="006E6390">
        <w:rPr>
          <w:rFonts w:cs="Arial"/>
          <w:lang w:eastAsia="es-MX"/>
        </w:rPr>
        <w:t>Es la probabilidad de pérdidas derivadas de variaciones en el perfil o patrón de consumo de los clientes. Esto puede ocurrir como resultado de cambios tecnológicos, persistencia de condiciones adversas en el mercado, incrementos de precios, entre otros.</w:t>
      </w:r>
    </w:p>
    <w:p w14:paraId="3F218A3E" w14:textId="3869FA38" w:rsidR="00270D71" w:rsidRDefault="005B390E" w:rsidP="00270D71">
      <w:pPr>
        <w:rPr>
          <w:rFonts w:cs="Arial"/>
          <w:lang w:eastAsia="es-MX"/>
        </w:rPr>
      </w:pPr>
      <w:r w:rsidRPr="00CE37A6">
        <w:rPr>
          <w:rFonts w:cs="Arial"/>
          <w:lang w:eastAsia="es-MX"/>
        </w:rPr>
        <w:t>Existe una tendencia que continúa impulsando la investigación para hallar nuevas fuentes energéticas que sean más amigables desde el punto de vista ambiental, derivada de una mayor preocupación por el cambio climático y por el deterioro del medio ambiente alrededor del mundo.</w:t>
      </w:r>
    </w:p>
    <w:p w14:paraId="7AE29BD8" w14:textId="6CD42238" w:rsidR="00614703" w:rsidRPr="006E6390" w:rsidRDefault="005B390E">
      <w:pPr>
        <w:rPr>
          <w:rFonts w:cs="Arial"/>
          <w:lang w:eastAsia="es-MX"/>
        </w:rPr>
      </w:pPr>
      <w:r w:rsidRPr="006E6390">
        <w:rPr>
          <w:rFonts w:cs="Arial"/>
          <w:lang w:eastAsia="es-MX"/>
        </w:rPr>
        <w:t>A pesar del gran esfuerzo realizado sobre este tema, los patrones de consumo a nivel internacional y local no han sufrido cambios relevantes.</w:t>
      </w:r>
    </w:p>
    <w:p w14:paraId="01D90BC8" w14:textId="0BF02240" w:rsidR="002621AA" w:rsidRPr="006E6390" w:rsidRDefault="005B390E" w:rsidP="004A26B9">
      <w:pPr>
        <w:rPr>
          <w:rFonts w:cs="Arial"/>
          <w:lang w:eastAsia="es-MX"/>
        </w:rPr>
      </w:pPr>
      <w:r w:rsidRPr="006E6390">
        <w:rPr>
          <w:rFonts w:cs="Arial"/>
          <w:lang w:eastAsia="es-MX"/>
        </w:rPr>
        <w:t>Cambios en los patrones de consumo pueden generar una disminución en las ventas de la empresa y por ende una disminución en la generación de utilidades.</w:t>
      </w:r>
    </w:p>
    <w:p w14:paraId="01D0D986" w14:textId="70594B62" w:rsidR="00614703" w:rsidRPr="00614703" w:rsidRDefault="005B390E">
      <w:pPr>
        <w:pStyle w:val="Ttulo3"/>
      </w:pPr>
      <w:bookmarkStart w:id="62" w:name="_Toc38630787"/>
      <w:r w:rsidRPr="000E341C">
        <w:rPr>
          <w:rFonts w:cs="Arial"/>
        </w:rPr>
        <w:t>2.1.4</w:t>
      </w:r>
      <w:r w:rsidR="00DE609C" w:rsidRPr="000E341C">
        <w:rPr>
          <w:rFonts w:cs="Arial"/>
        </w:rPr>
        <w:t>.</w:t>
      </w:r>
      <w:r w:rsidRPr="000E341C">
        <w:rPr>
          <w:rFonts w:cs="Arial"/>
        </w:rPr>
        <w:t xml:space="preserve"> Riesgos del entorno</w:t>
      </w:r>
      <w:bookmarkEnd w:id="62"/>
    </w:p>
    <w:p w14:paraId="35C27C18" w14:textId="77777777" w:rsidR="005B390E" w:rsidRPr="006E6390" w:rsidRDefault="005B390E" w:rsidP="00F275AD">
      <w:pPr>
        <w:pStyle w:val="Prrafodelista"/>
        <w:numPr>
          <w:ilvl w:val="0"/>
          <w:numId w:val="28"/>
        </w:numPr>
        <w:rPr>
          <w:rFonts w:cs="Arial"/>
          <w:b/>
        </w:rPr>
      </w:pPr>
      <w:r w:rsidRPr="006E6390">
        <w:rPr>
          <w:rFonts w:cs="Arial"/>
          <w:b/>
        </w:rPr>
        <w:t>Riesgo macroeconómico</w:t>
      </w:r>
    </w:p>
    <w:p w14:paraId="011F78B8" w14:textId="79A413F0" w:rsidR="005B390E" w:rsidRDefault="005B390E" w:rsidP="005D448C">
      <w:pPr>
        <w:spacing w:after="0"/>
        <w:rPr>
          <w:rFonts w:cs="Arial"/>
          <w:lang w:eastAsia="es-MX"/>
        </w:rPr>
      </w:pPr>
      <w:r w:rsidRPr="006E6390">
        <w:rPr>
          <w:rFonts w:cs="Arial"/>
          <w:lang w:eastAsia="es-MX"/>
        </w:rPr>
        <w:t xml:space="preserve">Riesgos que no son particulares a RECOPE ni que pueden ser controlados por la entidad, sino que obedecen a factores externos que afectan a todas las empresas en la misma actividad económica en el entorno costarricense, e inclusive a empresas en otras industrias. </w:t>
      </w:r>
      <w:r w:rsidR="003A57DB" w:rsidRPr="006E6390">
        <w:rPr>
          <w:rFonts w:cs="Arial"/>
          <w:lang w:eastAsia="es-MX"/>
        </w:rPr>
        <w:t xml:space="preserve"> </w:t>
      </w:r>
      <w:r w:rsidRPr="006E6390">
        <w:rPr>
          <w:rFonts w:cs="Arial"/>
          <w:lang w:eastAsia="es-MX"/>
        </w:rPr>
        <w:t>El riesgo macroeconómico se refiere a la volatilidad del estado general de la economía del país, derivado de fluctuaciones de diversos factores o variables, sin embargo</w:t>
      </w:r>
      <w:r w:rsidR="00C12AD5" w:rsidRPr="006E6390">
        <w:rPr>
          <w:rFonts w:cs="Arial"/>
          <w:lang w:eastAsia="es-MX"/>
        </w:rPr>
        <w:t>,</w:t>
      </w:r>
      <w:r w:rsidRPr="006E6390">
        <w:rPr>
          <w:rFonts w:cs="Arial"/>
          <w:lang w:eastAsia="es-MX"/>
        </w:rPr>
        <w:t xml:space="preserve"> las implicaciones que pueden tener estos riesgos no serán de la misma magnitud o en la misma dirección en todas ellas. </w:t>
      </w:r>
      <w:r w:rsidR="003A57DB" w:rsidRPr="006E6390">
        <w:rPr>
          <w:rFonts w:cs="Arial"/>
          <w:lang w:eastAsia="es-MX"/>
        </w:rPr>
        <w:t xml:space="preserve"> </w:t>
      </w:r>
      <w:r w:rsidRPr="006E6390">
        <w:rPr>
          <w:rFonts w:cs="Arial"/>
          <w:lang w:eastAsia="es-MX"/>
        </w:rPr>
        <w:t>Los activos y negocios de RECOPE están ubicados en Costa Rica, por lo tanto, los ingresos y eventualmente las utilidades de la empresa estarán ligadas al comportamiento de la economía costarricense.</w:t>
      </w:r>
    </w:p>
    <w:p w14:paraId="269DCD76" w14:textId="77777777" w:rsidR="00614703" w:rsidRPr="006E6390" w:rsidRDefault="00614703" w:rsidP="005D448C">
      <w:pPr>
        <w:spacing w:after="0"/>
        <w:rPr>
          <w:rFonts w:cs="Arial"/>
          <w:lang w:eastAsia="es-MX"/>
        </w:rPr>
      </w:pPr>
    </w:p>
    <w:p w14:paraId="2F66CFB6" w14:textId="250018AB" w:rsidR="005B390E" w:rsidRDefault="005B390E" w:rsidP="00C37473">
      <w:pPr>
        <w:autoSpaceDE w:val="0"/>
        <w:autoSpaceDN w:val="0"/>
        <w:adjustRightInd w:val="0"/>
        <w:spacing w:after="0"/>
        <w:rPr>
          <w:rFonts w:cs="Arial"/>
          <w:lang w:eastAsia="es-MX"/>
        </w:rPr>
      </w:pPr>
      <w:r w:rsidRPr="006E6390">
        <w:rPr>
          <w:rFonts w:cs="Arial"/>
          <w:lang w:eastAsia="es-MX"/>
        </w:rPr>
        <w:t>Las principales variables macroeconómicas del país son revisadas dos veces por año por el Banco Central de Costa Rica, institución que estima cuáles serán los resultados de dichas variables para el año en curso y el siguiente.</w:t>
      </w:r>
      <w:r w:rsidR="00B74F6A" w:rsidRPr="006E6390">
        <w:rPr>
          <w:rFonts w:cs="Arial"/>
          <w:lang w:eastAsia="es-MX"/>
        </w:rPr>
        <w:t xml:space="preserve"> </w:t>
      </w:r>
      <w:r w:rsidRPr="00AC0BB7">
        <w:rPr>
          <w:rFonts w:cs="Arial"/>
          <w:lang w:eastAsia="es-MX"/>
        </w:rPr>
        <w:t xml:space="preserve">A </w:t>
      </w:r>
      <w:r w:rsidR="00DA5C33" w:rsidRPr="00AC0BB7">
        <w:rPr>
          <w:rFonts w:cs="Arial"/>
          <w:lang w:eastAsia="es-MX"/>
        </w:rPr>
        <w:t>continuación,</w:t>
      </w:r>
      <w:r w:rsidRPr="00AC0BB7">
        <w:rPr>
          <w:rFonts w:cs="Arial"/>
          <w:lang w:eastAsia="es-MX"/>
        </w:rPr>
        <w:t xml:space="preserve"> se detallan las últimas proyecciones realizadas por el BCCR de acuerdo con</w:t>
      </w:r>
      <w:r w:rsidR="00BC09E8" w:rsidRPr="00AC0BB7">
        <w:rPr>
          <w:rFonts w:cs="Arial"/>
          <w:lang w:eastAsia="es-MX"/>
        </w:rPr>
        <w:t xml:space="preserve"> el</w:t>
      </w:r>
      <w:r w:rsidRPr="00AC0BB7">
        <w:rPr>
          <w:rFonts w:cs="Arial"/>
          <w:lang w:eastAsia="es-MX"/>
        </w:rPr>
        <w:t xml:space="preserve"> </w:t>
      </w:r>
      <w:r w:rsidR="00BC09E8" w:rsidRPr="00AC0BB7">
        <w:rPr>
          <w:rFonts w:cs="Arial"/>
          <w:lang w:eastAsia="es-MX"/>
        </w:rPr>
        <w:t>Informe de Política Monetaria -</w:t>
      </w:r>
      <w:r w:rsidR="0015034A">
        <w:rPr>
          <w:rFonts w:cs="Arial"/>
          <w:lang w:eastAsia="es-MX"/>
        </w:rPr>
        <w:t>octubre</w:t>
      </w:r>
      <w:r w:rsidR="0015034A" w:rsidRPr="00AC0BB7">
        <w:rPr>
          <w:rFonts w:cs="Arial"/>
          <w:lang w:eastAsia="es-MX"/>
        </w:rPr>
        <w:t xml:space="preserve"> </w:t>
      </w:r>
      <w:r w:rsidR="008E6DB7" w:rsidRPr="00AC0BB7">
        <w:rPr>
          <w:rFonts w:cs="Arial"/>
          <w:lang w:eastAsia="es-MX"/>
        </w:rPr>
        <w:t>2022</w:t>
      </w:r>
      <w:r w:rsidR="0015034A">
        <w:rPr>
          <w:rFonts w:cs="Arial"/>
          <w:lang w:eastAsia="es-MX"/>
        </w:rPr>
        <w:t>, a</w:t>
      </w:r>
      <w:r w:rsidR="00BC09E8" w:rsidRPr="00AC0BB7">
        <w:rPr>
          <w:rFonts w:cs="Arial"/>
          <w:lang w:eastAsia="es-MX"/>
        </w:rPr>
        <w:t xml:space="preserve">probado por la Junta Directiva del Banco Central de Costa Rica en el artículo </w:t>
      </w:r>
      <w:r w:rsidR="0015034A">
        <w:rPr>
          <w:rFonts w:cs="Arial"/>
          <w:lang w:eastAsia="es-MX"/>
        </w:rPr>
        <w:t>7</w:t>
      </w:r>
      <w:r w:rsidR="0015034A" w:rsidRPr="00AC0BB7">
        <w:rPr>
          <w:rFonts w:cs="Arial"/>
          <w:lang w:eastAsia="es-MX"/>
        </w:rPr>
        <w:t xml:space="preserve"> </w:t>
      </w:r>
      <w:r w:rsidR="00BC09E8" w:rsidRPr="00AC0BB7">
        <w:rPr>
          <w:rFonts w:cs="Arial"/>
          <w:lang w:eastAsia="es-MX"/>
        </w:rPr>
        <w:t xml:space="preserve">de la sesión </w:t>
      </w:r>
      <w:r w:rsidR="0015034A" w:rsidRPr="00AC0BB7">
        <w:rPr>
          <w:rFonts w:cs="Arial"/>
          <w:lang w:eastAsia="es-MX"/>
        </w:rPr>
        <w:t>60</w:t>
      </w:r>
      <w:r w:rsidR="0015034A">
        <w:rPr>
          <w:rFonts w:cs="Arial"/>
          <w:lang w:eastAsia="es-MX"/>
        </w:rPr>
        <w:t>88</w:t>
      </w:r>
      <w:r w:rsidR="00BC09E8" w:rsidRPr="00AC0BB7">
        <w:rPr>
          <w:rFonts w:cs="Arial"/>
          <w:lang w:eastAsia="es-MX"/>
        </w:rPr>
        <w:t xml:space="preserve">-2022 del 26 de </w:t>
      </w:r>
      <w:r w:rsidR="0015034A">
        <w:rPr>
          <w:rFonts w:cs="Arial"/>
          <w:lang w:eastAsia="es-MX"/>
        </w:rPr>
        <w:t>octubre</w:t>
      </w:r>
      <w:r w:rsidR="0015034A" w:rsidRPr="00AC0BB7">
        <w:rPr>
          <w:rFonts w:cs="Arial"/>
          <w:lang w:eastAsia="es-MX"/>
        </w:rPr>
        <w:t xml:space="preserve"> </w:t>
      </w:r>
      <w:r w:rsidR="00BC09E8" w:rsidRPr="00AC0BB7">
        <w:rPr>
          <w:rFonts w:cs="Arial"/>
          <w:lang w:eastAsia="es-MX"/>
        </w:rPr>
        <w:t>de 2022</w:t>
      </w:r>
      <w:r w:rsidRPr="00AC0BB7">
        <w:rPr>
          <w:rFonts w:cs="Arial"/>
          <w:lang w:eastAsia="es-MX"/>
        </w:rPr>
        <w:t>:</w:t>
      </w:r>
    </w:p>
    <w:p w14:paraId="0FBF16C4" w14:textId="77777777" w:rsidR="00614703" w:rsidRPr="006E6390" w:rsidRDefault="00614703" w:rsidP="00C37473">
      <w:pPr>
        <w:autoSpaceDE w:val="0"/>
        <w:autoSpaceDN w:val="0"/>
        <w:adjustRightInd w:val="0"/>
        <w:spacing w:after="0"/>
        <w:rPr>
          <w:rFonts w:cs="Arial"/>
          <w:lang w:eastAsia="es-MX"/>
        </w:rPr>
      </w:pPr>
    </w:p>
    <w:p w14:paraId="163B3AAF" w14:textId="77777777" w:rsidR="004C6F3E" w:rsidRPr="006E6390" w:rsidRDefault="004C6F3E">
      <w:pPr>
        <w:spacing w:after="0" w:line="240" w:lineRule="auto"/>
        <w:jc w:val="left"/>
        <w:rPr>
          <w:rFonts w:cs="Arial"/>
          <w:b/>
          <w:bCs/>
          <w:lang w:eastAsia="es-MX"/>
        </w:rPr>
      </w:pPr>
      <w:r w:rsidRPr="006E6390">
        <w:rPr>
          <w:rFonts w:cs="Arial"/>
          <w:bCs/>
          <w:lang w:eastAsia="es-MX"/>
        </w:rPr>
        <w:br w:type="page"/>
      </w:r>
    </w:p>
    <w:p w14:paraId="79470813" w14:textId="77777777" w:rsidR="005B390E" w:rsidRPr="00644119" w:rsidRDefault="00203A70" w:rsidP="00470921">
      <w:pPr>
        <w:pStyle w:val="Cuadro"/>
      </w:pPr>
      <w:r w:rsidRPr="00644119">
        <w:lastRenderedPageBreak/>
        <w:t>Cuadro N°</w:t>
      </w:r>
      <w:r w:rsidR="007A29A1" w:rsidRPr="00644119">
        <w:t>2</w:t>
      </w:r>
    </w:p>
    <w:p w14:paraId="350DC7D0" w14:textId="77777777" w:rsidR="00203A70" w:rsidRPr="00644119" w:rsidRDefault="00203A70" w:rsidP="00470921">
      <w:pPr>
        <w:pStyle w:val="Cuadro"/>
      </w:pPr>
      <w:r w:rsidRPr="00644119">
        <w:t>Principales Variables Macroeconómicas</w:t>
      </w:r>
      <w:r w:rsidR="007F1BF5">
        <w:t xml:space="preserve"> 2021-2023</w:t>
      </w:r>
    </w:p>
    <w:tbl>
      <w:tblPr>
        <w:tblW w:w="9366" w:type="dxa"/>
        <w:tblCellMar>
          <w:left w:w="70" w:type="dxa"/>
          <w:right w:w="70" w:type="dxa"/>
        </w:tblCellMar>
        <w:tblLook w:val="04A0" w:firstRow="1" w:lastRow="0" w:firstColumn="1" w:lastColumn="0" w:noHBand="0" w:noVBand="1"/>
      </w:tblPr>
      <w:tblGrid>
        <w:gridCol w:w="4458"/>
        <w:gridCol w:w="1511"/>
        <w:gridCol w:w="1123"/>
        <w:gridCol w:w="1137"/>
        <w:gridCol w:w="14"/>
        <w:gridCol w:w="1123"/>
      </w:tblGrid>
      <w:tr w:rsidR="007F1BF5" w:rsidRPr="007F1BF5" w14:paraId="1827C244" w14:textId="77777777" w:rsidTr="00927296">
        <w:trPr>
          <w:trHeight w:val="276"/>
        </w:trPr>
        <w:tc>
          <w:tcPr>
            <w:tcW w:w="445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CB73F04"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w:t>
            </w:r>
          </w:p>
        </w:tc>
        <w:tc>
          <w:tcPr>
            <w:tcW w:w="4908" w:type="dxa"/>
            <w:gridSpan w:val="5"/>
            <w:tcBorders>
              <w:top w:val="single" w:sz="8" w:space="0" w:color="BFBFBF"/>
              <w:left w:val="nil"/>
              <w:bottom w:val="single" w:sz="8" w:space="0" w:color="BFBFBF"/>
              <w:right w:val="single" w:sz="8" w:space="0" w:color="BFBFBF"/>
            </w:tcBorders>
            <w:shd w:val="clear" w:color="auto" w:fill="auto"/>
            <w:noWrap/>
            <w:vAlign w:val="center"/>
            <w:hideMark/>
          </w:tcPr>
          <w:p w14:paraId="4CF96F18" w14:textId="77777777" w:rsidR="007F1BF5" w:rsidRPr="007F1BF5" w:rsidRDefault="007F1BF5" w:rsidP="007F1BF5">
            <w:pPr>
              <w:spacing w:after="0" w:line="240" w:lineRule="auto"/>
              <w:jc w:val="center"/>
              <w:rPr>
                <w:rFonts w:cs="Arial"/>
                <w:b/>
                <w:bCs/>
                <w:color w:val="000000"/>
                <w:sz w:val="18"/>
                <w:szCs w:val="18"/>
              </w:rPr>
            </w:pPr>
            <w:r w:rsidRPr="007F1BF5">
              <w:rPr>
                <w:rFonts w:cs="Arial"/>
                <w:b/>
                <w:bCs/>
                <w:color w:val="000000"/>
                <w:sz w:val="18"/>
                <w:szCs w:val="18"/>
              </w:rPr>
              <w:t>Política Monetaria</w:t>
            </w:r>
          </w:p>
        </w:tc>
      </w:tr>
      <w:tr w:rsidR="007F1BF5" w:rsidRPr="007F1BF5" w14:paraId="47F37C6A"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48545650"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w:t>
            </w:r>
          </w:p>
        </w:tc>
        <w:tc>
          <w:tcPr>
            <w:tcW w:w="1511" w:type="dxa"/>
            <w:tcBorders>
              <w:top w:val="nil"/>
              <w:left w:val="nil"/>
              <w:bottom w:val="single" w:sz="8" w:space="0" w:color="BFBFBF"/>
              <w:right w:val="single" w:sz="8" w:space="0" w:color="BFBFBF"/>
            </w:tcBorders>
            <w:shd w:val="clear" w:color="auto" w:fill="auto"/>
            <w:noWrap/>
            <w:vAlign w:val="center"/>
            <w:hideMark/>
          </w:tcPr>
          <w:p w14:paraId="668009F6" w14:textId="77777777" w:rsidR="007F1BF5" w:rsidRPr="007F1BF5" w:rsidRDefault="007F1BF5" w:rsidP="007F1BF5">
            <w:pPr>
              <w:spacing w:after="0" w:line="240" w:lineRule="auto"/>
              <w:jc w:val="center"/>
              <w:rPr>
                <w:rFonts w:cs="Arial"/>
                <w:b/>
                <w:bCs/>
                <w:color w:val="000000"/>
                <w:sz w:val="18"/>
                <w:szCs w:val="18"/>
              </w:rPr>
            </w:pPr>
            <w:r w:rsidRPr="007F1BF5">
              <w:rPr>
                <w:rFonts w:cs="Arial"/>
                <w:b/>
                <w:bCs/>
                <w:color w:val="000000"/>
                <w:sz w:val="18"/>
                <w:szCs w:val="18"/>
              </w:rPr>
              <w:t>Prom. 2015-20</w:t>
            </w:r>
          </w:p>
        </w:tc>
        <w:tc>
          <w:tcPr>
            <w:tcW w:w="1123" w:type="dxa"/>
            <w:tcBorders>
              <w:top w:val="nil"/>
              <w:left w:val="nil"/>
              <w:bottom w:val="single" w:sz="8" w:space="0" w:color="BFBFBF"/>
              <w:right w:val="single" w:sz="8" w:space="0" w:color="BFBFBF"/>
            </w:tcBorders>
            <w:shd w:val="clear" w:color="auto" w:fill="auto"/>
            <w:noWrap/>
            <w:vAlign w:val="center"/>
            <w:hideMark/>
          </w:tcPr>
          <w:p w14:paraId="590B0678" w14:textId="77777777" w:rsidR="007F1BF5" w:rsidRPr="007F1BF5" w:rsidRDefault="007F1BF5" w:rsidP="007F1BF5">
            <w:pPr>
              <w:spacing w:after="0" w:line="240" w:lineRule="auto"/>
              <w:jc w:val="center"/>
              <w:rPr>
                <w:rFonts w:cs="Arial"/>
                <w:b/>
                <w:bCs/>
                <w:color w:val="000000"/>
                <w:sz w:val="18"/>
                <w:szCs w:val="18"/>
              </w:rPr>
            </w:pPr>
            <w:r w:rsidRPr="007F1BF5">
              <w:rPr>
                <w:rFonts w:cs="Arial"/>
                <w:b/>
                <w:bCs/>
                <w:color w:val="000000"/>
                <w:sz w:val="18"/>
                <w:szCs w:val="18"/>
              </w:rPr>
              <w:t>2021</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17041D36" w14:textId="77777777" w:rsidR="007F1BF5" w:rsidRPr="007F1BF5" w:rsidRDefault="007F1BF5" w:rsidP="007F1BF5">
            <w:pPr>
              <w:spacing w:after="0" w:line="240" w:lineRule="auto"/>
              <w:jc w:val="center"/>
              <w:rPr>
                <w:rFonts w:cs="Arial"/>
                <w:b/>
                <w:bCs/>
                <w:color w:val="000000"/>
                <w:sz w:val="18"/>
                <w:szCs w:val="18"/>
              </w:rPr>
            </w:pPr>
            <w:r w:rsidRPr="007F1BF5">
              <w:rPr>
                <w:rFonts w:cs="Arial"/>
                <w:b/>
                <w:bCs/>
                <w:color w:val="000000"/>
                <w:sz w:val="18"/>
                <w:szCs w:val="18"/>
              </w:rPr>
              <w:t>2022</w:t>
            </w:r>
          </w:p>
        </w:tc>
        <w:tc>
          <w:tcPr>
            <w:tcW w:w="1123" w:type="dxa"/>
            <w:tcBorders>
              <w:top w:val="nil"/>
              <w:left w:val="nil"/>
              <w:bottom w:val="single" w:sz="8" w:space="0" w:color="BFBFBF"/>
              <w:right w:val="single" w:sz="8" w:space="0" w:color="BFBFBF"/>
            </w:tcBorders>
            <w:shd w:val="clear" w:color="auto" w:fill="auto"/>
            <w:noWrap/>
            <w:vAlign w:val="center"/>
            <w:hideMark/>
          </w:tcPr>
          <w:p w14:paraId="13E15E83" w14:textId="77777777" w:rsidR="007F1BF5" w:rsidRPr="007F1BF5" w:rsidRDefault="007F1BF5" w:rsidP="007F1BF5">
            <w:pPr>
              <w:spacing w:after="0" w:line="240" w:lineRule="auto"/>
              <w:jc w:val="center"/>
              <w:rPr>
                <w:rFonts w:cs="Arial"/>
                <w:b/>
                <w:bCs/>
                <w:color w:val="000000"/>
                <w:sz w:val="18"/>
                <w:szCs w:val="18"/>
              </w:rPr>
            </w:pPr>
            <w:r w:rsidRPr="007F1BF5">
              <w:rPr>
                <w:rFonts w:cs="Arial"/>
                <w:b/>
                <w:bCs/>
                <w:color w:val="000000"/>
                <w:sz w:val="18"/>
                <w:szCs w:val="18"/>
              </w:rPr>
              <w:t>2023</w:t>
            </w:r>
          </w:p>
        </w:tc>
      </w:tr>
      <w:tr w:rsidR="007F1BF5" w:rsidRPr="007F1BF5" w14:paraId="06721357"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2F8CA85"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PIB (de millones de ¢)</w:t>
            </w:r>
          </w:p>
        </w:tc>
        <w:tc>
          <w:tcPr>
            <w:tcW w:w="1511" w:type="dxa"/>
            <w:tcBorders>
              <w:top w:val="nil"/>
              <w:left w:val="nil"/>
              <w:bottom w:val="single" w:sz="8" w:space="0" w:color="BFBFBF"/>
              <w:right w:val="single" w:sz="8" w:space="0" w:color="BFBFBF"/>
            </w:tcBorders>
            <w:shd w:val="clear" w:color="auto" w:fill="auto"/>
            <w:noWrap/>
            <w:vAlign w:val="center"/>
            <w:hideMark/>
          </w:tcPr>
          <w:p w14:paraId="7D7E2C40" w14:textId="77777777" w:rsidR="007F1BF5" w:rsidRPr="009868E8" w:rsidRDefault="007F1BF5" w:rsidP="007F1BF5">
            <w:pPr>
              <w:spacing w:after="0" w:line="240" w:lineRule="auto"/>
              <w:jc w:val="center"/>
              <w:rPr>
                <w:rFonts w:cs="Arial"/>
                <w:sz w:val="18"/>
                <w:szCs w:val="18"/>
              </w:rPr>
            </w:pPr>
            <w:r w:rsidRPr="009868E8">
              <w:rPr>
                <w:rFonts w:cs="Arial"/>
                <w:sz w:val="18"/>
                <w:szCs w:val="18"/>
              </w:rPr>
              <w:t>34 485 662</w:t>
            </w:r>
          </w:p>
        </w:tc>
        <w:tc>
          <w:tcPr>
            <w:tcW w:w="1123" w:type="dxa"/>
            <w:tcBorders>
              <w:top w:val="nil"/>
              <w:left w:val="nil"/>
              <w:bottom w:val="single" w:sz="8" w:space="0" w:color="BFBFBF"/>
              <w:right w:val="single" w:sz="8" w:space="0" w:color="BFBFBF"/>
            </w:tcBorders>
            <w:shd w:val="clear" w:color="auto" w:fill="auto"/>
            <w:noWrap/>
            <w:vAlign w:val="center"/>
            <w:hideMark/>
          </w:tcPr>
          <w:p w14:paraId="6C748E94" w14:textId="77777777" w:rsidR="007F1BF5" w:rsidRPr="009868E8" w:rsidRDefault="007F1BF5" w:rsidP="007F1BF5">
            <w:pPr>
              <w:spacing w:after="0" w:line="240" w:lineRule="auto"/>
              <w:jc w:val="center"/>
              <w:rPr>
                <w:rFonts w:cs="Arial"/>
                <w:sz w:val="18"/>
                <w:szCs w:val="18"/>
              </w:rPr>
            </w:pPr>
            <w:r w:rsidRPr="009868E8">
              <w:rPr>
                <w:rFonts w:cs="Arial"/>
                <w:sz w:val="18"/>
                <w:szCs w:val="18"/>
              </w:rPr>
              <w:t>40 112 925</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4E8EC35E" w14:textId="23B2B46C" w:rsidR="007F1BF5" w:rsidRPr="009868E8" w:rsidRDefault="007F1BF5" w:rsidP="007F1BF5">
            <w:pPr>
              <w:spacing w:after="0" w:line="240" w:lineRule="auto"/>
              <w:jc w:val="center"/>
              <w:rPr>
                <w:rFonts w:cs="Arial"/>
                <w:sz w:val="18"/>
                <w:szCs w:val="18"/>
              </w:rPr>
            </w:pPr>
            <w:r w:rsidRPr="009868E8">
              <w:rPr>
                <w:rFonts w:cs="Arial"/>
                <w:sz w:val="18"/>
                <w:szCs w:val="18"/>
              </w:rPr>
              <w:t>44</w:t>
            </w:r>
            <w:r w:rsidR="005F4893" w:rsidRPr="009868E8">
              <w:rPr>
                <w:rFonts w:cs="Arial"/>
                <w:sz w:val="18"/>
                <w:szCs w:val="18"/>
              </w:rPr>
              <w:t> 251 690</w:t>
            </w:r>
          </w:p>
        </w:tc>
        <w:tc>
          <w:tcPr>
            <w:tcW w:w="1123" w:type="dxa"/>
            <w:tcBorders>
              <w:top w:val="nil"/>
              <w:left w:val="nil"/>
              <w:bottom w:val="single" w:sz="8" w:space="0" w:color="BFBFBF"/>
              <w:right w:val="single" w:sz="8" w:space="0" w:color="BFBFBF"/>
            </w:tcBorders>
            <w:shd w:val="clear" w:color="auto" w:fill="auto"/>
            <w:noWrap/>
            <w:vAlign w:val="center"/>
            <w:hideMark/>
          </w:tcPr>
          <w:p w14:paraId="55E9D3E0" w14:textId="19C04B6F" w:rsidR="007F1BF5" w:rsidRPr="009868E8" w:rsidRDefault="007F1BF5" w:rsidP="007F1BF5">
            <w:pPr>
              <w:spacing w:after="0" w:line="240" w:lineRule="auto"/>
              <w:jc w:val="center"/>
              <w:rPr>
                <w:rFonts w:cs="Arial"/>
                <w:sz w:val="18"/>
                <w:szCs w:val="18"/>
              </w:rPr>
            </w:pPr>
            <w:r w:rsidRPr="009868E8">
              <w:rPr>
                <w:rFonts w:cs="Arial"/>
                <w:sz w:val="18"/>
                <w:szCs w:val="18"/>
              </w:rPr>
              <w:t>4</w:t>
            </w:r>
            <w:r w:rsidR="005F4893" w:rsidRPr="009868E8">
              <w:rPr>
                <w:rFonts w:cs="Arial"/>
                <w:sz w:val="18"/>
                <w:szCs w:val="18"/>
              </w:rPr>
              <w:t>6 607 632</w:t>
            </w:r>
          </w:p>
        </w:tc>
      </w:tr>
      <w:tr w:rsidR="007F1BF5" w:rsidRPr="007F1BF5" w14:paraId="7C8DC1EE"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15CB7B6"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Tasa de crecimiento real</w:t>
            </w:r>
          </w:p>
        </w:tc>
        <w:tc>
          <w:tcPr>
            <w:tcW w:w="1511" w:type="dxa"/>
            <w:tcBorders>
              <w:top w:val="nil"/>
              <w:left w:val="nil"/>
              <w:bottom w:val="single" w:sz="8" w:space="0" w:color="BFBFBF"/>
              <w:right w:val="single" w:sz="8" w:space="0" w:color="BFBFBF"/>
            </w:tcBorders>
            <w:shd w:val="clear" w:color="auto" w:fill="auto"/>
            <w:noWrap/>
            <w:vAlign w:val="center"/>
            <w:hideMark/>
          </w:tcPr>
          <w:p w14:paraId="3D00A96B" w14:textId="77777777" w:rsidR="007F1BF5" w:rsidRPr="009868E8" w:rsidRDefault="007F1BF5" w:rsidP="007F1BF5">
            <w:pPr>
              <w:spacing w:after="0" w:line="240" w:lineRule="auto"/>
              <w:jc w:val="center"/>
              <w:rPr>
                <w:rFonts w:cs="Arial"/>
                <w:sz w:val="18"/>
                <w:szCs w:val="18"/>
              </w:rPr>
            </w:pPr>
            <w:r w:rsidRPr="009868E8">
              <w:rPr>
                <w:rFonts w:cs="Arial"/>
                <w:sz w:val="18"/>
                <w:szCs w:val="18"/>
              </w:rPr>
              <w:t>2,13%</w:t>
            </w:r>
          </w:p>
        </w:tc>
        <w:tc>
          <w:tcPr>
            <w:tcW w:w="1123" w:type="dxa"/>
            <w:tcBorders>
              <w:top w:val="nil"/>
              <w:left w:val="nil"/>
              <w:bottom w:val="single" w:sz="8" w:space="0" w:color="BFBFBF"/>
              <w:right w:val="single" w:sz="8" w:space="0" w:color="BFBFBF"/>
            </w:tcBorders>
            <w:shd w:val="clear" w:color="auto" w:fill="auto"/>
            <w:noWrap/>
            <w:vAlign w:val="center"/>
            <w:hideMark/>
          </w:tcPr>
          <w:p w14:paraId="5D7041B7" w14:textId="77777777" w:rsidR="007F1BF5" w:rsidRPr="009868E8" w:rsidRDefault="007F1BF5" w:rsidP="007F1BF5">
            <w:pPr>
              <w:spacing w:after="0" w:line="240" w:lineRule="auto"/>
              <w:jc w:val="center"/>
              <w:rPr>
                <w:rFonts w:cs="Arial"/>
                <w:sz w:val="18"/>
                <w:szCs w:val="18"/>
              </w:rPr>
            </w:pPr>
            <w:r w:rsidRPr="009868E8">
              <w:rPr>
                <w:rFonts w:cs="Arial"/>
                <w:sz w:val="18"/>
                <w:szCs w:val="18"/>
              </w:rPr>
              <w:t>7,78%</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3695ED23" w14:textId="77777777" w:rsidR="007F1BF5" w:rsidRPr="009868E8" w:rsidRDefault="007F1BF5" w:rsidP="007F1BF5">
            <w:pPr>
              <w:spacing w:after="0" w:line="240" w:lineRule="auto"/>
              <w:jc w:val="center"/>
              <w:rPr>
                <w:rFonts w:cs="Arial"/>
                <w:sz w:val="18"/>
                <w:szCs w:val="18"/>
              </w:rPr>
            </w:pPr>
            <w:r w:rsidRPr="009868E8">
              <w:rPr>
                <w:rFonts w:cs="Arial"/>
                <w:sz w:val="18"/>
                <w:szCs w:val="18"/>
              </w:rPr>
              <w:t>4,31%</w:t>
            </w:r>
          </w:p>
        </w:tc>
        <w:tc>
          <w:tcPr>
            <w:tcW w:w="1123" w:type="dxa"/>
            <w:tcBorders>
              <w:top w:val="nil"/>
              <w:left w:val="nil"/>
              <w:bottom w:val="single" w:sz="8" w:space="0" w:color="BFBFBF"/>
              <w:right w:val="single" w:sz="8" w:space="0" w:color="BFBFBF"/>
            </w:tcBorders>
            <w:shd w:val="clear" w:color="auto" w:fill="auto"/>
            <w:noWrap/>
            <w:vAlign w:val="center"/>
            <w:hideMark/>
          </w:tcPr>
          <w:p w14:paraId="30B72185" w14:textId="011A9DA5" w:rsidR="007F1BF5" w:rsidRPr="009868E8" w:rsidRDefault="007F1BF5" w:rsidP="007F1BF5">
            <w:pPr>
              <w:spacing w:after="0" w:line="240" w:lineRule="auto"/>
              <w:jc w:val="center"/>
              <w:rPr>
                <w:rFonts w:cs="Arial"/>
                <w:sz w:val="18"/>
                <w:szCs w:val="18"/>
              </w:rPr>
            </w:pPr>
            <w:r w:rsidRPr="009868E8">
              <w:rPr>
                <w:rFonts w:cs="Arial"/>
                <w:sz w:val="18"/>
                <w:szCs w:val="18"/>
              </w:rPr>
              <w:t>2,</w:t>
            </w:r>
            <w:r w:rsidR="0082736B" w:rsidRPr="009868E8">
              <w:rPr>
                <w:rFonts w:cs="Arial"/>
                <w:sz w:val="18"/>
                <w:szCs w:val="18"/>
              </w:rPr>
              <w:t>70</w:t>
            </w:r>
            <w:r w:rsidRPr="009868E8">
              <w:rPr>
                <w:rFonts w:cs="Arial"/>
                <w:sz w:val="18"/>
                <w:szCs w:val="18"/>
              </w:rPr>
              <w:t>%</w:t>
            </w:r>
          </w:p>
        </w:tc>
      </w:tr>
      <w:tr w:rsidR="007F1BF5" w:rsidRPr="007F1BF5" w14:paraId="2DC859E1"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555C6C3"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Ingreso Nacional Disponible Bruto Real </w:t>
            </w:r>
          </w:p>
        </w:tc>
        <w:tc>
          <w:tcPr>
            <w:tcW w:w="1511" w:type="dxa"/>
            <w:tcBorders>
              <w:top w:val="nil"/>
              <w:left w:val="nil"/>
              <w:bottom w:val="single" w:sz="8" w:space="0" w:color="BFBFBF"/>
              <w:right w:val="single" w:sz="8" w:space="0" w:color="BFBFBF"/>
            </w:tcBorders>
            <w:shd w:val="clear" w:color="auto" w:fill="auto"/>
            <w:noWrap/>
            <w:vAlign w:val="center"/>
            <w:hideMark/>
          </w:tcPr>
          <w:p w14:paraId="26B7180F" w14:textId="77777777" w:rsidR="007F1BF5" w:rsidRPr="009868E8" w:rsidRDefault="007F1BF5" w:rsidP="007F1BF5">
            <w:pPr>
              <w:spacing w:after="0" w:line="240" w:lineRule="auto"/>
              <w:jc w:val="center"/>
              <w:rPr>
                <w:rFonts w:cs="Arial"/>
                <w:sz w:val="18"/>
                <w:szCs w:val="18"/>
              </w:rPr>
            </w:pPr>
            <w:r w:rsidRPr="009868E8">
              <w:rPr>
                <w:rFonts w:cs="Arial"/>
                <w:sz w:val="18"/>
                <w:szCs w:val="18"/>
              </w:rPr>
              <w:t>2,23%</w:t>
            </w:r>
          </w:p>
        </w:tc>
        <w:tc>
          <w:tcPr>
            <w:tcW w:w="1123" w:type="dxa"/>
            <w:tcBorders>
              <w:top w:val="nil"/>
              <w:left w:val="nil"/>
              <w:bottom w:val="single" w:sz="8" w:space="0" w:color="BFBFBF"/>
              <w:right w:val="single" w:sz="8" w:space="0" w:color="BFBFBF"/>
            </w:tcBorders>
            <w:shd w:val="clear" w:color="auto" w:fill="auto"/>
            <w:noWrap/>
            <w:vAlign w:val="center"/>
            <w:hideMark/>
          </w:tcPr>
          <w:p w14:paraId="5922BC88" w14:textId="751E7EE2" w:rsidR="007F1BF5" w:rsidRPr="009868E8" w:rsidRDefault="009C5C5E" w:rsidP="007F1BF5">
            <w:pPr>
              <w:spacing w:after="0" w:line="240" w:lineRule="auto"/>
              <w:jc w:val="center"/>
              <w:rPr>
                <w:rFonts w:cs="Arial"/>
                <w:sz w:val="18"/>
                <w:szCs w:val="18"/>
              </w:rPr>
            </w:pPr>
            <w:r w:rsidRPr="009868E8">
              <w:rPr>
                <w:rFonts w:cs="Arial"/>
                <w:sz w:val="18"/>
                <w:szCs w:val="18"/>
              </w:rPr>
              <w:t>1,33</w:t>
            </w:r>
            <w:r w:rsidR="007F1BF5" w:rsidRPr="009868E8">
              <w:rPr>
                <w:rFonts w:cs="Arial"/>
                <w:sz w:val="18"/>
                <w:szCs w:val="18"/>
              </w:rPr>
              <w:t>%</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24A79961" w14:textId="2DF689EF" w:rsidR="007F1BF5" w:rsidRPr="009868E8" w:rsidRDefault="009C5C5E" w:rsidP="007F1BF5">
            <w:pPr>
              <w:spacing w:after="0" w:line="240" w:lineRule="auto"/>
              <w:jc w:val="center"/>
              <w:rPr>
                <w:rFonts w:cs="Arial"/>
                <w:sz w:val="18"/>
                <w:szCs w:val="18"/>
              </w:rPr>
            </w:pPr>
            <w:r w:rsidRPr="009868E8">
              <w:rPr>
                <w:rFonts w:cs="Arial"/>
                <w:sz w:val="18"/>
                <w:szCs w:val="18"/>
              </w:rPr>
              <w:t>2,37</w:t>
            </w:r>
            <w:r w:rsidR="007F1BF5"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4CB3EE43" w14:textId="66164F24" w:rsidR="007F1BF5" w:rsidRPr="009868E8" w:rsidRDefault="009C5C5E" w:rsidP="007F1BF5">
            <w:pPr>
              <w:spacing w:after="0" w:line="240" w:lineRule="auto"/>
              <w:jc w:val="center"/>
              <w:rPr>
                <w:rFonts w:cs="Arial"/>
                <w:sz w:val="18"/>
                <w:szCs w:val="18"/>
              </w:rPr>
            </w:pPr>
            <w:r w:rsidRPr="009868E8">
              <w:rPr>
                <w:rFonts w:cs="Arial"/>
                <w:sz w:val="18"/>
                <w:szCs w:val="18"/>
              </w:rPr>
              <w:t>3,14</w:t>
            </w:r>
            <w:r w:rsidR="007F1BF5" w:rsidRPr="009868E8">
              <w:rPr>
                <w:rFonts w:cs="Arial"/>
                <w:sz w:val="18"/>
                <w:szCs w:val="18"/>
              </w:rPr>
              <w:t>%</w:t>
            </w:r>
          </w:p>
        </w:tc>
      </w:tr>
      <w:tr w:rsidR="00927296" w:rsidRPr="007F1BF5" w14:paraId="06888654" w14:textId="77777777" w:rsidTr="00927296">
        <w:trPr>
          <w:trHeight w:val="300"/>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7A2CE8E6" w14:textId="77777777" w:rsidR="00927296" w:rsidRPr="007F1BF5" w:rsidRDefault="00927296" w:rsidP="007F1BF5">
            <w:pPr>
              <w:spacing w:after="0" w:line="240" w:lineRule="auto"/>
              <w:jc w:val="left"/>
              <w:rPr>
                <w:rFonts w:cs="Arial"/>
                <w:color w:val="000000"/>
                <w:sz w:val="18"/>
                <w:szCs w:val="18"/>
              </w:rPr>
            </w:pPr>
            <w:r w:rsidRPr="007F1BF5">
              <w:rPr>
                <w:rFonts w:cs="Arial"/>
                <w:color w:val="000000"/>
                <w:sz w:val="18"/>
                <w:szCs w:val="18"/>
              </w:rPr>
              <w:t>Inflación (Variación interanual) Medido con IPC</w:t>
            </w:r>
          </w:p>
        </w:tc>
        <w:tc>
          <w:tcPr>
            <w:tcW w:w="1511" w:type="dxa"/>
            <w:tcBorders>
              <w:top w:val="nil"/>
              <w:left w:val="nil"/>
              <w:bottom w:val="single" w:sz="8" w:space="0" w:color="BFBFBF"/>
              <w:right w:val="single" w:sz="8" w:space="0" w:color="BFBFBF"/>
            </w:tcBorders>
            <w:shd w:val="clear" w:color="auto" w:fill="auto"/>
            <w:noWrap/>
            <w:vAlign w:val="center"/>
            <w:hideMark/>
          </w:tcPr>
          <w:p w14:paraId="27EFA96E" w14:textId="77777777" w:rsidR="00927296" w:rsidRPr="009868E8" w:rsidRDefault="00927296" w:rsidP="007F1BF5">
            <w:pPr>
              <w:spacing w:after="0" w:line="240" w:lineRule="auto"/>
              <w:jc w:val="center"/>
              <w:rPr>
                <w:rFonts w:cs="Arial"/>
                <w:sz w:val="18"/>
                <w:szCs w:val="18"/>
              </w:rPr>
            </w:pPr>
            <w:r w:rsidRPr="009868E8">
              <w:rPr>
                <w:rFonts w:cs="Arial"/>
                <w:sz w:val="18"/>
                <w:szCs w:val="18"/>
              </w:rPr>
              <w:t>1,56%</w:t>
            </w:r>
          </w:p>
        </w:tc>
        <w:tc>
          <w:tcPr>
            <w:tcW w:w="1123" w:type="dxa"/>
            <w:tcBorders>
              <w:top w:val="nil"/>
              <w:left w:val="nil"/>
              <w:bottom w:val="single" w:sz="8" w:space="0" w:color="BFBFBF"/>
              <w:right w:val="single" w:sz="8" w:space="0" w:color="BFBFBF"/>
            </w:tcBorders>
            <w:shd w:val="clear" w:color="auto" w:fill="auto"/>
            <w:noWrap/>
            <w:vAlign w:val="center"/>
            <w:hideMark/>
          </w:tcPr>
          <w:p w14:paraId="3043ADC4" w14:textId="77777777" w:rsidR="00927296" w:rsidRPr="009868E8" w:rsidRDefault="00927296" w:rsidP="007F1BF5">
            <w:pPr>
              <w:spacing w:after="0" w:line="240" w:lineRule="auto"/>
              <w:jc w:val="center"/>
              <w:rPr>
                <w:rFonts w:cs="Arial"/>
                <w:sz w:val="18"/>
                <w:szCs w:val="18"/>
              </w:rPr>
            </w:pPr>
            <w:r w:rsidRPr="009868E8">
              <w:rPr>
                <w:rFonts w:cs="Arial"/>
                <w:sz w:val="18"/>
                <w:szCs w:val="18"/>
              </w:rPr>
              <w:t>3,30%</w:t>
            </w:r>
          </w:p>
        </w:tc>
        <w:tc>
          <w:tcPr>
            <w:tcW w:w="1137" w:type="dxa"/>
            <w:tcBorders>
              <w:top w:val="single" w:sz="8" w:space="0" w:color="BFBFBF"/>
              <w:left w:val="nil"/>
              <w:bottom w:val="single" w:sz="8" w:space="0" w:color="BFBFBF"/>
              <w:right w:val="single" w:sz="8" w:space="0" w:color="BFBFBF"/>
            </w:tcBorders>
            <w:shd w:val="clear" w:color="auto" w:fill="auto"/>
            <w:noWrap/>
            <w:vAlign w:val="center"/>
            <w:hideMark/>
          </w:tcPr>
          <w:p w14:paraId="2F6DF2A6" w14:textId="459841EC" w:rsidR="00927296" w:rsidRPr="009868E8" w:rsidRDefault="00424CED" w:rsidP="007F1BF5">
            <w:pPr>
              <w:spacing w:after="0" w:line="240" w:lineRule="auto"/>
              <w:jc w:val="center"/>
              <w:rPr>
                <w:rFonts w:cs="Arial"/>
                <w:sz w:val="20"/>
                <w:szCs w:val="20"/>
              </w:rPr>
            </w:pPr>
            <w:r w:rsidRPr="009868E8">
              <w:rPr>
                <w:rFonts w:cs="Arial"/>
                <w:sz w:val="20"/>
                <w:szCs w:val="20"/>
              </w:rPr>
              <w:t>7</w:t>
            </w:r>
            <w:r w:rsidR="00927296" w:rsidRPr="009868E8">
              <w:rPr>
                <w:rFonts w:cs="Arial"/>
                <w:sz w:val="20"/>
                <w:szCs w:val="20"/>
              </w:rPr>
              <w:t>,</w:t>
            </w:r>
            <w:r w:rsidRPr="009868E8">
              <w:rPr>
                <w:rFonts w:cs="Arial"/>
                <w:sz w:val="20"/>
                <w:szCs w:val="20"/>
              </w:rPr>
              <w:t>8</w:t>
            </w:r>
            <w:r w:rsidRPr="005D448C">
              <w:rPr>
                <w:rFonts w:cs="Arial"/>
                <w:sz w:val="20"/>
                <w:szCs w:val="20"/>
              </w:rPr>
              <w:t>8</w:t>
            </w:r>
            <w:r w:rsidR="00927296" w:rsidRPr="009868E8">
              <w:rPr>
                <w:rFonts w:cs="Arial"/>
                <w:sz w:val="20"/>
                <w:szCs w:val="20"/>
              </w:rPr>
              <w:t xml:space="preserve">% </w:t>
            </w:r>
          </w:p>
        </w:tc>
        <w:tc>
          <w:tcPr>
            <w:tcW w:w="1137" w:type="dxa"/>
            <w:gridSpan w:val="2"/>
            <w:tcBorders>
              <w:top w:val="single" w:sz="8" w:space="0" w:color="BFBFBF"/>
              <w:left w:val="nil"/>
              <w:bottom w:val="single" w:sz="8" w:space="0" w:color="BFBFBF"/>
              <w:right w:val="single" w:sz="8" w:space="0" w:color="BFBFBF"/>
            </w:tcBorders>
            <w:shd w:val="clear" w:color="auto" w:fill="auto"/>
            <w:vAlign w:val="center"/>
          </w:tcPr>
          <w:p w14:paraId="280297DB" w14:textId="77777777" w:rsidR="00927296" w:rsidRPr="000D17D2" w:rsidRDefault="00927296" w:rsidP="007F1BF5">
            <w:pPr>
              <w:spacing w:after="0" w:line="240" w:lineRule="auto"/>
              <w:jc w:val="center"/>
              <w:rPr>
                <w:rFonts w:cs="Arial"/>
                <w:sz w:val="20"/>
                <w:szCs w:val="20"/>
              </w:rPr>
            </w:pPr>
            <w:r w:rsidRPr="000D17D2">
              <w:rPr>
                <w:rFonts w:cs="Arial"/>
                <w:sz w:val="20"/>
                <w:szCs w:val="20"/>
              </w:rPr>
              <w:t>5,0</w:t>
            </w:r>
            <w:r w:rsidR="00424CED" w:rsidRPr="005D448C">
              <w:rPr>
                <w:rFonts w:cs="Arial"/>
                <w:sz w:val="20"/>
                <w:szCs w:val="20"/>
              </w:rPr>
              <w:t>0</w:t>
            </w:r>
            <w:r w:rsidRPr="000D17D2">
              <w:rPr>
                <w:rFonts w:cs="Arial"/>
                <w:sz w:val="20"/>
                <w:szCs w:val="20"/>
              </w:rPr>
              <w:t>%</w:t>
            </w:r>
          </w:p>
        </w:tc>
      </w:tr>
      <w:tr w:rsidR="007F1BF5" w:rsidRPr="007F1BF5" w14:paraId="5C444820"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3E95E8DB" w14:textId="77777777" w:rsidR="007F1BF5" w:rsidRPr="007F1BF5" w:rsidRDefault="007F1BF5" w:rsidP="007F1BF5">
            <w:pPr>
              <w:spacing w:after="0" w:line="240" w:lineRule="auto"/>
              <w:jc w:val="left"/>
              <w:rPr>
                <w:rFonts w:cs="Arial"/>
                <w:b/>
                <w:bCs/>
                <w:color w:val="000000"/>
                <w:sz w:val="18"/>
                <w:szCs w:val="18"/>
              </w:rPr>
            </w:pPr>
            <w:r w:rsidRPr="007F1BF5">
              <w:rPr>
                <w:rFonts w:cs="Arial"/>
                <w:b/>
                <w:bCs/>
                <w:color w:val="000000"/>
                <w:sz w:val="18"/>
                <w:szCs w:val="18"/>
              </w:rPr>
              <w:t>Balanza de pagos</w:t>
            </w:r>
          </w:p>
        </w:tc>
        <w:tc>
          <w:tcPr>
            <w:tcW w:w="1511" w:type="dxa"/>
            <w:tcBorders>
              <w:top w:val="nil"/>
              <w:left w:val="nil"/>
              <w:bottom w:val="single" w:sz="8" w:space="0" w:color="BFBFBF"/>
              <w:right w:val="single" w:sz="8" w:space="0" w:color="BFBFBF"/>
            </w:tcBorders>
            <w:shd w:val="clear" w:color="auto" w:fill="auto"/>
            <w:noWrap/>
            <w:vAlign w:val="center"/>
            <w:hideMark/>
          </w:tcPr>
          <w:p w14:paraId="1812F712"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2A9D3B64"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6CFC3A9A"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23610688" w14:textId="77777777" w:rsidR="007F1BF5" w:rsidRPr="000D17D2" w:rsidRDefault="007F1BF5" w:rsidP="007F1BF5">
            <w:pPr>
              <w:spacing w:after="0" w:line="240" w:lineRule="auto"/>
              <w:jc w:val="center"/>
              <w:rPr>
                <w:rFonts w:cs="Arial"/>
                <w:sz w:val="18"/>
                <w:szCs w:val="18"/>
              </w:rPr>
            </w:pPr>
            <w:r w:rsidRPr="000D17D2">
              <w:rPr>
                <w:rFonts w:cs="Arial"/>
                <w:sz w:val="18"/>
                <w:szCs w:val="18"/>
              </w:rPr>
              <w:t> </w:t>
            </w:r>
          </w:p>
        </w:tc>
      </w:tr>
      <w:tr w:rsidR="007F1BF5" w:rsidRPr="007F1BF5" w14:paraId="23EBBB21"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428FE0B9"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Cuenta corriente (%PIB)</w:t>
            </w:r>
          </w:p>
        </w:tc>
        <w:tc>
          <w:tcPr>
            <w:tcW w:w="1511" w:type="dxa"/>
            <w:tcBorders>
              <w:top w:val="nil"/>
              <w:left w:val="nil"/>
              <w:bottom w:val="single" w:sz="8" w:space="0" w:color="BFBFBF"/>
              <w:right w:val="single" w:sz="8" w:space="0" w:color="BFBFBF"/>
            </w:tcBorders>
            <w:shd w:val="clear" w:color="auto" w:fill="auto"/>
            <w:noWrap/>
            <w:vAlign w:val="center"/>
            <w:hideMark/>
          </w:tcPr>
          <w:p w14:paraId="24ACDEAB" w14:textId="77777777" w:rsidR="007F1BF5" w:rsidRPr="009868E8" w:rsidRDefault="007F1BF5" w:rsidP="007F1BF5">
            <w:pPr>
              <w:spacing w:after="0" w:line="240" w:lineRule="auto"/>
              <w:jc w:val="center"/>
              <w:rPr>
                <w:rFonts w:cs="Arial"/>
                <w:sz w:val="18"/>
                <w:szCs w:val="18"/>
              </w:rPr>
            </w:pPr>
            <w:r w:rsidRPr="009868E8">
              <w:rPr>
                <w:rFonts w:cs="Arial"/>
                <w:sz w:val="18"/>
                <w:szCs w:val="18"/>
              </w:rPr>
              <w:t>-2,23%</w:t>
            </w:r>
          </w:p>
        </w:tc>
        <w:tc>
          <w:tcPr>
            <w:tcW w:w="1123" w:type="dxa"/>
            <w:tcBorders>
              <w:top w:val="nil"/>
              <w:left w:val="nil"/>
              <w:bottom w:val="single" w:sz="8" w:space="0" w:color="BFBFBF"/>
              <w:right w:val="single" w:sz="8" w:space="0" w:color="BFBFBF"/>
            </w:tcBorders>
            <w:shd w:val="clear" w:color="auto" w:fill="auto"/>
            <w:noWrap/>
            <w:vAlign w:val="center"/>
            <w:hideMark/>
          </w:tcPr>
          <w:p w14:paraId="16E70836" w14:textId="2E088C35" w:rsidR="007F1BF5" w:rsidRPr="009868E8" w:rsidRDefault="007F1BF5" w:rsidP="007F1BF5">
            <w:pPr>
              <w:spacing w:after="0" w:line="240" w:lineRule="auto"/>
              <w:jc w:val="center"/>
              <w:rPr>
                <w:rFonts w:cs="Arial"/>
                <w:sz w:val="18"/>
                <w:szCs w:val="18"/>
              </w:rPr>
            </w:pPr>
            <w:r w:rsidRPr="009868E8">
              <w:rPr>
                <w:rFonts w:cs="Arial"/>
                <w:sz w:val="18"/>
                <w:szCs w:val="18"/>
              </w:rPr>
              <w:t>-</w:t>
            </w:r>
            <w:r w:rsidR="00F94446" w:rsidRPr="009868E8">
              <w:rPr>
                <w:rFonts w:cs="Arial"/>
                <w:sz w:val="18"/>
                <w:szCs w:val="18"/>
              </w:rPr>
              <w:t>2</w:t>
            </w:r>
            <w:r w:rsidRPr="009868E8">
              <w:rPr>
                <w:rFonts w:cs="Arial"/>
                <w:sz w:val="18"/>
                <w:szCs w:val="18"/>
              </w:rPr>
              <w:t>,</w:t>
            </w:r>
            <w:r w:rsidR="00F94446" w:rsidRPr="009868E8">
              <w:rPr>
                <w:rFonts w:cs="Arial"/>
                <w:sz w:val="18"/>
                <w:szCs w:val="18"/>
              </w:rPr>
              <w:t>50</w:t>
            </w:r>
            <w:r w:rsidRPr="009868E8">
              <w:rPr>
                <w:rFonts w:cs="Arial"/>
                <w:sz w:val="18"/>
                <w:szCs w:val="18"/>
              </w:rPr>
              <w:t>%</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3832BB09" w14:textId="18F79629" w:rsidR="007F1BF5" w:rsidRPr="009868E8" w:rsidRDefault="007F1BF5" w:rsidP="007F1BF5">
            <w:pPr>
              <w:spacing w:after="0" w:line="240" w:lineRule="auto"/>
              <w:jc w:val="center"/>
              <w:rPr>
                <w:rFonts w:cs="Arial"/>
                <w:sz w:val="18"/>
                <w:szCs w:val="18"/>
              </w:rPr>
            </w:pPr>
            <w:r w:rsidRPr="009868E8">
              <w:rPr>
                <w:rFonts w:cs="Arial"/>
                <w:sz w:val="18"/>
                <w:szCs w:val="18"/>
              </w:rPr>
              <w:t>-4,</w:t>
            </w:r>
            <w:r w:rsidR="00F94446" w:rsidRPr="009868E8">
              <w:rPr>
                <w:rFonts w:cs="Arial"/>
                <w:sz w:val="18"/>
                <w:szCs w:val="18"/>
              </w:rPr>
              <w:t>0</w:t>
            </w:r>
            <w:r w:rsidRPr="009868E8">
              <w:rPr>
                <w:rFonts w:cs="Arial"/>
                <w:sz w:val="18"/>
                <w:szCs w:val="18"/>
              </w:rPr>
              <w:t>0%</w:t>
            </w:r>
          </w:p>
        </w:tc>
        <w:tc>
          <w:tcPr>
            <w:tcW w:w="1123" w:type="dxa"/>
            <w:tcBorders>
              <w:top w:val="nil"/>
              <w:left w:val="nil"/>
              <w:bottom w:val="single" w:sz="8" w:space="0" w:color="BFBFBF"/>
              <w:right w:val="single" w:sz="8" w:space="0" w:color="BFBFBF"/>
            </w:tcBorders>
            <w:shd w:val="clear" w:color="auto" w:fill="auto"/>
            <w:noWrap/>
            <w:vAlign w:val="center"/>
            <w:hideMark/>
          </w:tcPr>
          <w:p w14:paraId="0D3E23AF" w14:textId="77777777" w:rsidR="007F1BF5" w:rsidRPr="000D17D2" w:rsidRDefault="007F1BF5" w:rsidP="007F1BF5">
            <w:pPr>
              <w:spacing w:after="0" w:line="240" w:lineRule="auto"/>
              <w:jc w:val="center"/>
              <w:rPr>
                <w:rFonts w:cs="Arial"/>
                <w:sz w:val="18"/>
                <w:szCs w:val="18"/>
              </w:rPr>
            </w:pPr>
            <w:r w:rsidRPr="000D17D2">
              <w:rPr>
                <w:rFonts w:cs="Arial"/>
                <w:sz w:val="18"/>
                <w:szCs w:val="18"/>
              </w:rPr>
              <w:t>-4,10%</w:t>
            </w:r>
          </w:p>
        </w:tc>
      </w:tr>
      <w:tr w:rsidR="007F1BF5" w:rsidRPr="007F1BF5" w14:paraId="4EDBAD08"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2576B090"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Cuenta corriente (millones de $)</w:t>
            </w:r>
          </w:p>
        </w:tc>
        <w:tc>
          <w:tcPr>
            <w:tcW w:w="1511" w:type="dxa"/>
            <w:tcBorders>
              <w:top w:val="nil"/>
              <w:left w:val="nil"/>
              <w:bottom w:val="single" w:sz="8" w:space="0" w:color="BFBFBF"/>
              <w:right w:val="single" w:sz="8" w:space="0" w:color="BFBFBF"/>
            </w:tcBorders>
            <w:shd w:val="clear" w:color="auto" w:fill="auto"/>
            <w:noWrap/>
            <w:vAlign w:val="center"/>
            <w:hideMark/>
          </w:tcPr>
          <w:p w14:paraId="55605A67" w14:textId="77777777" w:rsidR="007F1BF5" w:rsidRPr="009868E8" w:rsidRDefault="007F1BF5" w:rsidP="007F1BF5">
            <w:pPr>
              <w:spacing w:after="0" w:line="240" w:lineRule="auto"/>
              <w:jc w:val="center"/>
              <w:rPr>
                <w:rFonts w:cs="Arial"/>
                <w:sz w:val="18"/>
                <w:szCs w:val="18"/>
              </w:rPr>
            </w:pPr>
            <w:r w:rsidRPr="009868E8">
              <w:rPr>
                <w:rFonts w:cs="Arial"/>
                <w:sz w:val="18"/>
                <w:szCs w:val="18"/>
              </w:rPr>
              <w:t>-1 369</w:t>
            </w:r>
          </w:p>
        </w:tc>
        <w:tc>
          <w:tcPr>
            <w:tcW w:w="1123" w:type="dxa"/>
            <w:tcBorders>
              <w:top w:val="nil"/>
              <w:left w:val="nil"/>
              <w:bottom w:val="single" w:sz="8" w:space="0" w:color="BFBFBF"/>
              <w:right w:val="single" w:sz="8" w:space="0" w:color="BFBFBF"/>
            </w:tcBorders>
            <w:shd w:val="clear" w:color="auto" w:fill="auto"/>
            <w:noWrap/>
            <w:vAlign w:val="center"/>
            <w:hideMark/>
          </w:tcPr>
          <w:p w14:paraId="6C79164E" w14:textId="6D48729E" w:rsidR="007F1BF5" w:rsidRPr="009868E8" w:rsidRDefault="007F1BF5" w:rsidP="007F1BF5">
            <w:pPr>
              <w:spacing w:after="0" w:line="240" w:lineRule="auto"/>
              <w:jc w:val="center"/>
              <w:rPr>
                <w:rFonts w:cs="Arial"/>
                <w:sz w:val="18"/>
                <w:szCs w:val="18"/>
              </w:rPr>
            </w:pPr>
            <w:r w:rsidRPr="009868E8">
              <w:rPr>
                <w:rFonts w:cs="Arial"/>
                <w:sz w:val="18"/>
                <w:szCs w:val="18"/>
              </w:rPr>
              <w:t>-</w:t>
            </w:r>
            <w:r w:rsidR="00F94446" w:rsidRPr="009868E8">
              <w:rPr>
                <w:rFonts w:cs="Arial"/>
                <w:sz w:val="18"/>
                <w:szCs w:val="18"/>
              </w:rPr>
              <w:t>1 606</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7C5995F5" w14:textId="0F61FB6E" w:rsidR="007F1BF5" w:rsidRPr="009868E8" w:rsidRDefault="00F94446" w:rsidP="007F1BF5">
            <w:pPr>
              <w:spacing w:after="0" w:line="240" w:lineRule="auto"/>
              <w:jc w:val="center"/>
              <w:rPr>
                <w:rFonts w:cs="Arial"/>
                <w:sz w:val="18"/>
                <w:szCs w:val="18"/>
              </w:rPr>
            </w:pPr>
            <w:r w:rsidRPr="009868E8">
              <w:rPr>
                <w:rFonts w:cs="Arial"/>
                <w:sz w:val="18"/>
                <w:szCs w:val="18"/>
              </w:rPr>
              <w:t>-2 743</w:t>
            </w:r>
          </w:p>
        </w:tc>
        <w:tc>
          <w:tcPr>
            <w:tcW w:w="1123" w:type="dxa"/>
            <w:tcBorders>
              <w:top w:val="nil"/>
              <w:left w:val="nil"/>
              <w:bottom w:val="single" w:sz="8" w:space="0" w:color="BFBFBF"/>
              <w:right w:val="single" w:sz="8" w:space="0" w:color="BFBFBF"/>
            </w:tcBorders>
            <w:shd w:val="clear" w:color="auto" w:fill="auto"/>
            <w:noWrap/>
            <w:vAlign w:val="center"/>
            <w:hideMark/>
          </w:tcPr>
          <w:p w14:paraId="13DAE04D" w14:textId="77777777" w:rsidR="007F1BF5" w:rsidRPr="000D17D2" w:rsidRDefault="007F1BF5" w:rsidP="007F1BF5">
            <w:pPr>
              <w:spacing w:after="0" w:line="240" w:lineRule="auto"/>
              <w:jc w:val="center"/>
              <w:rPr>
                <w:rFonts w:cs="Arial"/>
                <w:sz w:val="18"/>
                <w:szCs w:val="18"/>
              </w:rPr>
            </w:pPr>
            <w:r w:rsidRPr="000D17D2">
              <w:rPr>
                <w:rFonts w:cs="Arial"/>
                <w:sz w:val="18"/>
                <w:szCs w:val="18"/>
              </w:rPr>
              <w:t>ND</w:t>
            </w:r>
          </w:p>
        </w:tc>
      </w:tr>
      <w:tr w:rsidR="007F1BF5" w:rsidRPr="007F1BF5" w14:paraId="40CDF8C1"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5C89FB8C"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Cuenta de capital y Financiera (millones de $)</w:t>
            </w:r>
          </w:p>
        </w:tc>
        <w:tc>
          <w:tcPr>
            <w:tcW w:w="1511" w:type="dxa"/>
            <w:tcBorders>
              <w:top w:val="nil"/>
              <w:left w:val="nil"/>
              <w:bottom w:val="single" w:sz="8" w:space="0" w:color="BFBFBF"/>
              <w:right w:val="single" w:sz="8" w:space="0" w:color="BFBFBF"/>
            </w:tcBorders>
            <w:shd w:val="clear" w:color="auto" w:fill="auto"/>
            <w:noWrap/>
            <w:vAlign w:val="center"/>
            <w:hideMark/>
          </w:tcPr>
          <w:p w14:paraId="34841C6D" w14:textId="77777777" w:rsidR="007F1BF5" w:rsidRPr="009868E8" w:rsidRDefault="007F1BF5" w:rsidP="007F1BF5">
            <w:pPr>
              <w:spacing w:after="0" w:line="240" w:lineRule="auto"/>
              <w:jc w:val="center"/>
              <w:rPr>
                <w:rFonts w:cs="Arial"/>
                <w:sz w:val="18"/>
                <w:szCs w:val="18"/>
              </w:rPr>
            </w:pPr>
            <w:r w:rsidRPr="009868E8">
              <w:rPr>
                <w:rFonts w:cs="Arial"/>
                <w:sz w:val="18"/>
                <w:szCs w:val="18"/>
              </w:rPr>
              <w:t>-1 566</w:t>
            </w:r>
          </w:p>
        </w:tc>
        <w:tc>
          <w:tcPr>
            <w:tcW w:w="1123" w:type="dxa"/>
            <w:tcBorders>
              <w:top w:val="nil"/>
              <w:left w:val="nil"/>
              <w:bottom w:val="single" w:sz="8" w:space="0" w:color="BFBFBF"/>
              <w:right w:val="single" w:sz="8" w:space="0" w:color="BFBFBF"/>
            </w:tcBorders>
            <w:shd w:val="clear" w:color="auto" w:fill="auto"/>
            <w:noWrap/>
            <w:vAlign w:val="center"/>
            <w:hideMark/>
          </w:tcPr>
          <w:p w14:paraId="4B435105" w14:textId="3CF77152" w:rsidR="007F1BF5" w:rsidRPr="009868E8" w:rsidRDefault="007F1BF5" w:rsidP="007F1BF5">
            <w:pPr>
              <w:spacing w:after="0" w:line="240" w:lineRule="auto"/>
              <w:jc w:val="center"/>
              <w:rPr>
                <w:rFonts w:cs="Arial"/>
                <w:sz w:val="18"/>
                <w:szCs w:val="18"/>
              </w:rPr>
            </w:pPr>
            <w:r w:rsidRPr="009868E8">
              <w:rPr>
                <w:rFonts w:cs="Arial"/>
                <w:sz w:val="18"/>
                <w:szCs w:val="18"/>
              </w:rPr>
              <w:t xml:space="preserve">-1 </w:t>
            </w:r>
            <w:r w:rsidR="00F94446" w:rsidRPr="009868E8">
              <w:rPr>
                <w:rFonts w:cs="Arial"/>
                <w:sz w:val="18"/>
                <w:szCs w:val="18"/>
              </w:rPr>
              <w:t>305</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70881B55" w14:textId="7BC31FC4" w:rsidR="007F1BF5" w:rsidRPr="009868E8" w:rsidRDefault="00F94446" w:rsidP="007F1BF5">
            <w:pPr>
              <w:spacing w:after="0" w:line="240" w:lineRule="auto"/>
              <w:jc w:val="center"/>
              <w:rPr>
                <w:rFonts w:cs="Arial"/>
                <w:sz w:val="18"/>
                <w:szCs w:val="18"/>
              </w:rPr>
            </w:pPr>
            <w:r w:rsidRPr="009868E8">
              <w:rPr>
                <w:rFonts w:cs="Arial"/>
                <w:sz w:val="18"/>
                <w:szCs w:val="18"/>
              </w:rPr>
              <w:t>-4 503</w:t>
            </w:r>
          </w:p>
        </w:tc>
        <w:tc>
          <w:tcPr>
            <w:tcW w:w="1123" w:type="dxa"/>
            <w:tcBorders>
              <w:top w:val="nil"/>
              <w:left w:val="nil"/>
              <w:bottom w:val="single" w:sz="8" w:space="0" w:color="BFBFBF"/>
              <w:right w:val="single" w:sz="8" w:space="0" w:color="BFBFBF"/>
            </w:tcBorders>
            <w:shd w:val="clear" w:color="auto" w:fill="auto"/>
            <w:noWrap/>
            <w:vAlign w:val="center"/>
            <w:hideMark/>
          </w:tcPr>
          <w:p w14:paraId="308D8903" w14:textId="77777777" w:rsidR="007F1BF5" w:rsidRPr="000D17D2" w:rsidRDefault="007F1BF5" w:rsidP="007F1BF5">
            <w:pPr>
              <w:spacing w:after="0" w:line="240" w:lineRule="auto"/>
              <w:jc w:val="center"/>
              <w:rPr>
                <w:rFonts w:cs="Arial"/>
                <w:sz w:val="18"/>
                <w:szCs w:val="18"/>
              </w:rPr>
            </w:pPr>
            <w:r w:rsidRPr="000D17D2">
              <w:rPr>
                <w:rFonts w:cs="Arial"/>
                <w:sz w:val="18"/>
                <w:szCs w:val="18"/>
              </w:rPr>
              <w:t>ND</w:t>
            </w:r>
          </w:p>
        </w:tc>
      </w:tr>
      <w:tr w:rsidR="007F1BF5" w:rsidRPr="007F1BF5" w14:paraId="5BEDF497"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38CCD496"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Sector Público</w:t>
            </w:r>
          </w:p>
        </w:tc>
        <w:tc>
          <w:tcPr>
            <w:tcW w:w="1511" w:type="dxa"/>
            <w:tcBorders>
              <w:top w:val="nil"/>
              <w:left w:val="nil"/>
              <w:bottom w:val="single" w:sz="8" w:space="0" w:color="BFBFBF"/>
              <w:right w:val="single" w:sz="8" w:space="0" w:color="BFBFBF"/>
            </w:tcBorders>
            <w:shd w:val="clear" w:color="auto" w:fill="auto"/>
            <w:noWrap/>
            <w:vAlign w:val="center"/>
            <w:hideMark/>
          </w:tcPr>
          <w:p w14:paraId="25045B7B" w14:textId="77777777" w:rsidR="007F1BF5" w:rsidRPr="009868E8" w:rsidRDefault="007F1BF5" w:rsidP="007F1BF5">
            <w:pPr>
              <w:spacing w:after="0" w:line="240" w:lineRule="auto"/>
              <w:jc w:val="center"/>
              <w:rPr>
                <w:rFonts w:cs="Arial"/>
                <w:sz w:val="18"/>
                <w:szCs w:val="18"/>
              </w:rPr>
            </w:pPr>
            <w:r w:rsidRPr="009868E8">
              <w:rPr>
                <w:rFonts w:cs="Arial"/>
                <w:sz w:val="18"/>
                <w:szCs w:val="18"/>
              </w:rPr>
              <w:t>ND</w:t>
            </w:r>
          </w:p>
        </w:tc>
        <w:tc>
          <w:tcPr>
            <w:tcW w:w="1123" w:type="dxa"/>
            <w:tcBorders>
              <w:top w:val="nil"/>
              <w:left w:val="nil"/>
              <w:bottom w:val="single" w:sz="8" w:space="0" w:color="BFBFBF"/>
              <w:right w:val="single" w:sz="8" w:space="0" w:color="BFBFBF"/>
            </w:tcBorders>
            <w:shd w:val="clear" w:color="auto" w:fill="auto"/>
            <w:noWrap/>
            <w:vAlign w:val="center"/>
            <w:hideMark/>
          </w:tcPr>
          <w:p w14:paraId="3336411F" w14:textId="07A69F43" w:rsidR="007F1BF5" w:rsidRPr="009868E8" w:rsidRDefault="007F1BF5" w:rsidP="007F1BF5">
            <w:pPr>
              <w:spacing w:after="0" w:line="240" w:lineRule="auto"/>
              <w:jc w:val="center"/>
              <w:rPr>
                <w:rFonts w:cs="Arial"/>
                <w:sz w:val="18"/>
                <w:szCs w:val="18"/>
              </w:rPr>
            </w:pPr>
            <w:r w:rsidRPr="009868E8">
              <w:rPr>
                <w:rFonts w:cs="Arial"/>
                <w:sz w:val="18"/>
                <w:szCs w:val="18"/>
              </w:rPr>
              <w:t>-</w:t>
            </w:r>
            <w:r w:rsidR="0076445C" w:rsidRPr="009868E8">
              <w:rPr>
                <w:rFonts w:cs="Arial"/>
                <w:sz w:val="18"/>
                <w:szCs w:val="18"/>
              </w:rPr>
              <w:t>737</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436D0805" w14:textId="1E3886F6" w:rsidR="007F1BF5" w:rsidRPr="009868E8" w:rsidRDefault="0076445C" w:rsidP="007F1BF5">
            <w:pPr>
              <w:spacing w:after="0" w:line="240" w:lineRule="auto"/>
              <w:jc w:val="center"/>
              <w:rPr>
                <w:rFonts w:cs="Arial"/>
                <w:sz w:val="18"/>
                <w:szCs w:val="18"/>
              </w:rPr>
            </w:pPr>
            <w:r w:rsidRPr="009868E8">
              <w:rPr>
                <w:rFonts w:cs="Arial"/>
                <w:sz w:val="18"/>
                <w:szCs w:val="18"/>
              </w:rPr>
              <w:t>-2 033</w:t>
            </w:r>
          </w:p>
        </w:tc>
        <w:tc>
          <w:tcPr>
            <w:tcW w:w="1123" w:type="dxa"/>
            <w:tcBorders>
              <w:top w:val="nil"/>
              <w:left w:val="nil"/>
              <w:bottom w:val="single" w:sz="8" w:space="0" w:color="BFBFBF"/>
              <w:right w:val="single" w:sz="8" w:space="0" w:color="BFBFBF"/>
            </w:tcBorders>
            <w:shd w:val="clear" w:color="auto" w:fill="auto"/>
            <w:noWrap/>
            <w:vAlign w:val="center"/>
            <w:hideMark/>
          </w:tcPr>
          <w:p w14:paraId="48D985C7" w14:textId="77777777" w:rsidR="007F1BF5" w:rsidRPr="009868E8" w:rsidRDefault="007F1BF5" w:rsidP="007F1BF5">
            <w:pPr>
              <w:spacing w:after="0" w:line="240" w:lineRule="auto"/>
              <w:jc w:val="center"/>
              <w:rPr>
                <w:rFonts w:cs="Arial"/>
                <w:sz w:val="18"/>
                <w:szCs w:val="18"/>
              </w:rPr>
            </w:pPr>
            <w:r w:rsidRPr="009868E8">
              <w:rPr>
                <w:rFonts w:cs="Arial"/>
                <w:sz w:val="18"/>
                <w:szCs w:val="18"/>
              </w:rPr>
              <w:t>ND</w:t>
            </w:r>
          </w:p>
        </w:tc>
      </w:tr>
      <w:tr w:rsidR="007F1BF5" w:rsidRPr="007F1BF5" w14:paraId="4F28CEF5"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52CD21C4"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Sector Privado</w:t>
            </w:r>
          </w:p>
        </w:tc>
        <w:tc>
          <w:tcPr>
            <w:tcW w:w="1511" w:type="dxa"/>
            <w:tcBorders>
              <w:top w:val="nil"/>
              <w:left w:val="nil"/>
              <w:bottom w:val="single" w:sz="8" w:space="0" w:color="BFBFBF"/>
              <w:right w:val="single" w:sz="8" w:space="0" w:color="BFBFBF"/>
            </w:tcBorders>
            <w:shd w:val="clear" w:color="auto" w:fill="auto"/>
            <w:noWrap/>
            <w:vAlign w:val="center"/>
            <w:hideMark/>
          </w:tcPr>
          <w:p w14:paraId="22953F09" w14:textId="77777777" w:rsidR="007F1BF5" w:rsidRPr="009868E8" w:rsidRDefault="007F1BF5" w:rsidP="007F1BF5">
            <w:pPr>
              <w:spacing w:after="0" w:line="240" w:lineRule="auto"/>
              <w:jc w:val="center"/>
              <w:rPr>
                <w:rFonts w:cs="Arial"/>
                <w:sz w:val="18"/>
                <w:szCs w:val="18"/>
              </w:rPr>
            </w:pPr>
            <w:r w:rsidRPr="009868E8">
              <w:rPr>
                <w:rFonts w:cs="Arial"/>
                <w:sz w:val="18"/>
                <w:szCs w:val="18"/>
              </w:rPr>
              <w:t>ND</w:t>
            </w:r>
          </w:p>
        </w:tc>
        <w:tc>
          <w:tcPr>
            <w:tcW w:w="1123" w:type="dxa"/>
            <w:tcBorders>
              <w:top w:val="nil"/>
              <w:left w:val="nil"/>
              <w:bottom w:val="single" w:sz="8" w:space="0" w:color="BFBFBF"/>
              <w:right w:val="single" w:sz="8" w:space="0" w:color="BFBFBF"/>
            </w:tcBorders>
            <w:shd w:val="clear" w:color="auto" w:fill="auto"/>
            <w:noWrap/>
            <w:vAlign w:val="center"/>
            <w:hideMark/>
          </w:tcPr>
          <w:p w14:paraId="52A00626" w14:textId="799E58FD" w:rsidR="007F1BF5" w:rsidRPr="009868E8" w:rsidRDefault="007F1BF5" w:rsidP="007F1BF5">
            <w:pPr>
              <w:spacing w:after="0" w:line="240" w:lineRule="auto"/>
              <w:jc w:val="center"/>
              <w:rPr>
                <w:rFonts w:cs="Arial"/>
                <w:sz w:val="18"/>
                <w:szCs w:val="18"/>
              </w:rPr>
            </w:pPr>
            <w:r w:rsidRPr="009868E8">
              <w:rPr>
                <w:rFonts w:cs="Arial"/>
                <w:sz w:val="18"/>
                <w:szCs w:val="18"/>
              </w:rPr>
              <w:t>-</w:t>
            </w:r>
            <w:r w:rsidR="0076445C" w:rsidRPr="009868E8">
              <w:rPr>
                <w:rFonts w:cs="Arial"/>
                <w:sz w:val="18"/>
                <w:szCs w:val="18"/>
              </w:rPr>
              <w:t>587</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6018BD63" w14:textId="4AC8E901" w:rsidR="007F1BF5" w:rsidRPr="009868E8" w:rsidRDefault="0076445C" w:rsidP="007F1BF5">
            <w:pPr>
              <w:spacing w:after="0" w:line="240" w:lineRule="auto"/>
              <w:jc w:val="center"/>
              <w:rPr>
                <w:rFonts w:cs="Arial"/>
                <w:sz w:val="18"/>
                <w:szCs w:val="18"/>
              </w:rPr>
            </w:pPr>
            <w:r w:rsidRPr="009868E8">
              <w:rPr>
                <w:rFonts w:cs="Arial"/>
                <w:sz w:val="18"/>
                <w:szCs w:val="18"/>
              </w:rPr>
              <w:t>-2 490</w:t>
            </w:r>
          </w:p>
        </w:tc>
        <w:tc>
          <w:tcPr>
            <w:tcW w:w="1123" w:type="dxa"/>
            <w:tcBorders>
              <w:top w:val="nil"/>
              <w:left w:val="nil"/>
              <w:bottom w:val="single" w:sz="8" w:space="0" w:color="BFBFBF"/>
              <w:right w:val="single" w:sz="8" w:space="0" w:color="BFBFBF"/>
            </w:tcBorders>
            <w:shd w:val="clear" w:color="auto" w:fill="auto"/>
            <w:noWrap/>
            <w:vAlign w:val="center"/>
            <w:hideMark/>
          </w:tcPr>
          <w:p w14:paraId="30267A26" w14:textId="77777777" w:rsidR="007F1BF5" w:rsidRPr="009868E8" w:rsidRDefault="007F1BF5" w:rsidP="007F1BF5">
            <w:pPr>
              <w:spacing w:after="0" w:line="240" w:lineRule="auto"/>
              <w:jc w:val="center"/>
              <w:rPr>
                <w:rFonts w:cs="Arial"/>
                <w:sz w:val="18"/>
                <w:szCs w:val="18"/>
              </w:rPr>
            </w:pPr>
            <w:r w:rsidRPr="009868E8">
              <w:rPr>
                <w:rFonts w:cs="Arial"/>
                <w:sz w:val="18"/>
                <w:szCs w:val="18"/>
              </w:rPr>
              <w:t>ND</w:t>
            </w:r>
          </w:p>
        </w:tc>
      </w:tr>
      <w:tr w:rsidR="007F1BF5" w:rsidRPr="007F1BF5" w14:paraId="0508EF4B"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B986DF5"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Inversión Extranjera Directa</w:t>
            </w:r>
          </w:p>
        </w:tc>
        <w:tc>
          <w:tcPr>
            <w:tcW w:w="1511" w:type="dxa"/>
            <w:tcBorders>
              <w:top w:val="nil"/>
              <w:left w:val="nil"/>
              <w:bottom w:val="single" w:sz="8" w:space="0" w:color="BFBFBF"/>
              <w:right w:val="single" w:sz="8" w:space="0" w:color="BFBFBF"/>
            </w:tcBorders>
            <w:shd w:val="clear" w:color="auto" w:fill="auto"/>
            <w:noWrap/>
            <w:vAlign w:val="center"/>
            <w:hideMark/>
          </w:tcPr>
          <w:p w14:paraId="51BF51DB" w14:textId="77777777" w:rsidR="007F1BF5" w:rsidRPr="009868E8" w:rsidRDefault="007F1BF5" w:rsidP="007F1BF5">
            <w:pPr>
              <w:spacing w:after="0" w:line="240" w:lineRule="auto"/>
              <w:jc w:val="center"/>
              <w:rPr>
                <w:rFonts w:cs="Arial"/>
                <w:sz w:val="18"/>
                <w:szCs w:val="18"/>
              </w:rPr>
            </w:pPr>
            <w:r w:rsidRPr="009868E8">
              <w:rPr>
                <w:rFonts w:cs="Arial"/>
                <w:sz w:val="18"/>
                <w:szCs w:val="18"/>
              </w:rPr>
              <w:t>-2 676</w:t>
            </w:r>
          </w:p>
        </w:tc>
        <w:tc>
          <w:tcPr>
            <w:tcW w:w="1123" w:type="dxa"/>
            <w:tcBorders>
              <w:top w:val="nil"/>
              <w:left w:val="nil"/>
              <w:bottom w:val="single" w:sz="8" w:space="0" w:color="BFBFBF"/>
              <w:right w:val="single" w:sz="8" w:space="0" w:color="BFBFBF"/>
            </w:tcBorders>
            <w:shd w:val="clear" w:color="auto" w:fill="auto"/>
            <w:noWrap/>
            <w:vAlign w:val="center"/>
            <w:hideMark/>
          </w:tcPr>
          <w:p w14:paraId="33B41028" w14:textId="189FB863" w:rsidR="007F1BF5" w:rsidRPr="009868E8" w:rsidRDefault="007F1BF5" w:rsidP="007F1BF5">
            <w:pPr>
              <w:spacing w:after="0" w:line="240" w:lineRule="auto"/>
              <w:jc w:val="center"/>
              <w:rPr>
                <w:rFonts w:cs="Arial"/>
                <w:sz w:val="18"/>
                <w:szCs w:val="18"/>
              </w:rPr>
            </w:pPr>
            <w:r w:rsidRPr="009868E8">
              <w:rPr>
                <w:rFonts w:cs="Arial"/>
                <w:sz w:val="18"/>
                <w:szCs w:val="18"/>
              </w:rPr>
              <w:t xml:space="preserve">-3 </w:t>
            </w:r>
            <w:r w:rsidR="0076445C" w:rsidRPr="009868E8">
              <w:rPr>
                <w:rFonts w:cs="Arial"/>
                <w:sz w:val="18"/>
                <w:szCs w:val="18"/>
              </w:rPr>
              <w:t>593</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1DDCA0F4" w14:textId="42716C75" w:rsidR="007F1BF5" w:rsidRPr="009868E8" w:rsidRDefault="0076445C" w:rsidP="007F1BF5">
            <w:pPr>
              <w:spacing w:after="0" w:line="240" w:lineRule="auto"/>
              <w:jc w:val="center"/>
              <w:rPr>
                <w:rFonts w:cs="Arial"/>
                <w:sz w:val="18"/>
                <w:szCs w:val="18"/>
              </w:rPr>
            </w:pPr>
            <w:r w:rsidRPr="009868E8">
              <w:rPr>
                <w:rFonts w:cs="Arial"/>
                <w:sz w:val="18"/>
                <w:szCs w:val="18"/>
              </w:rPr>
              <w:t>-3 390</w:t>
            </w:r>
          </w:p>
        </w:tc>
        <w:tc>
          <w:tcPr>
            <w:tcW w:w="1123" w:type="dxa"/>
            <w:tcBorders>
              <w:top w:val="nil"/>
              <w:left w:val="nil"/>
              <w:bottom w:val="single" w:sz="8" w:space="0" w:color="BFBFBF"/>
              <w:right w:val="single" w:sz="8" w:space="0" w:color="BFBFBF"/>
            </w:tcBorders>
            <w:shd w:val="clear" w:color="auto" w:fill="auto"/>
            <w:noWrap/>
            <w:vAlign w:val="center"/>
            <w:hideMark/>
          </w:tcPr>
          <w:p w14:paraId="341782FD" w14:textId="77777777" w:rsidR="007F1BF5" w:rsidRPr="009868E8" w:rsidRDefault="007F1BF5" w:rsidP="007F1BF5">
            <w:pPr>
              <w:spacing w:after="0" w:line="240" w:lineRule="auto"/>
              <w:jc w:val="center"/>
              <w:rPr>
                <w:rFonts w:cs="Arial"/>
                <w:sz w:val="18"/>
                <w:szCs w:val="18"/>
              </w:rPr>
            </w:pPr>
            <w:r w:rsidRPr="009868E8">
              <w:rPr>
                <w:rFonts w:cs="Arial"/>
                <w:sz w:val="18"/>
                <w:szCs w:val="18"/>
              </w:rPr>
              <w:t>ND</w:t>
            </w:r>
          </w:p>
        </w:tc>
      </w:tr>
      <w:tr w:rsidR="007F1BF5" w:rsidRPr="007F1BF5" w14:paraId="01FAF244"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42D0B962"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Saldo RIN (% PIB)</w:t>
            </w:r>
          </w:p>
        </w:tc>
        <w:tc>
          <w:tcPr>
            <w:tcW w:w="1511" w:type="dxa"/>
            <w:tcBorders>
              <w:top w:val="nil"/>
              <w:left w:val="nil"/>
              <w:bottom w:val="single" w:sz="8" w:space="0" w:color="BFBFBF"/>
              <w:right w:val="single" w:sz="8" w:space="0" w:color="BFBFBF"/>
            </w:tcBorders>
            <w:shd w:val="clear" w:color="auto" w:fill="auto"/>
            <w:noWrap/>
            <w:vAlign w:val="center"/>
            <w:hideMark/>
          </w:tcPr>
          <w:p w14:paraId="5C64B3B9" w14:textId="77777777" w:rsidR="007F1BF5" w:rsidRPr="009868E8" w:rsidRDefault="007F1BF5" w:rsidP="007F1BF5">
            <w:pPr>
              <w:spacing w:after="0" w:line="240" w:lineRule="auto"/>
              <w:jc w:val="center"/>
              <w:rPr>
                <w:rFonts w:cs="Arial"/>
                <w:sz w:val="18"/>
                <w:szCs w:val="18"/>
              </w:rPr>
            </w:pPr>
            <w:r w:rsidRPr="009868E8">
              <w:rPr>
                <w:rFonts w:cs="Arial"/>
                <w:sz w:val="18"/>
                <w:szCs w:val="18"/>
              </w:rPr>
              <w:t>12,50%</w:t>
            </w:r>
          </w:p>
        </w:tc>
        <w:tc>
          <w:tcPr>
            <w:tcW w:w="1123" w:type="dxa"/>
            <w:tcBorders>
              <w:top w:val="nil"/>
              <w:left w:val="nil"/>
              <w:bottom w:val="single" w:sz="8" w:space="0" w:color="BFBFBF"/>
              <w:right w:val="single" w:sz="8" w:space="0" w:color="BFBFBF"/>
            </w:tcBorders>
            <w:shd w:val="clear" w:color="auto" w:fill="auto"/>
            <w:noWrap/>
            <w:vAlign w:val="center"/>
            <w:hideMark/>
          </w:tcPr>
          <w:p w14:paraId="1E4FB938" w14:textId="70884985" w:rsidR="007F1BF5" w:rsidRPr="009868E8" w:rsidRDefault="007F1BF5" w:rsidP="007F1BF5">
            <w:pPr>
              <w:spacing w:after="0" w:line="240" w:lineRule="auto"/>
              <w:jc w:val="center"/>
              <w:rPr>
                <w:rFonts w:cs="Arial"/>
                <w:sz w:val="18"/>
                <w:szCs w:val="18"/>
              </w:rPr>
            </w:pPr>
            <w:r w:rsidRPr="009868E8">
              <w:rPr>
                <w:rFonts w:cs="Arial"/>
                <w:sz w:val="18"/>
                <w:szCs w:val="18"/>
              </w:rPr>
              <w:t>10,</w:t>
            </w:r>
            <w:r w:rsidR="006A04CE" w:rsidRPr="009868E8">
              <w:rPr>
                <w:rFonts w:cs="Arial"/>
                <w:sz w:val="18"/>
                <w:szCs w:val="18"/>
              </w:rPr>
              <w:t>70</w:t>
            </w:r>
            <w:r w:rsidRPr="009868E8">
              <w:rPr>
                <w:rFonts w:cs="Arial"/>
                <w:sz w:val="18"/>
                <w:szCs w:val="18"/>
              </w:rPr>
              <w:t>%</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73815A3B" w14:textId="4A14FE45" w:rsidR="007F1BF5" w:rsidRPr="009868E8" w:rsidRDefault="006A04CE" w:rsidP="007F1BF5">
            <w:pPr>
              <w:spacing w:after="0" w:line="240" w:lineRule="auto"/>
              <w:jc w:val="center"/>
              <w:rPr>
                <w:rFonts w:cs="Arial"/>
                <w:sz w:val="18"/>
                <w:szCs w:val="18"/>
              </w:rPr>
            </w:pPr>
            <w:r w:rsidRPr="009868E8">
              <w:rPr>
                <w:rFonts w:cs="Arial"/>
                <w:sz w:val="18"/>
                <w:szCs w:val="18"/>
              </w:rPr>
              <w:t>12</w:t>
            </w:r>
            <w:r w:rsidR="007F1BF5" w:rsidRPr="009868E8">
              <w:rPr>
                <w:rFonts w:cs="Arial"/>
                <w:sz w:val="18"/>
                <w:szCs w:val="18"/>
              </w:rPr>
              <w:t>,</w:t>
            </w:r>
            <w:r w:rsidRPr="009868E8">
              <w:rPr>
                <w:rFonts w:cs="Arial"/>
                <w:sz w:val="18"/>
                <w:szCs w:val="18"/>
              </w:rPr>
              <w:t>50</w:t>
            </w:r>
            <w:r w:rsidR="007F1BF5"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446F6ED0" w14:textId="226B71BD" w:rsidR="007F1BF5" w:rsidRPr="009868E8" w:rsidRDefault="00B96552" w:rsidP="007F1BF5">
            <w:pPr>
              <w:spacing w:after="0" w:line="240" w:lineRule="auto"/>
              <w:jc w:val="center"/>
              <w:rPr>
                <w:rFonts w:cs="Arial"/>
                <w:sz w:val="18"/>
                <w:szCs w:val="18"/>
              </w:rPr>
            </w:pPr>
            <w:r w:rsidRPr="009868E8">
              <w:rPr>
                <w:rFonts w:cs="Arial"/>
                <w:sz w:val="18"/>
                <w:szCs w:val="18"/>
              </w:rPr>
              <w:t>10,50</w:t>
            </w:r>
            <w:r w:rsidR="007F1BF5" w:rsidRPr="009868E8">
              <w:rPr>
                <w:rFonts w:cs="Arial"/>
                <w:sz w:val="18"/>
                <w:szCs w:val="18"/>
              </w:rPr>
              <w:t>%</w:t>
            </w:r>
          </w:p>
        </w:tc>
      </w:tr>
      <w:tr w:rsidR="007F1BF5" w:rsidRPr="007F1BF5" w14:paraId="46BCE0B6"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132CBFDF" w14:textId="77777777" w:rsidR="007F1BF5" w:rsidRPr="007F1BF5" w:rsidRDefault="007F1BF5" w:rsidP="007F1BF5">
            <w:pPr>
              <w:spacing w:after="0" w:line="240" w:lineRule="auto"/>
              <w:jc w:val="left"/>
              <w:rPr>
                <w:rFonts w:cs="Arial"/>
                <w:b/>
                <w:bCs/>
                <w:color w:val="000000"/>
                <w:sz w:val="18"/>
                <w:szCs w:val="18"/>
              </w:rPr>
            </w:pPr>
            <w:r w:rsidRPr="007F1BF5">
              <w:rPr>
                <w:rFonts w:cs="Arial"/>
                <w:b/>
                <w:bCs/>
                <w:color w:val="000000"/>
                <w:sz w:val="18"/>
                <w:szCs w:val="18"/>
              </w:rPr>
              <w:t>Gobierno Central (% PIB)</w:t>
            </w:r>
          </w:p>
        </w:tc>
        <w:tc>
          <w:tcPr>
            <w:tcW w:w="1511" w:type="dxa"/>
            <w:tcBorders>
              <w:top w:val="nil"/>
              <w:left w:val="nil"/>
              <w:bottom w:val="single" w:sz="8" w:space="0" w:color="BFBFBF"/>
              <w:right w:val="single" w:sz="8" w:space="0" w:color="BFBFBF"/>
            </w:tcBorders>
            <w:shd w:val="clear" w:color="auto" w:fill="auto"/>
            <w:noWrap/>
            <w:vAlign w:val="center"/>
            <w:hideMark/>
          </w:tcPr>
          <w:p w14:paraId="36C98516"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6C037AE0"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5C8DD411"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480D7135"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r>
      <w:tr w:rsidR="007F1BF5" w:rsidRPr="007F1BF5" w14:paraId="32A7B418"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57057384"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Resultado Financiero</w:t>
            </w:r>
          </w:p>
        </w:tc>
        <w:tc>
          <w:tcPr>
            <w:tcW w:w="1511" w:type="dxa"/>
            <w:tcBorders>
              <w:top w:val="nil"/>
              <w:left w:val="nil"/>
              <w:bottom w:val="single" w:sz="8" w:space="0" w:color="BFBFBF"/>
              <w:right w:val="single" w:sz="8" w:space="0" w:color="BFBFBF"/>
            </w:tcBorders>
            <w:shd w:val="clear" w:color="auto" w:fill="auto"/>
            <w:noWrap/>
            <w:vAlign w:val="center"/>
            <w:hideMark/>
          </w:tcPr>
          <w:p w14:paraId="072D8126" w14:textId="77777777" w:rsidR="007F1BF5" w:rsidRPr="009868E8" w:rsidRDefault="007F1BF5" w:rsidP="007F1BF5">
            <w:pPr>
              <w:spacing w:after="0" w:line="240" w:lineRule="auto"/>
              <w:jc w:val="center"/>
              <w:rPr>
                <w:rFonts w:cs="Arial"/>
                <w:sz w:val="18"/>
                <w:szCs w:val="18"/>
              </w:rPr>
            </w:pPr>
            <w:r w:rsidRPr="009868E8">
              <w:rPr>
                <w:rFonts w:cs="Arial"/>
                <w:sz w:val="18"/>
                <w:szCs w:val="18"/>
              </w:rPr>
              <w:t>-3,16%</w:t>
            </w:r>
          </w:p>
        </w:tc>
        <w:tc>
          <w:tcPr>
            <w:tcW w:w="1123" w:type="dxa"/>
            <w:tcBorders>
              <w:top w:val="nil"/>
              <w:left w:val="nil"/>
              <w:bottom w:val="single" w:sz="8" w:space="0" w:color="BFBFBF"/>
              <w:right w:val="single" w:sz="8" w:space="0" w:color="BFBFBF"/>
            </w:tcBorders>
            <w:shd w:val="clear" w:color="auto" w:fill="auto"/>
            <w:noWrap/>
            <w:vAlign w:val="center"/>
            <w:hideMark/>
          </w:tcPr>
          <w:p w14:paraId="77C03B62" w14:textId="77777777" w:rsidR="007F1BF5" w:rsidRPr="009868E8" w:rsidRDefault="007F1BF5" w:rsidP="007F1BF5">
            <w:pPr>
              <w:spacing w:after="0" w:line="240" w:lineRule="auto"/>
              <w:jc w:val="center"/>
              <w:rPr>
                <w:rFonts w:cs="Arial"/>
                <w:sz w:val="18"/>
                <w:szCs w:val="18"/>
              </w:rPr>
            </w:pPr>
            <w:r w:rsidRPr="009868E8">
              <w:rPr>
                <w:rFonts w:cs="Arial"/>
                <w:sz w:val="18"/>
                <w:szCs w:val="18"/>
              </w:rPr>
              <w:t>-5,00%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24B321BA" w14:textId="391BA693" w:rsidR="007F1BF5" w:rsidRPr="009868E8" w:rsidRDefault="007F1BF5" w:rsidP="007F1BF5">
            <w:pPr>
              <w:spacing w:after="0" w:line="240" w:lineRule="auto"/>
              <w:jc w:val="center"/>
              <w:rPr>
                <w:rFonts w:cs="Arial"/>
                <w:sz w:val="18"/>
                <w:szCs w:val="18"/>
              </w:rPr>
            </w:pPr>
            <w:r w:rsidRPr="009868E8">
              <w:rPr>
                <w:rFonts w:cs="Arial"/>
                <w:sz w:val="18"/>
                <w:szCs w:val="18"/>
              </w:rPr>
              <w:t>-</w:t>
            </w:r>
            <w:r w:rsidR="00D50660" w:rsidRPr="009868E8">
              <w:rPr>
                <w:rFonts w:cs="Arial"/>
                <w:sz w:val="18"/>
                <w:szCs w:val="18"/>
              </w:rPr>
              <w:t>2,50</w:t>
            </w:r>
            <w:r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0721B19E" w14:textId="74D23023" w:rsidR="007F1BF5" w:rsidRPr="009868E8" w:rsidRDefault="007F1BF5" w:rsidP="007F1BF5">
            <w:pPr>
              <w:spacing w:after="0" w:line="240" w:lineRule="auto"/>
              <w:jc w:val="center"/>
              <w:rPr>
                <w:rFonts w:cs="Arial"/>
                <w:sz w:val="18"/>
                <w:szCs w:val="18"/>
              </w:rPr>
            </w:pPr>
            <w:r w:rsidRPr="009868E8">
              <w:rPr>
                <w:rFonts w:cs="Arial"/>
                <w:sz w:val="18"/>
                <w:szCs w:val="18"/>
              </w:rPr>
              <w:t>-3,</w:t>
            </w:r>
            <w:r w:rsidR="00D50660" w:rsidRPr="009868E8">
              <w:rPr>
                <w:rFonts w:cs="Arial"/>
                <w:sz w:val="18"/>
                <w:szCs w:val="18"/>
              </w:rPr>
              <w:t>50</w:t>
            </w:r>
            <w:r w:rsidRPr="009868E8">
              <w:rPr>
                <w:rFonts w:cs="Arial"/>
                <w:sz w:val="18"/>
                <w:szCs w:val="18"/>
              </w:rPr>
              <w:t>%</w:t>
            </w:r>
          </w:p>
        </w:tc>
      </w:tr>
      <w:tr w:rsidR="007F1BF5" w:rsidRPr="007F1BF5" w14:paraId="18934FF1"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6B4D150"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Resultado Primario</w:t>
            </w:r>
          </w:p>
        </w:tc>
        <w:tc>
          <w:tcPr>
            <w:tcW w:w="1511" w:type="dxa"/>
            <w:tcBorders>
              <w:top w:val="nil"/>
              <w:left w:val="nil"/>
              <w:bottom w:val="single" w:sz="8" w:space="0" w:color="BFBFBF"/>
              <w:right w:val="single" w:sz="8" w:space="0" w:color="BFBFBF"/>
            </w:tcBorders>
            <w:shd w:val="clear" w:color="auto" w:fill="auto"/>
            <w:noWrap/>
            <w:vAlign w:val="center"/>
            <w:hideMark/>
          </w:tcPr>
          <w:p w14:paraId="41CEC6AD" w14:textId="77777777" w:rsidR="007F1BF5" w:rsidRPr="009868E8" w:rsidRDefault="007F1BF5" w:rsidP="007F1BF5">
            <w:pPr>
              <w:spacing w:after="0" w:line="240" w:lineRule="auto"/>
              <w:jc w:val="center"/>
              <w:rPr>
                <w:rFonts w:cs="Arial"/>
                <w:sz w:val="18"/>
                <w:szCs w:val="18"/>
              </w:rPr>
            </w:pPr>
            <w:r w:rsidRPr="009868E8">
              <w:rPr>
                <w:rFonts w:cs="Arial"/>
                <w:sz w:val="18"/>
                <w:szCs w:val="18"/>
              </w:rPr>
              <w:t>-1,38%</w:t>
            </w:r>
          </w:p>
        </w:tc>
        <w:tc>
          <w:tcPr>
            <w:tcW w:w="1123" w:type="dxa"/>
            <w:tcBorders>
              <w:top w:val="nil"/>
              <w:left w:val="nil"/>
              <w:bottom w:val="single" w:sz="8" w:space="0" w:color="BFBFBF"/>
              <w:right w:val="single" w:sz="8" w:space="0" w:color="BFBFBF"/>
            </w:tcBorders>
            <w:shd w:val="clear" w:color="auto" w:fill="auto"/>
            <w:noWrap/>
            <w:vAlign w:val="center"/>
            <w:hideMark/>
          </w:tcPr>
          <w:p w14:paraId="34A8A1CE" w14:textId="77777777" w:rsidR="007F1BF5" w:rsidRPr="009868E8" w:rsidRDefault="007F1BF5" w:rsidP="007F1BF5">
            <w:pPr>
              <w:spacing w:after="0" w:line="240" w:lineRule="auto"/>
              <w:jc w:val="center"/>
              <w:rPr>
                <w:rFonts w:cs="Arial"/>
                <w:sz w:val="18"/>
                <w:szCs w:val="18"/>
              </w:rPr>
            </w:pPr>
            <w:r w:rsidRPr="009868E8">
              <w:rPr>
                <w:rFonts w:cs="Arial"/>
                <w:sz w:val="18"/>
                <w:szCs w:val="18"/>
              </w:rPr>
              <w:t>-5,00%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44543633" w14:textId="3E8DADA5" w:rsidR="007F1BF5" w:rsidRPr="009868E8" w:rsidRDefault="00D50660" w:rsidP="007F1BF5">
            <w:pPr>
              <w:spacing w:after="0" w:line="240" w:lineRule="auto"/>
              <w:jc w:val="center"/>
              <w:rPr>
                <w:rFonts w:cs="Arial"/>
                <w:sz w:val="18"/>
                <w:szCs w:val="18"/>
              </w:rPr>
            </w:pPr>
            <w:r w:rsidRPr="009868E8">
              <w:rPr>
                <w:rFonts w:cs="Arial"/>
                <w:sz w:val="18"/>
                <w:szCs w:val="18"/>
              </w:rPr>
              <w:t>2,10</w:t>
            </w:r>
            <w:r w:rsidR="007F1BF5"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6DB01E9D" w14:textId="5C4B6164" w:rsidR="007F1BF5" w:rsidRPr="009868E8" w:rsidRDefault="00D50660" w:rsidP="007F1BF5">
            <w:pPr>
              <w:spacing w:after="0" w:line="240" w:lineRule="auto"/>
              <w:jc w:val="center"/>
              <w:rPr>
                <w:rFonts w:cs="Arial"/>
                <w:sz w:val="18"/>
                <w:szCs w:val="18"/>
              </w:rPr>
            </w:pPr>
            <w:r w:rsidRPr="009868E8">
              <w:rPr>
                <w:rFonts w:cs="Arial"/>
                <w:sz w:val="18"/>
                <w:szCs w:val="18"/>
              </w:rPr>
              <w:t>1,60</w:t>
            </w:r>
            <w:r w:rsidR="007F1BF5" w:rsidRPr="009868E8">
              <w:rPr>
                <w:rFonts w:cs="Arial"/>
                <w:sz w:val="18"/>
                <w:szCs w:val="18"/>
              </w:rPr>
              <w:t>%</w:t>
            </w:r>
          </w:p>
        </w:tc>
      </w:tr>
      <w:tr w:rsidR="007F1BF5" w:rsidRPr="007F1BF5" w14:paraId="3AF9C6CF"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666EA165"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Intereses</w:t>
            </w:r>
          </w:p>
        </w:tc>
        <w:tc>
          <w:tcPr>
            <w:tcW w:w="1511" w:type="dxa"/>
            <w:tcBorders>
              <w:top w:val="nil"/>
              <w:left w:val="nil"/>
              <w:bottom w:val="single" w:sz="8" w:space="0" w:color="BFBFBF"/>
              <w:right w:val="single" w:sz="8" w:space="0" w:color="BFBFBF"/>
            </w:tcBorders>
            <w:shd w:val="clear" w:color="auto" w:fill="auto"/>
            <w:noWrap/>
            <w:vAlign w:val="center"/>
            <w:hideMark/>
          </w:tcPr>
          <w:p w14:paraId="3D329F85" w14:textId="77777777" w:rsidR="007F1BF5" w:rsidRPr="009868E8" w:rsidRDefault="007F1BF5" w:rsidP="007F1BF5">
            <w:pPr>
              <w:spacing w:after="0" w:line="240" w:lineRule="auto"/>
              <w:jc w:val="center"/>
              <w:rPr>
                <w:rFonts w:cs="Arial"/>
                <w:sz w:val="18"/>
                <w:szCs w:val="18"/>
              </w:rPr>
            </w:pPr>
            <w:r w:rsidRPr="009868E8">
              <w:rPr>
                <w:rFonts w:cs="Arial"/>
                <w:sz w:val="18"/>
                <w:szCs w:val="18"/>
              </w:rPr>
              <w:t>1,79%</w:t>
            </w:r>
          </w:p>
        </w:tc>
        <w:tc>
          <w:tcPr>
            <w:tcW w:w="1123" w:type="dxa"/>
            <w:tcBorders>
              <w:top w:val="nil"/>
              <w:left w:val="nil"/>
              <w:bottom w:val="single" w:sz="8" w:space="0" w:color="BFBFBF"/>
              <w:right w:val="single" w:sz="8" w:space="0" w:color="BFBFBF"/>
            </w:tcBorders>
            <w:shd w:val="clear" w:color="auto" w:fill="auto"/>
            <w:noWrap/>
            <w:vAlign w:val="center"/>
            <w:hideMark/>
          </w:tcPr>
          <w:p w14:paraId="5A1E8682" w14:textId="13C5BE87" w:rsidR="007F1BF5" w:rsidRPr="009868E8" w:rsidRDefault="00D50660" w:rsidP="007F1BF5">
            <w:pPr>
              <w:spacing w:after="0" w:line="240" w:lineRule="auto"/>
              <w:jc w:val="center"/>
              <w:rPr>
                <w:rFonts w:cs="Arial"/>
                <w:sz w:val="18"/>
                <w:szCs w:val="18"/>
              </w:rPr>
            </w:pPr>
            <w:r w:rsidRPr="009868E8">
              <w:rPr>
                <w:rFonts w:cs="Arial"/>
                <w:sz w:val="18"/>
                <w:szCs w:val="18"/>
              </w:rPr>
              <w:t>4</w:t>
            </w:r>
            <w:r w:rsidR="007F1BF5" w:rsidRPr="009868E8">
              <w:rPr>
                <w:rFonts w:cs="Arial"/>
                <w:sz w:val="18"/>
                <w:szCs w:val="18"/>
              </w:rPr>
              <w:t>,</w:t>
            </w:r>
            <w:r w:rsidRPr="009868E8">
              <w:rPr>
                <w:rFonts w:cs="Arial"/>
                <w:sz w:val="18"/>
                <w:szCs w:val="18"/>
              </w:rPr>
              <w:t>60</w:t>
            </w:r>
            <w:r w:rsidR="007F1BF5" w:rsidRPr="009868E8">
              <w:rPr>
                <w:rFonts w:cs="Arial"/>
                <w:sz w:val="18"/>
                <w:szCs w:val="18"/>
              </w:rPr>
              <w:t>%</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601B1738" w14:textId="242AFCB0" w:rsidR="007F1BF5" w:rsidRPr="009868E8" w:rsidRDefault="00D50660" w:rsidP="007F1BF5">
            <w:pPr>
              <w:spacing w:after="0" w:line="240" w:lineRule="auto"/>
              <w:jc w:val="center"/>
              <w:rPr>
                <w:rFonts w:cs="Arial"/>
                <w:sz w:val="18"/>
                <w:szCs w:val="18"/>
              </w:rPr>
            </w:pPr>
            <w:r w:rsidRPr="009868E8">
              <w:rPr>
                <w:rFonts w:cs="Arial"/>
                <w:sz w:val="18"/>
                <w:szCs w:val="18"/>
              </w:rPr>
              <w:t>5,1</w:t>
            </w:r>
            <w:r w:rsidR="007F1BF5" w:rsidRPr="009868E8">
              <w:rPr>
                <w:rFonts w:cs="Arial"/>
                <w:sz w:val="18"/>
                <w:szCs w:val="18"/>
              </w:rPr>
              <w:t>0%</w:t>
            </w:r>
          </w:p>
        </w:tc>
        <w:tc>
          <w:tcPr>
            <w:tcW w:w="1123" w:type="dxa"/>
            <w:tcBorders>
              <w:top w:val="nil"/>
              <w:left w:val="nil"/>
              <w:bottom w:val="single" w:sz="8" w:space="0" w:color="BFBFBF"/>
              <w:right w:val="single" w:sz="8" w:space="0" w:color="BFBFBF"/>
            </w:tcBorders>
            <w:shd w:val="clear" w:color="auto" w:fill="auto"/>
            <w:noWrap/>
            <w:vAlign w:val="center"/>
            <w:hideMark/>
          </w:tcPr>
          <w:p w14:paraId="0A56B210" w14:textId="202CB5E5" w:rsidR="007F1BF5" w:rsidRPr="009868E8" w:rsidRDefault="00D50660" w:rsidP="007F1BF5">
            <w:pPr>
              <w:spacing w:after="0" w:line="240" w:lineRule="auto"/>
              <w:jc w:val="center"/>
              <w:rPr>
                <w:rFonts w:cs="Arial"/>
                <w:sz w:val="18"/>
                <w:szCs w:val="18"/>
              </w:rPr>
            </w:pPr>
            <w:r w:rsidRPr="009868E8">
              <w:rPr>
                <w:rFonts w:cs="Arial"/>
                <w:sz w:val="18"/>
                <w:szCs w:val="18"/>
              </w:rPr>
              <w:t>4,90</w:t>
            </w:r>
            <w:r w:rsidR="007F1BF5" w:rsidRPr="009868E8">
              <w:rPr>
                <w:rFonts w:cs="Arial"/>
                <w:sz w:val="18"/>
                <w:szCs w:val="18"/>
              </w:rPr>
              <w:t>%</w:t>
            </w:r>
          </w:p>
        </w:tc>
      </w:tr>
      <w:tr w:rsidR="007F1BF5" w:rsidRPr="007F1BF5" w14:paraId="516AEBC5"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1B4CD97B" w14:textId="77777777" w:rsidR="007F1BF5" w:rsidRPr="007F1BF5" w:rsidRDefault="007F1BF5" w:rsidP="007F1BF5">
            <w:pPr>
              <w:spacing w:after="0" w:line="240" w:lineRule="auto"/>
              <w:jc w:val="left"/>
              <w:rPr>
                <w:rFonts w:cs="Arial"/>
                <w:b/>
                <w:bCs/>
                <w:color w:val="000000"/>
                <w:sz w:val="18"/>
                <w:szCs w:val="18"/>
              </w:rPr>
            </w:pPr>
            <w:r w:rsidRPr="007F1BF5">
              <w:rPr>
                <w:rFonts w:cs="Arial"/>
                <w:b/>
                <w:bCs/>
                <w:color w:val="000000"/>
                <w:sz w:val="18"/>
                <w:szCs w:val="18"/>
              </w:rPr>
              <w:t>Deuda Gobierno Central (% PIB)</w:t>
            </w:r>
          </w:p>
        </w:tc>
        <w:tc>
          <w:tcPr>
            <w:tcW w:w="1511" w:type="dxa"/>
            <w:tcBorders>
              <w:top w:val="nil"/>
              <w:left w:val="nil"/>
              <w:bottom w:val="single" w:sz="8" w:space="0" w:color="BFBFBF"/>
              <w:right w:val="single" w:sz="8" w:space="0" w:color="BFBFBF"/>
            </w:tcBorders>
            <w:shd w:val="clear" w:color="auto" w:fill="auto"/>
            <w:noWrap/>
            <w:vAlign w:val="center"/>
            <w:hideMark/>
          </w:tcPr>
          <w:p w14:paraId="6E3FF4D6" w14:textId="77777777" w:rsidR="007F1BF5" w:rsidRPr="009868E8" w:rsidRDefault="007F1BF5" w:rsidP="007F1BF5">
            <w:pPr>
              <w:spacing w:after="0" w:line="240" w:lineRule="auto"/>
              <w:jc w:val="center"/>
              <w:rPr>
                <w:rFonts w:cs="Arial"/>
                <w:sz w:val="18"/>
                <w:szCs w:val="18"/>
              </w:rPr>
            </w:pPr>
            <w:r w:rsidRPr="009868E8">
              <w:rPr>
                <w:rFonts w:cs="Arial"/>
                <w:sz w:val="18"/>
                <w:szCs w:val="18"/>
              </w:rPr>
              <w:t>58,4%*</w:t>
            </w:r>
          </w:p>
        </w:tc>
        <w:tc>
          <w:tcPr>
            <w:tcW w:w="1123" w:type="dxa"/>
            <w:tcBorders>
              <w:top w:val="nil"/>
              <w:left w:val="nil"/>
              <w:bottom w:val="single" w:sz="8" w:space="0" w:color="BFBFBF"/>
              <w:right w:val="single" w:sz="8" w:space="0" w:color="BFBFBF"/>
            </w:tcBorders>
            <w:shd w:val="clear" w:color="auto" w:fill="auto"/>
            <w:noWrap/>
            <w:vAlign w:val="center"/>
            <w:hideMark/>
          </w:tcPr>
          <w:p w14:paraId="26A09594" w14:textId="77777777" w:rsidR="007F1BF5" w:rsidRPr="009868E8" w:rsidRDefault="007F1BF5" w:rsidP="007F1BF5">
            <w:pPr>
              <w:spacing w:after="0" w:line="240" w:lineRule="auto"/>
              <w:jc w:val="center"/>
              <w:rPr>
                <w:rFonts w:cs="Arial"/>
                <w:sz w:val="18"/>
                <w:szCs w:val="18"/>
              </w:rPr>
            </w:pPr>
            <w:r w:rsidRPr="009868E8">
              <w:rPr>
                <w:rFonts w:cs="Arial"/>
                <w:sz w:val="18"/>
                <w:szCs w:val="18"/>
              </w:rPr>
              <w:t>68,00%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79970E87" w14:textId="4729104D" w:rsidR="007F1BF5" w:rsidRPr="009868E8" w:rsidRDefault="00C84D22" w:rsidP="007F1BF5">
            <w:pPr>
              <w:spacing w:after="0" w:line="240" w:lineRule="auto"/>
              <w:jc w:val="center"/>
              <w:rPr>
                <w:rFonts w:cs="Arial"/>
                <w:sz w:val="18"/>
                <w:szCs w:val="18"/>
              </w:rPr>
            </w:pPr>
            <w:r w:rsidRPr="009868E8">
              <w:rPr>
                <w:rFonts w:cs="Arial"/>
                <w:sz w:val="18"/>
                <w:szCs w:val="18"/>
              </w:rPr>
              <w:t>63</w:t>
            </w:r>
            <w:r w:rsidR="007F1BF5" w:rsidRPr="009868E8">
              <w:rPr>
                <w:rFonts w:cs="Arial"/>
                <w:sz w:val="18"/>
                <w:szCs w:val="18"/>
              </w:rPr>
              <w:t>,</w:t>
            </w:r>
            <w:r w:rsidRPr="009868E8">
              <w:rPr>
                <w:rFonts w:cs="Arial"/>
                <w:sz w:val="18"/>
                <w:szCs w:val="18"/>
              </w:rPr>
              <w:t>80</w:t>
            </w:r>
            <w:r w:rsidR="007F1BF5"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331540FD" w14:textId="0D632594" w:rsidR="007F1BF5" w:rsidRPr="009868E8" w:rsidRDefault="007F1BF5" w:rsidP="007F1BF5">
            <w:pPr>
              <w:spacing w:after="0" w:line="240" w:lineRule="auto"/>
              <w:jc w:val="center"/>
              <w:rPr>
                <w:rFonts w:cs="Arial"/>
                <w:sz w:val="18"/>
                <w:szCs w:val="18"/>
              </w:rPr>
            </w:pPr>
            <w:r w:rsidRPr="009868E8">
              <w:rPr>
                <w:rFonts w:cs="Arial"/>
                <w:sz w:val="18"/>
                <w:szCs w:val="18"/>
              </w:rPr>
              <w:t>64,</w:t>
            </w:r>
            <w:r w:rsidR="00927296" w:rsidRPr="009868E8">
              <w:rPr>
                <w:rFonts w:cs="Arial"/>
                <w:sz w:val="18"/>
                <w:szCs w:val="18"/>
              </w:rPr>
              <w:t>00</w:t>
            </w:r>
            <w:r w:rsidRPr="009868E8">
              <w:rPr>
                <w:rFonts w:cs="Arial"/>
                <w:sz w:val="18"/>
                <w:szCs w:val="18"/>
              </w:rPr>
              <w:t>%</w:t>
            </w:r>
          </w:p>
        </w:tc>
      </w:tr>
      <w:tr w:rsidR="007F1BF5" w:rsidRPr="007F1BF5" w14:paraId="2B224235" w14:textId="77777777" w:rsidTr="00927296">
        <w:trPr>
          <w:trHeight w:val="288"/>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0DE3D7CF" w14:textId="77777777" w:rsidR="007F1BF5" w:rsidRPr="007F1BF5" w:rsidRDefault="007F1BF5" w:rsidP="007F1BF5">
            <w:pPr>
              <w:spacing w:after="0" w:line="240" w:lineRule="auto"/>
              <w:jc w:val="left"/>
              <w:rPr>
                <w:rFonts w:cs="Arial"/>
                <w:b/>
                <w:bCs/>
                <w:color w:val="000000"/>
                <w:sz w:val="18"/>
                <w:szCs w:val="18"/>
              </w:rPr>
            </w:pPr>
            <w:r w:rsidRPr="007F1BF5">
              <w:rPr>
                <w:rFonts w:cs="Arial"/>
                <w:b/>
                <w:bCs/>
                <w:color w:val="000000"/>
                <w:sz w:val="18"/>
                <w:szCs w:val="18"/>
              </w:rPr>
              <w:t xml:space="preserve">Agregados monetarios y crediticios (variación %) </w:t>
            </w:r>
            <w:r w:rsidRPr="007F1BF5">
              <w:rPr>
                <w:rFonts w:cs="Arial"/>
                <w:b/>
                <w:bCs/>
                <w:color w:val="000000"/>
                <w:sz w:val="18"/>
                <w:szCs w:val="18"/>
                <w:vertAlign w:val="superscript"/>
              </w:rPr>
              <w:t>(2)</w:t>
            </w:r>
          </w:p>
        </w:tc>
        <w:tc>
          <w:tcPr>
            <w:tcW w:w="1511" w:type="dxa"/>
            <w:tcBorders>
              <w:top w:val="nil"/>
              <w:left w:val="nil"/>
              <w:bottom w:val="single" w:sz="8" w:space="0" w:color="BFBFBF"/>
              <w:right w:val="single" w:sz="8" w:space="0" w:color="BFBFBF"/>
            </w:tcBorders>
            <w:shd w:val="clear" w:color="auto" w:fill="auto"/>
            <w:noWrap/>
            <w:vAlign w:val="center"/>
            <w:hideMark/>
          </w:tcPr>
          <w:p w14:paraId="78DAE19C"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000E0D78"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3627685F"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20DBCBB2"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r>
      <w:tr w:rsidR="007F1BF5" w:rsidRPr="007F1BF5" w14:paraId="7B189B0B"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5C52BD39"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Riqueza Financiera total</w:t>
            </w:r>
          </w:p>
        </w:tc>
        <w:tc>
          <w:tcPr>
            <w:tcW w:w="1511" w:type="dxa"/>
            <w:tcBorders>
              <w:top w:val="nil"/>
              <w:left w:val="nil"/>
              <w:bottom w:val="single" w:sz="8" w:space="0" w:color="BFBFBF"/>
              <w:right w:val="single" w:sz="8" w:space="0" w:color="BFBFBF"/>
            </w:tcBorders>
            <w:shd w:val="clear" w:color="auto" w:fill="auto"/>
            <w:noWrap/>
            <w:vAlign w:val="center"/>
            <w:hideMark/>
          </w:tcPr>
          <w:p w14:paraId="6D3228F8" w14:textId="77777777" w:rsidR="007F1BF5" w:rsidRPr="009868E8" w:rsidRDefault="007F1BF5" w:rsidP="007F1BF5">
            <w:pPr>
              <w:spacing w:after="0" w:line="240" w:lineRule="auto"/>
              <w:jc w:val="center"/>
              <w:rPr>
                <w:rFonts w:cs="Arial"/>
                <w:sz w:val="18"/>
                <w:szCs w:val="18"/>
              </w:rPr>
            </w:pPr>
            <w:r w:rsidRPr="009868E8">
              <w:rPr>
                <w:rFonts w:cs="Arial"/>
                <w:sz w:val="18"/>
                <w:szCs w:val="18"/>
              </w:rPr>
              <w:t>9,70%</w:t>
            </w:r>
          </w:p>
        </w:tc>
        <w:tc>
          <w:tcPr>
            <w:tcW w:w="1123" w:type="dxa"/>
            <w:tcBorders>
              <w:top w:val="nil"/>
              <w:left w:val="nil"/>
              <w:bottom w:val="single" w:sz="8" w:space="0" w:color="BFBFBF"/>
              <w:right w:val="single" w:sz="8" w:space="0" w:color="BFBFBF"/>
            </w:tcBorders>
            <w:shd w:val="clear" w:color="auto" w:fill="auto"/>
            <w:noWrap/>
            <w:vAlign w:val="center"/>
            <w:hideMark/>
          </w:tcPr>
          <w:p w14:paraId="385A9633" w14:textId="77777777" w:rsidR="007F1BF5" w:rsidRPr="009868E8" w:rsidRDefault="007F1BF5" w:rsidP="007F1BF5">
            <w:pPr>
              <w:spacing w:after="0" w:line="240" w:lineRule="auto"/>
              <w:jc w:val="center"/>
              <w:rPr>
                <w:rFonts w:cs="Arial"/>
                <w:sz w:val="18"/>
                <w:szCs w:val="18"/>
              </w:rPr>
            </w:pPr>
            <w:r w:rsidRPr="009868E8">
              <w:rPr>
                <w:rFonts w:cs="Arial"/>
                <w:sz w:val="18"/>
                <w:szCs w:val="18"/>
              </w:rPr>
              <w:t>5,30%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0640EFC8" w14:textId="2FA55CCF" w:rsidR="007F1BF5" w:rsidRPr="009868E8" w:rsidRDefault="00734722" w:rsidP="007F1BF5">
            <w:pPr>
              <w:spacing w:after="0" w:line="240" w:lineRule="auto"/>
              <w:jc w:val="center"/>
              <w:rPr>
                <w:rFonts w:cs="Arial"/>
                <w:sz w:val="18"/>
                <w:szCs w:val="18"/>
              </w:rPr>
            </w:pPr>
            <w:r w:rsidRPr="009868E8">
              <w:rPr>
                <w:rFonts w:cs="Arial"/>
                <w:sz w:val="18"/>
                <w:szCs w:val="18"/>
              </w:rPr>
              <w:t>6,2</w:t>
            </w:r>
            <w:r w:rsidR="007F1BF5" w:rsidRPr="009868E8">
              <w:rPr>
                <w:rFonts w:cs="Arial"/>
                <w:sz w:val="18"/>
                <w:szCs w:val="18"/>
              </w:rPr>
              <w:t>0%</w:t>
            </w:r>
          </w:p>
        </w:tc>
        <w:tc>
          <w:tcPr>
            <w:tcW w:w="1123" w:type="dxa"/>
            <w:tcBorders>
              <w:top w:val="nil"/>
              <w:left w:val="nil"/>
              <w:bottom w:val="single" w:sz="8" w:space="0" w:color="BFBFBF"/>
              <w:right w:val="single" w:sz="8" w:space="0" w:color="BFBFBF"/>
            </w:tcBorders>
            <w:shd w:val="clear" w:color="auto" w:fill="auto"/>
            <w:noWrap/>
            <w:vAlign w:val="center"/>
            <w:hideMark/>
          </w:tcPr>
          <w:p w14:paraId="043B898D" w14:textId="75E633F5" w:rsidR="007F1BF5" w:rsidRPr="009868E8" w:rsidRDefault="00734722" w:rsidP="007F1BF5">
            <w:pPr>
              <w:spacing w:after="0" w:line="240" w:lineRule="auto"/>
              <w:jc w:val="center"/>
              <w:rPr>
                <w:rFonts w:cs="Arial"/>
                <w:sz w:val="18"/>
                <w:szCs w:val="18"/>
              </w:rPr>
            </w:pPr>
            <w:r w:rsidRPr="009868E8">
              <w:rPr>
                <w:rFonts w:cs="Arial"/>
                <w:sz w:val="18"/>
                <w:szCs w:val="18"/>
              </w:rPr>
              <w:t>4,60</w:t>
            </w:r>
            <w:r w:rsidR="007F1BF5" w:rsidRPr="009868E8">
              <w:rPr>
                <w:rFonts w:cs="Arial"/>
                <w:sz w:val="18"/>
                <w:szCs w:val="18"/>
              </w:rPr>
              <w:t>%</w:t>
            </w:r>
          </w:p>
        </w:tc>
      </w:tr>
      <w:tr w:rsidR="007F1BF5" w:rsidRPr="007F1BF5" w14:paraId="56DC4DB5"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7A00F75E"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Crédito al sector privado</w:t>
            </w:r>
          </w:p>
        </w:tc>
        <w:tc>
          <w:tcPr>
            <w:tcW w:w="1511" w:type="dxa"/>
            <w:tcBorders>
              <w:top w:val="nil"/>
              <w:left w:val="nil"/>
              <w:bottom w:val="single" w:sz="8" w:space="0" w:color="BFBFBF"/>
              <w:right w:val="single" w:sz="8" w:space="0" w:color="BFBFBF"/>
            </w:tcBorders>
            <w:shd w:val="clear" w:color="auto" w:fill="auto"/>
            <w:noWrap/>
            <w:vAlign w:val="center"/>
            <w:hideMark/>
          </w:tcPr>
          <w:p w14:paraId="121ED374" w14:textId="77777777" w:rsidR="007F1BF5" w:rsidRPr="009868E8" w:rsidRDefault="007F1BF5" w:rsidP="007F1BF5">
            <w:pPr>
              <w:spacing w:after="0" w:line="240" w:lineRule="auto"/>
              <w:jc w:val="center"/>
              <w:rPr>
                <w:rFonts w:cs="Arial"/>
                <w:sz w:val="18"/>
                <w:szCs w:val="18"/>
              </w:rPr>
            </w:pPr>
            <w:r w:rsidRPr="009868E8">
              <w:rPr>
                <w:rFonts w:cs="Arial"/>
                <w:sz w:val="18"/>
                <w:szCs w:val="18"/>
              </w:rPr>
              <w:t>6,50%</w:t>
            </w:r>
          </w:p>
        </w:tc>
        <w:tc>
          <w:tcPr>
            <w:tcW w:w="1123" w:type="dxa"/>
            <w:tcBorders>
              <w:top w:val="nil"/>
              <w:left w:val="nil"/>
              <w:bottom w:val="single" w:sz="8" w:space="0" w:color="BFBFBF"/>
              <w:right w:val="single" w:sz="8" w:space="0" w:color="BFBFBF"/>
            </w:tcBorders>
            <w:shd w:val="clear" w:color="auto" w:fill="auto"/>
            <w:noWrap/>
            <w:vAlign w:val="center"/>
            <w:hideMark/>
          </w:tcPr>
          <w:p w14:paraId="43A2B7D2" w14:textId="77777777" w:rsidR="007F1BF5" w:rsidRPr="009868E8" w:rsidRDefault="007F1BF5" w:rsidP="007F1BF5">
            <w:pPr>
              <w:spacing w:after="0" w:line="240" w:lineRule="auto"/>
              <w:jc w:val="center"/>
              <w:rPr>
                <w:rFonts w:cs="Arial"/>
                <w:sz w:val="18"/>
                <w:szCs w:val="18"/>
              </w:rPr>
            </w:pPr>
            <w:r w:rsidRPr="009868E8">
              <w:rPr>
                <w:rFonts w:cs="Arial"/>
                <w:sz w:val="18"/>
                <w:szCs w:val="18"/>
              </w:rPr>
              <w:t>2,20%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5472D359" w14:textId="1B643824" w:rsidR="007F1BF5" w:rsidRPr="009868E8" w:rsidRDefault="007F1BF5" w:rsidP="007F1BF5">
            <w:pPr>
              <w:spacing w:after="0" w:line="240" w:lineRule="auto"/>
              <w:jc w:val="center"/>
              <w:rPr>
                <w:rFonts w:cs="Arial"/>
                <w:sz w:val="18"/>
                <w:szCs w:val="18"/>
              </w:rPr>
            </w:pPr>
            <w:r w:rsidRPr="009868E8">
              <w:rPr>
                <w:rFonts w:cs="Arial"/>
                <w:sz w:val="18"/>
                <w:szCs w:val="18"/>
              </w:rPr>
              <w:t>5,</w:t>
            </w:r>
            <w:r w:rsidR="00734722" w:rsidRPr="009868E8">
              <w:rPr>
                <w:rFonts w:cs="Arial"/>
                <w:sz w:val="18"/>
                <w:szCs w:val="18"/>
              </w:rPr>
              <w:t>90</w:t>
            </w:r>
            <w:r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5422D1ED" w14:textId="6ECA738C" w:rsidR="007F1BF5" w:rsidRPr="009868E8" w:rsidRDefault="00734722" w:rsidP="007F1BF5">
            <w:pPr>
              <w:spacing w:after="0" w:line="240" w:lineRule="auto"/>
              <w:jc w:val="center"/>
              <w:rPr>
                <w:rFonts w:cs="Arial"/>
                <w:sz w:val="18"/>
                <w:szCs w:val="18"/>
              </w:rPr>
            </w:pPr>
            <w:r w:rsidRPr="009868E8">
              <w:rPr>
                <w:rFonts w:cs="Arial"/>
                <w:sz w:val="18"/>
                <w:szCs w:val="18"/>
              </w:rPr>
              <w:t>5,0</w:t>
            </w:r>
            <w:r w:rsidR="007F1BF5" w:rsidRPr="009868E8">
              <w:rPr>
                <w:rFonts w:cs="Arial"/>
                <w:sz w:val="18"/>
                <w:szCs w:val="18"/>
              </w:rPr>
              <w:t>0%</w:t>
            </w:r>
          </w:p>
        </w:tc>
      </w:tr>
      <w:tr w:rsidR="007F1BF5" w:rsidRPr="007F1BF5" w14:paraId="1CE91F7A"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5C9E0613"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Moneda nacional</w:t>
            </w:r>
          </w:p>
        </w:tc>
        <w:tc>
          <w:tcPr>
            <w:tcW w:w="1511" w:type="dxa"/>
            <w:tcBorders>
              <w:top w:val="nil"/>
              <w:left w:val="nil"/>
              <w:bottom w:val="single" w:sz="8" w:space="0" w:color="BFBFBF"/>
              <w:right w:val="single" w:sz="8" w:space="0" w:color="BFBFBF"/>
            </w:tcBorders>
            <w:shd w:val="clear" w:color="auto" w:fill="auto"/>
            <w:noWrap/>
            <w:vAlign w:val="center"/>
            <w:hideMark/>
          </w:tcPr>
          <w:p w14:paraId="355BE144"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20DDC9CB" w14:textId="77777777" w:rsidR="007F1BF5" w:rsidRPr="009868E8" w:rsidRDefault="007F1BF5" w:rsidP="007F1BF5">
            <w:pPr>
              <w:spacing w:after="0" w:line="240" w:lineRule="auto"/>
              <w:jc w:val="center"/>
              <w:rPr>
                <w:rFonts w:cs="Arial"/>
                <w:sz w:val="18"/>
                <w:szCs w:val="18"/>
              </w:rPr>
            </w:pPr>
            <w:r w:rsidRPr="009868E8">
              <w:rPr>
                <w:rFonts w:cs="Arial"/>
                <w:sz w:val="18"/>
                <w:szCs w:val="18"/>
              </w:rPr>
              <w:t>4,80%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77932D49" w14:textId="77777777" w:rsidR="007F1BF5" w:rsidRPr="009868E8" w:rsidRDefault="007F1BF5" w:rsidP="007F1BF5">
            <w:pPr>
              <w:spacing w:after="0" w:line="240" w:lineRule="auto"/>
              <w:jc w:val="center"/>
              <w:rPr>
                <w:rFonts w:cs="Arial"/>
                <w:sz w:val="18"/>
                <w:szCs w:val="18"/>
              </w:rPr>
            </w:pPr>
            <w:r w:rsidRPr="009868E8">
              <w:rPr>
                <w:rFonts w:cs="Arial"/>
                <w:sz w:val="18"/>
                <w:szCs w:val="18"/>
              </w:rPr>
              <w:t>8,00%</w:t>
            </w:r>
          </w:p>
        </w:tc>
        <w:tc>
          <w:tcPr>
            <w:tcW w:w="1123" w:type="dxa"/>
            <w:tcBorders>
              <w:top w:val="nil"/>
              <w:left w:val="nil"/>
              <w:bottom w:val="single" w:sz="8" w:space="0" w:color="BFBFBF"/>
              <w:right w:val="single" w:sz="8" w:space="0" w:color="BFBFBF"/>
            </w:tcBorders>
            <w:shd w:val="clear" w:color="auto" w:fill="auto"/>
            <w:noWrap/>
            <w:vAlign w:val="center"/>
            <w:hideMark/>
          </w:tcPr>
          <w:p w14:paraId="643D40BB" w14:textId="67BFC415" w:rsidR="007F1BF5" w:rsidRPr="009868E8" w:rsidRDefault="009962E0" w:rsidP="007F1BF5">
            <w:pPr>
              <w:spacing w:after="0" w:line="240" w:lineRule="auto"/>
              <w:jc w:val="center"/>
              <w:rPr>
                <w:rFonts w:cs="Arial"/>
                <w:sz w:val="18"/>
                <w:szCs w:val="18"/>
              </w:rPr>
            </w:pPr>
            <w:r w:rsidRPr="009868E8">
              <w:rPr>
                <w:rFonts w:cs="Arial"/>
                <w:sz w:val="18"/>
                <w:szCs w:val="18"/>
              </w:rPr>
              <w:t>6</w:t>
            </w:r>
            <w:r w:rsidR="007F1BF5" w:rsidRPr="009868E8">
              <w:rPr>
                <w:rFonts w:cs="Arial"/>
                <w:sz w:val="18"/>
                <w:szCs w:val="18"/>
              </w:rPr>
              <w:t>,30%</w:t>
            </w:r>
          </w:p>
        </w:tc>
      </w:tr>
      <w:tr w:rsidR="007F1BF5" w:rsidRPr="007F1BF5" w14:paraId="45F5E1D6" w14:textId="77777777" w:rsidTr="00927296">
        <w:trPr>
          <w:trHeight w:val="276"/>
        </w:trPr>
        <w:tc>
          <w:tcPr>
            <w:tcW w:w="4458" w:type="dxa"/>
            <w:tcBorders>
              <w:top w:val="nil"/>
              <w:left w:val="single" w:sz="8" w:space="0" w:color="BFBFBF"/>
              <w:bottom w:val="single" w:sz="8" w:space="0" w:color="BFBFBF"/>
              <w:right w:val="single" w:sz="8" w:space="0" w:color="BFBFBF"/>
            </w:tcBorders>
            <w:shd w:val="clear" w:color="auto" w:fill="auto"/>
            <w:noWrap/>
            <w:vAlign w:val="center"/>
            <w:hideMark/>
          </w:tcPr>
          <w:p w14:paraId="3669411F" w14:textId="77777777" w:rsidR="007F1BF5" w:rsidRPr="007F1BF5" w:rsidRDefault="007F1BF5" w:rsidP="007F1BF5">
            <w:pPr>
              <w:spacing w:after="0" w:line="240" w:lineRule="auto"/>
              <w:jc w:val="left"/>
              <w:rPr>
                <w:rFonts w:cs="Arial"/>
                <w:color w:val="000000"/>
                <w:sz w:val="18"/>
                <w:szCs w:val="18"/>
              </w:rPr>
            </w:pPr>
            <w:r w:rsidRPr="007F1BF5">
              <w:rPr>
                <w:rFonts w:cs="Arial"/>
                <w:color w:val="000000"/>
                <w:sz w:val="18"/>
                <w:szCs w:val="18"/>
              </w:rPr>
              <w:t xml:space="preserve">        Moneda extranjera</w:t>
            </w:r>
          </w:p>
        </w:tc>
        <w:tc>
          <w:tcPr>
            <w:tcW w:w="1511" w:type="dxa"/>
            <w:tcBorders>
              <w:top w:val="nil"/>
              <w:left w:val="nil"/>
              <w:bottom w:val="single" w:sz="8" w:space="0" w:color="BFBFBF"/>
              <w:right w:val="single" w:sz="8" w:space="0" w:color="BFBFBF"/>
            </w:tcBorders>
            <w:shd w:val="clear" w:color="auto" w:fill="auto"/>
            <w:noWrap/>
            <w:vAlign w:val="center"/>
            <w:hideMark/>
          </w:tcPr>
          <w:p w14:paraId="7EF405C5" w14:textId="77777777" w:rsidR="007F1BF5" w:rsidRPr="009868E8" w:rsidRDefault="007F1BF5" w:rsidP="007F1BF5">
            <w:pPr>
              <w:spacing w:after="0" w:line="240" w:lineRule="auto"/>
              <w:jc w:val="center"/>
              <w:rPr>
                <w:rFonts w:cs="Arial"/>
                <w:sz w:val="18"/>
                <w:szCs w:val="18"/>
              </w:rPr>
            </w:pPr>
            <w:r w:rsidRPr="009868E8">
              <w:rPr>
                <w:rFonts w:cs="Arial"/>
                <w:sz w:val="18"/>
                <w:szCs w:val="18"/>
              </w:rPr>
              <w:t> </w:t>
            </w:r>
          </w:p>
        </w:tc>
        <w:tc>
          <w:tcPr>
            <w:tcW w:w="1123" w:type="dxa"/>
            <w:tcBorders>
              <w:top w:val="nil"/>
              <w:left w:val="nil"/>
              <w:bottom w:val="single" w:sz="8" w:space="0" w:color="BFBFBF"/>
              <w:right w:val="single" w:sz="8" w:space="0" w:color="BFBFBF"/>
            </w:tcBorders>
            <w:shd w:val="clear" w:color="auto" w:fill="auto"/>
            <w:noWrap/>
            <w:vAlign w:val="center"/>
            <w:hideMark/>
          </w:tcPr>
          <w:p w14:paraId="728E49A7" w14:textId="77777777" w:rsidR="007F1BF5" w:rsidRPr="009868E8" w:rsidRDefault="007F1BF5" w:rsidP="007F1BF5">
            <w:pPr>
              <w:spacing w:after="0" w:line="240" w:lineRule="auto"/>
              <w:jc w:val="center"/>
              <w:rPr>
                <w:rFonts w:cs="Arial"/>
                <w:sz w:val="18"/>
                <w:szCs w:val="18"/>
              </w:rPr>
            </w:pPr>
            <w:r w:rsidRPr="009868E8">
              <w:rPr>
                <w:rFonts w:cs="Arial"/>
                <w:sz w:val="18"/>
                <w:szCs w:val="18"/>
              </w:rPr>
              <w:t>-2,10%</w:t>
            </w:r>
          </w:p>
        </w:tc>
        <w:tc>
          <w:tcPr>
            <w:tcW w:w="1151" w:type="dxa"/>
            <w:gridSpan w:val="2"/>
            <w:tcBorders>
              <w:top w:val="nil"/>
              <w:left w:val="nil"/>
              <w:bottom w:val="single" w:sz="8" w:space="0" w:color="BFBFBF"/>
              <w:right w:val="single" w:sz="8" w:space="0" w:color="BFBFBF"/>
            </w:tcBorders>
            <w:shd w:val="clear" w:color="auto" w:fill="auto"/>
            <w:noWrap/>
            <w:vAlign w:val="center"/>
            <w:hideMark/>
          </w:tcPr>
          <w:p w14:paraId="57AC8BDF" w14:textId="42D24E24" w:rsidR="007F1BF5" w:rsidRPr="009868E8" w:rsidRDefault="009962E0" w:rsidP="007F1BF5">
            <w:pPr>
              <w:spacing w:after="0" w:line="240" w:lineRule="auto"/>
              <w:jc w:val="center"/>
              <w:rPr>
                <w:rFonts w:cs="Arial"/>
                <w:sz w:val="18"/>
                <w:szCs w:val="18"/>
              </w:rPr>
            </w:pPr>
            <w:r w:rsidRPr="009868E8">
              <w:rPr>
                <w:rFonts w:cs="Arial"/>
                <w:sz w:val="18"/>
                <w:szCs w:val="18"/>
              </w:rPr>
              <w:t>2,30</w:t>
            </w:r>
            <w:r w:rsidR="007F1BF5" w:rsidRPr="009868E8">
              <w:rPr>
                <w:rFonts w:cs="Arial"/>
                <w:sz w:val="18"/>
                <w:szCs w:val="18"/>
              </w:rPr>
              <w:t>%</w:t>
            </w:r>
          </w:p>
        </w:tc>
        <w:tc>
          <w:tcPr>
            <w:tcW w:w="1123" w:type="dxa"/>
            <w:tcBorders>
              <w:top w:val="nil"/>
              <w:left w:val="nil"/>
              <w:bottom w:val="single" w:sz="8" w:space="0" w:color="BFBFBF"/>
              <w:right w:val="single" w:sz="8" w:space="0" w:color="BFBFBF"/>
            </w:tcBorders>
            <w:shd w:val="clear" w:color="auto" w:fill="auto"/>
            <w:noWrap/>
            <w:vAlign w:val="center"/>
            <w:hideMark/>
          </w:tcPr>
          <w:p w14:paraId="117EBBC3" w14:textId="190CA63A" w:rsidR="007F1BF5" w:rsidRPr="009868E8" w:rsidRDefault="009962E0" w:rsidP="007F1BF5">
            <w:pPr>
              <w:spacing w:after="0" w:line="240" w:lineRule="auto"/>
              <w:jc w:val="center"/>
              <w:rPr>
                <w:rFonts w:cs="Arial"/>
                <w:sz w:val="18"/>
                <w:szCs w:val="18"/>
              </w:rPr>
            </w:pPr>
            <w:r w:rsidRPr="009868E8">
              <w:rPr>
                <w:rFonts w:cs="Arial"/>
                <w:sz w:val="18"/>
                <w:szCs w:val="18"/>
              </w:rPr>
              <w:t>2,50</w:t>
            </w:r>
            <w:r w:rsidR="007F1BF5" w:rsidRPr="009868E8">
              <w:rPr>
                <w:rFonts w:cs="Arial"/>
                <w:sz w:val="18"/>
                <w:szCs w:val="18"/>
              </w:rPr>
              <w:t>%</w:t>
            </w:r>
          </w:p>
        </w:tc>
      </w:tr>
    </w:tbl>
    <w:p w14:paraId="04E598DA" w14:textId="77777777" w:rsidR="00E20AFA" w:rsidRPr="006E6390" w:rsidRDefault="000A6743" w:rsidP="00E42883">
      <w:pPr>
        <w:pStyle w:val="Sinespaciado"/>
        <w:tabs>
          <w:tab w:val="left" w:pos="9270"/>
        </w:tabs>
        <w:spacing w:line="276" w:lineRule="auto"/>
        <w:ind w:left="180"/>
        <w:rPr>
          <w:rFonts w:ascii="Arial" w:hAnsi="Arial" w:cs="Arial"/>
          <w:sz w:val="20"/>
          <w:szCs w:val="20"/>
          <w:lang w:val="es-ES" w:eastAsia="es-ES"/>
        </w:rPr>
      </w:pPr>
      <w:r w:rsidRPr="006E6390">
        <w:rPr>
          <w:rFonts w:ascii="Arial" w:hAnsi="Arial" w:cs="Arial"/>
          <w:sz w:val="20"/>
          <w:szCs w:val="20"/>
          <w:lang w:val="es-ES" w:eastAsia="es-ES"/>
        </w:rPr>
        <w:t>*</w:t>
      </w:r>
      <w:r w:rsidR="00E42883" w:rsidRPr="006E6390">
        <w:t xml:space="preserve"> </w:t>
      </w:r>
      <w:r w:rsidR="00E42883" w:rsidRPr="006E6390">
        <w:rPr>
          <w:rFonts w:ascii="Arial" w:hAnsi="Arial" w:cs="Arial"/>
          <w:sz w:val="20"/>
          <w:szCs w:val="20"/>
          <w:lang w:val="es-ES" w:eastAsia="es-ES"/>
        </w:rPr>
        <w:t xml:space="preserve">Nota: </w:t>
      </w:r>
      <w:r w:rsidR="007F1BF5" w:rsidRPr="007F1BF5">
        <w:rPr>
          <w:rFonts w:ascii="Arial" w:hAnsi="Arial" w:cs="Arial"/>
          <w:sz w:val="20"/>
          <w:szCs w:val="20"/>
          <w:lang w:val="es-ES" w:eastAsia="es-ES"/>
        </w:rPr>
        <w:t>La deuda GC/PIB corresponde al promedio 2018-2020</w:t>
      </w:r>
      <w:r w:rsidR="00E42883" w:rsidRPr="006E6390">
        <w:rPr>
          <w:rFonts w:ascii="Arial" w:hAnsi="Arial" w:cs="Arial"/>
          <w:sz w:val="20"/>
          <w:szCs w:val="20"/>
          <w:lang w:val="es-ES" w:eastAsia="es-ES"/>
        </w:rPr>
        <w:t>.</w:t>
      </w:r>
    </w:p>
    <w:p w14:paraId="772588F5" w14:textId="77777777" w:rsidR="00E42883" w:rsidRPr="007F1BF5" w:rsidRDefault="00E42883" w:rsidP="00E42883">
      <w:pPr>
        <w:pStyle w:val="Sinespaciado"/>
        <w:tabs>
          <w:tab w:val="left" w:pos="9270"/>
        </w:tabs>
        <w:spacing w:line="276" w:lineRule="auto"/>
        <w:ind w:left="180"/>
        <w:rPr>
          <w:rFonts w:ascii="Arial" w:hAnsi="Arial" w:cs="Arial"/>
          <w:sz w:val="22"/>
          <w:lang w:val="es-ES"/>
        </w:rPr>
      </w:pPr>
    </w:p>
    <w:p w14:paraId="76040DD2" w14:textId="77777777" w:rsidR="005B390E" w:rsidRPr="006E6390" w:rsidRDefault="005B390E" w:rsidP="00F275AD">
      <w:pPr>
        <w:pStyle w:val="Prrafodelista"/>
        <w:numPr>
          <w:ilvl w:val="0"/>
          <w:numId w:val="28"/>
        </w:numPr>
        <w:rPr>
          <w:rFonts w:cs="Arial"/>
          <w:b/>
        </w:rPr>
      </w:pPr>
      <w:r w:rsidRPr="006E6390">
        <w:rPr>
          <w:rFonts w:cs="Arial"/>
          <w:b/>
        </w:rPr>
        <w:t>Riesgo de tipo de cambio</w:t>
      </w:r>
    </w:p>
    <w:p w14:paraId="14932402" w14:textId="08DCE584" w:rsidR="005B390E" w:rsidRDefault="005B390E" w:rsidP="005D448C">
      <w:pPr>
        <w:spacing w:after="0"/>
        <w:rPr>
          <w:rFonts w:cs="Arial"/>
          <w:lang w:eastAsia="es-MX"/>
        </w:rPr>
      </w:pPr>
      <w:r w:rsidRPr="006E6390">
        <w:rPr>
          <w:rFonts w:cs="Arial"/>
          <w:lang w:eastAsia="es-MX"/>
        </w:rPr>
        <w:t>El riesgo cambiario se define como la incertidumbre generada por las fluctuaciones en el tipo de cambio entre la moneda local y alguna moneda externa y conforme la empresa no muestre un equilibrio entre sus activos y pasivos denominados en la moneda externa.</w:t>
      </w:r>
      <w:r w:rsidR="00441F3F" w:rsidRPr="006E6390">
        <w:rPr>
          <w:rFonts w:cs="Arial"/>
          <w:lang w:eastAsia="es-MX"/>
        </w:rPr>
        <w:t xml:space="preserve"> </w:t>
      </w:r>
      <w:r w:rsidRPr="006E6390">
        <w:rPr>
          <w:rFonts w:cs="Arial"/>
          <w:lang w:eastAsia="es-MX"/>
        </w:rPr>
        <w:t xml:space="preserve"> Si la empresa muestra una exposición cambiaria negativa (mayores pasivos que activos en moneda extranjera), un aumento en el tipo de cambio implica que la empresa debe de reflejar pérdidas cambiarias en sus resultados. </w:t>
      </w:r>
      <w:r w:rsidR="00441F3F" w:rsidRPr="006E6390">
        <w:rPr>
          <w:rFonts w:cs="Arial"/>
          <w:lang w:eastAsia="es-MX"/>
        </w:rPr>
        <w:t xml:space="preserve"> </w:t>
      </w:r>
      <w:r w:rsidRPr="006E6390">
        <w:rPr>
          <w:rFonts w:cs="Arial"/>
          <w:lang w:eastAsia="es-MX"/>
        </w:rPr>
        <w:t>RECOPE tiene financiamientos fundamentalmente en dólares.</w:t>
      </w:r>
    </w:p>
    <w:p w14:paraId="1D5DAA7C" w14:textId="77777777" w:rsidR="00614703" w:rsidRPr="006E6390" w:rsidRDefault="00614703" w:rsidP="005D448C">
      <w:pPr>
        <w:spacing w:after="0"/>
        <w:rPr>
          <w:rFonts w:cs="Arial"/>
          <w:lang w:eastAsia="es-MX"/>
        </w:rPr>
      </w:pPr>
    </w:p>
    <w:p w14:paraId="6BD917CC" w14:textId="77777777" w:rsidR="005B390E" w:rsidRDefault="005B390E" w:rsidP="002A70BB">
      <w:pPr>
        <w:spacing w:after="0"/>
        <w:rPr>
          <w:rFonts w:cs="Arial"/>
          <w:lang w:eastAsia="es-MX"/>
        </w:rPr>
      </w:pPr>
      <w:r w:rsidRPr="006E6390">
        <w:rPr>
          <w:rFonts w:cs="Arial"/>
          <w:lang w:eastAsia="es-MX"/>
        </w:rPr>
        <w:t xml:space="preserve">Adicionalmente las fluctuaciones en el tipo de cambio pueden generar menores flujos de efectivo. </w:t>
      </w:r>
      <w:r w:rsidR="00441F3F" w:rsidRPr="006E6390">
        <w:rPr>
          <w:rFonts w:cs="Arial"/>
          <w:lang w:eastAsia="es-MX"/>
        </w:rPr>
        <w:t xml:space="preserve"> </w:t>
      </w:r>
      <w:r w:rsidRPr="006E6390">
        <w:rPr>
          <w:rFonts w:cs="Arial"/>
          <w:lang w:eastAsia="es-MX"/>
        </w:rPr>
        <w:t xml:space="preserve">Por ejemplo, si los inventarios de una empresa se compran en moneda extranjera, las fluctuaciones en el tipo de cambio pueden generar ganancias menores si la empresa no puede trasladar el aumento en el costo de ventas producto del aumento en el precio de la materia prima por variación en el tipo de cambio. </w:t>
      </w:r>
    </w:p>
    <w:p w14:paraId="0272DA5C" w14:textId="77777777" w:rsidR="002A70BB" w:rsidRDefault="002A70BB" w:rsidP="004A26B9">
      <w:pPr>
        <w:rPr>
          <w:rFonts w:cs="Arial"/>
          <w:lang w:eastAsia="es-MX"/>
        </w:rPr>
      </w:pPr>
    </w:p>
    <w:p w14:paraId="0B2FA89B" w14:textId="77777777" w:rsidR="002A70BB" w:rsidRPr="006E6390" w:rsidRDefault="002A70BB" w:rsidP="002A70BB">
      <w:pPr>
        <w:spacing w:after="0"/>
        <w:rPr>
          <w:rFonts w:cs="Arial"/>
          <w:lang w:eastAsia="es-MX"/>
        </w:rPr>
      </w:pPr>
    </w:p>
    <w:p w14:paraId="3E640A18" w14:textId="77777777" w:rsidR="005B390E" w:rsidRPr="006E6390" w:rsidRDefault="005B390E" w:rsidP="00F275AD">
      <w:pPr>
        <w:pStyle w:val="Prrafodelista"/>
        <w:numPr>
          <w:ilvl w:val="0"/>
          <w:numId w:val="28"/>
        </w:numPr>
        <w:rPr>
          <w:rFonts w:cs="Arial"/>
          <w:b/>
        </w:rPr>
      </w:pPr>
      <w:r w:rsidRPr="006E6390">
        <w:rPr>
          <w:rFonts w:cs="Arial"/>
          <w:b/>
        </w:rPr>
        <w:t>Riesgo de tasas de interés</w:t>
      </w:r>
    </w:p>
    <w:p w14:paraId="1EE405A4" w14:textId="20C3387D" w:rsidR="005B390E" w:rsidRDefault="005B390E" w:rsidP="005D448C">
      <w:pPr>
        <w:spacing w:after="0"/>
        <w:rPr>
          <w:rFonts w:cs="Arial"/>
          <w:lang w:eastAsia="es-MX"/>
        </w:rPr>
      </w:pPr>
      <w:r w:rsidRPr="006E6390">
        <w:rPr>
          <w:rFonts w:cs="Arial"/>
          <w:lang w:eastAsia="es-MX"/>
        </w:rPr>
        <w:t xml:space="preserve">Las fluctuaciones en las tasas de interés, tanto locales como internacionales, representan un riesgo para el desempeño de cualquier empresa. </w:t>
      </w:r>
      <w:r w:rsidR="00441F3F" w:rsidRPr="006E6390">
        <w:rPr>
          <w:rFonts w:cs="Arial"/>
          <w:lang w:eastAsia="es-MX"/>
        </w:rPr>
        <w:t xml:space="preserve"> </w:t>
      </w:r>
      <w:r w:rsidRPr="006E6390">
        <w:rPr>
          <w:rFonts w:cs="Arial"/>
          <w:lang w:eastAsia="es-MX"/>
        </w:rPr>
        <w:t xml:space="preserve">Una variación en dichas tasas podría afectar positiva o negativamente sus resultados, en el tanto la carga financiera asociada con sus deudas aumente o disminuya. </w:t>
      </w:r>
      <w:r w:rsidR="00441F3F" w:rsidRPr="006E6390">
        <w:rPr>
          <w:rFonts w:cs="Arial"/>
          <w:lang w:eastAsia="es-MX"/>
        </w:rPr>
        <w:t xml:space="preserve"> </w:t>
      </w:r>
      <w:r w:rsidRPr="00ED6830">
        <w:rPr>
          <w:rFonts w:cs="Arial"/>
          <w:lang w:eastAsia="es-MX"/>
        </w:rPr>
        <w:t>Por ejemplo, un aumento en las tasas de interés socavaría los resultados financieros, ya que en términos generales el costo de las deudas está referido al nivel de tasas de interés como por ejemplo la LIBOR, Prime Rate y la Tasa Básica Pasiva calculada por el Banco Central de Costa Rica.</w:t>
      </w:r>
    </w:p>
    <w:p w14:paraId="7C5AE959" w14:textId="77777777" w:rsidR="00614703" w:rsidRPr="006E6390" w:rsidRDefault="00614703" w:rsidP="004A26B9">
      <w:pPr>
        <w:rPr>
          <w:rFonts w:cs="Arial"/>
          <w:lang w:eastAsia="es-MX"/>
        </w:rPr>
      </w:pPr>
    </w:p>
    <w:p w14:paraId="2CB92159" w14:textId="77777777" w:rsidR="005B390E" w:rsidRPr="006E6390" w:rsidRDefault="005B390E" w:rsidP="00F275AD">
      <w:pPr>
        <w:pStyle w:val="Prrafodelista"/>
        <w:numPr>
          <w:ilvl w:val="0"/>
          <w:numId w:val="28"/>
        </w:numPr>
        <w:rPr>
          <w:rFonts w:cs="Arial"/>
          <w:b/>
        </w:rPr>
      </w:pPr>
      <w:r w:rsidRPr="006E6390">
        <w:rPr>
          <w:rFonts w:cs="Arial"/>
          <w:b/>
        </w:rPr>
        <w:t>Riesgo por inflación</w:t>
      </w:r>
    </w:p>
    <w:p w14:paraId="554112B8" w14:textId="6F2700D0" w:rsidR="005B390E" w:rsidRDefault="005B390E" w:rsidP="005D448C">
      <w:pPr>
        <w:spacing w:after="0"/>
        <w:rPr>
          <w:rFonts w:cs="Arial"/>
          <w:lang w:eastAsia="es-MX"/>
        </w:rPr>
      </w:pPr>
      <w:r w:rsidRPr="006E6390">
        <w:rPr>
          <w:rFonts w:cs="Arial"/>
          <w:lang w:eastAsia="es-MX"/>
        </w:rPr>
        <w:t xml:space="preserve">La economía de un país puede verse afectada por el incremento generalizado de los precios de los bienes y servicios de dicha economía. </w:t>
      </w:r>
      <w:r w:rsidR="00441F3F" w:rsidRPr="006E6390">
        <w:rPr>
          <w:rFonts w:cs="Arial"/>
          <w:lang w:eastAsia="es-MX"/>
        </w:rPr>
        <w:t xml:space="preserve"> </w:t>
      </w:r>
      <w:r w:rsidRPr="006E6390">
        <w:rPr>
          <w:rFonts w:cs="Arial"/>
          <w:lang w:eastAsia="es-MX"/>
        </w:rPr>
        <w:t xml:space="preserve">Este efecto es conocido como inflación. </w:t>
      </w:r>
      <w:r w:rsidR="00441F3F" w:rsidRPr="006E6390">
        <w:rPr>
          <w:rFonts w:cs="Arial"/>
          <w:lang w:eastAsia="es-MX"/>
        </w:rPr>
        <w:t xml:space="preserve"> </w:t>
      </w:r>
      <w:r w:rsidRPr="006E6390">
        <w:rPr>
          <w:rFonts w:cs="Arial"/>
          <w:lang w:eastAsia="es-MX"/>
        </w:rPr>
        <w:t xml:space="preserve">Altos niveles de inflación podrían afectar los niveles de tasas de interés, dado que entre mayor la inflación, mayor es la rentabilidad que un inversionista normalmente le exige a un título valor. </w:t>
      </w:r>
    </w:p>
    <w:p w14:paraId="46571330" w14:textId="77777777" w:rsidR="00614703" w:rsidRPr="006E6390" w:rsidRDefault="00614703" w:rsidP="005D448C">
      <w:pPr>
        <w:spacing w:after="0"/>
        <w:rPr>
          <w:rFonts w:cs="Arial"/>
          <w:lang w:eastAsia="es-MX"/>
        </w:rPr>
      </w:pPr>
    </w:p>
    <w:p w14:paraId="3C78104F" w14:textId="1551CF2C" w:rsidR="005B390E" w:rsidRDefault="005B390E" w:rsidP="005D448C">
      <w:pPr>
        <w:spacing w:after="0"/>
        <w:rPr>
          <w:rFonts w:cs="Arial"/>
          <w:lang w:eastAsia="es-MX"/>
        </w:rPr>
      </w:pPr>
      <w:r w:rsidRPr="006E6390">
        <w:rPr>
          <w:rFonts w:cs="Arial"/>
          <w:lang w:eastAsia="es-MX"/>
        </w:rPr>
        <w:t>Esto representa un riesgo para el inversionista, ya que al cambiar la rentabilidad exigida a un título valor, el precio de dicho título cambiará de manera inversa.</w:t>
      </w:r>
    </w:p>
    <w:p w14:paraId="6D2BC806" w14:textId="77777777" w:rsidR="00614703" w:rsidRPr="006E6390" w:rsidRDefault="00614703" w:rsidP="004A26B9">
      <w:pPr>
        <w:rPr>
          <w:rFonts w:cs="Arial"/>
          <w:lang w:eastAsia="es-MX"/>
        </w:rPr>
      </w:pPr>
    </w:p>
    <w:p w14:paraId="65167D04" w14:textId="77777777" w:rsidR="005B390E" w:rsidRPr="006E6390" w:rsidRDefault="005B390E" w:rsidP="008F23AD">
      <w:pPr>
        <w:pStyle w:val="Ttulo3"/>
        <w:rPr>
          <w:rFonts w:cs="Arial"/>
        </w:rPr>
      </w:pPr>
      <w:bookmarkStart w:id="63" w:name="_Toc38630788"/>
      <w:r w:rsidRPr="006E6390">
        <w:rPr>
          <w:rFonts w:cs="Arial"/>
        </w:rPr>
        <w:t>2.1.5</w:t>
      </w:r>
      <w:r w:rsidR="00A308FE" w:rsidRPr="006E6390">
        <w:rPr>
          <w:rFonts w:cs="Arial"/>
        </w:rPr>
        <w:t>.</w:t>
      </w:r>
      <w:r w:rsidRPr="006E6390">
        <w:rPr>
          <w:rFonts w:cs="Arial"/>
        </w:rPr>
        <w:t xml:space="preserve"> Administración de riesgos</w:t>
      </w:r>
      <w:bookmarkEnd w:id="63"/>
    </w:p>
    <w:p w14:paraId="2AC6E5E2" w14:textId="0726FC75" w:rsidR="005B390E" w:rsidRDefault="005B390E" w:rsidP="005D448C">
      <w:pPr>
        <w:spacing w:after="0"/>
        <w:rPr>
          <w:rFonts w:cs="Arial"/>
          <w:lang w:eastAsia="es-MX"/>
        </w:rPr>
      </w:pPr>
      <w:r w:rsidRPr="006E6390">
        <w:rPr>
          <w:rFonts w:cs="Arial"/>
          <w:lang w:eastAsia="es-MX"/>
        </w:rPr>
        <w:t>RECOPE ha implementado medidas en algunos riesgos antes descritos, con el objetivo de administrar su variabilidad. Dichas medidas se describen a continuación:</w:t>
      </w:r>
    </w:p>
    <w:p w14:paraId="7DAFB671" w14:textId="77777777" w:rsidR="00F23A0A" w:rsidRPr="006E6390" w:rsidRDefault="00F23A0A" w:rsidP="004A26B9">
      <w:pPr>
        <w:rPr>
          <w:rFonts w:cs="Arial"/>
          <w:lang w:eastAsia="es-MX"/>
        </w:rPr>
      </w:pPr>
    </w:p>
    <w:p w14:paraId="2B6DEA5E" w14:textId="77777777" w:rsidR="005B390E" w:rsidRPr="006E6390" w:rsidRDefault="005B390E" w:rsidP="000A1A94">
      <w:pPr>
        <w:pStyle w:val="Prrafodelista"/>
        <w:numPr>
          <w:ilvl w:val="0"/>
          <w:numId w:val="38"/>
        </w:numPr>
        <w:rPr>
          <w:rFonts w:cs="Arial"/>
          <w:b/>
        </w:rPr>
      </w:pPr>
      <w:r w:rsidRPr="006E6390">
        <w:rPr>
          <w:rFonts w:cs="Arial"/>
          <w:b/>
        </w:rPr>
        <w:t>R</w:t>
      </w:r>
      <w:r w:rsidR="00AF68A7" w:rsidRPr="006E6390">
        <w:rPr>
          <w:rFonts w:cs="Arial"/>
          <w:b/>
        </w:rPr>
        <w:t>iesgo concentración de clientes</w:t>
      </w:r>
    </w:p>
    <w:p w14:paraId="32C4D4C4" w14:textId="080790AF" w:rsidR="005B390E" w:rsidRDefault="00624E95" w:rsidP="005D448C">
      <w:pPr>
        <w:spacing w:after="0"/>
        <w:rPr>
          <w:rFonts w:cs="Arial"/>
          <w:lang w:eastAsia="es-MX"/>
        </w:rPr>
      </w:pPr>
      <w:r w:rsidRPr="006E6390">
        <w:rPr>
          <w:rFonts w:cs="Arial"/>
          <w:lang w:eastAsia="es-MX"/>
        </w:rPr>
        <w:t>En relación con</w:t>
      </w:r>
      <w:r w:rsidR="005B390E" w:rsidRPr="006E6390">
        <w:rPr>
          <w:rFonts w:cs="Arial"/>
          <w:lang w:eastAsia="es-MX"/>
        </w:rPr>
        <w:t xml:space="preserve"> la concentración de clientes, en virtud de la Ley No.7356, RECOPE es la única empresa que puede realizar la importación, refinación y distribución a granel de petróleo crudo y sus derivados; por lo que, en la actualidad, atiende al universo de clientes que realizan compras a granel de los distintos segmentos y productos que ofrece. Adicionalmente, debe considerarse que el abastecimiento de combustibles es una actividad regulada, por lo que ningún cliente puede demandar precios diferenciados</w:t>
      </w:r>
      <w:r w:rsidR="001E5229" w:rsidRPr="006E6390">
        <w:rPr>
          <w:rFonts w:cs="Arial"/>
          <w:lang w:eastAsia="es-MX"/>
        </w:rPr>
        <w:t>.</w:t>
      </w:r>
    </w:p>
    <w:p w14:paraId="254638EE" w14:textId="77777777" w:rsidR="00F23A0A" w:rsidRPr="006E6390" w:rsidRDefault="00F23A0A" w:rsidP="004A26B9">
      <w:pPr>
        <w:rPr>
          <w:rFonts w:cs="Arial"/>
          <w:lang w:eastAsia="es-MX"/>
        </w:rPr>
      </w:pPr>
    </w:p>
    <w:p w14:paraId="44233B05" w14:textId="77777777" w:rsidR="005B390E" w:rsidRPr="006E6390" w:rsidRDefault="00AF68A7" w:rsidP="000A1A94">
      <w:pPr>
        <w:pStyle w:val="Prrafodelista"/>
        <w:numPr>
          <w:ilvl w:val="0"/>
          <w:numId w:val="38"/>
        </w:numPr>
        <w:rPr>
          <w:rFonts w:cs="Arial"/>
          <w:b/>
        </w:rPr>
      </w:pPr>
      <w:r w:rsidRPr="006E6390">
        <w:rPr>
          <w:rFonts w:cs="Arial"/>
          <w:b/>
        </w:rPr>
        <w:t>Riesgo inventarios</w:t>
      </w:r>
    </w:p>
    <w:p w14:paraId="169C042A" w14:textId="77777777" w:rsidR="005B390E" w:rsidRDefault="005B390E" w:rsidP="002A70BB">
      <w:pPr>
        <w:spacing w:after="0"/>
        <w:rPr>
          <w:rFonts w:cs="Arial"/>
          <w:lang w:eastAsia="es-MX"/>
        </w:rPr>
      </w:pPr>
      <w:r w:rsidRPr="006E6390">
        <w:rPr>
          <w:rFonts w:cs="Arial"/>
          <w:lang w:eastAsia="es-MX"/>
        </w:rPr>
        <w:t xml:space="preserve">El procedimiento vigente de fijación de precios de los combustibles estipulado por la ARESEP indexa el precio de venta interno al precio internacional y al tipo de cambio del colón con respecto al dólar de los Estados Unidos de América, con lo cual se cubre la volatilidad en el valor de los inventarios. </w:t>
      </w:r>
      <w:r w:rsidR="00441F3F" w:rsidRPr="006E6390">
        <w:rPr>
          <w:rFonts w:cs="Arial"/>
          <w:lang w:eastAsia="es-MX"/>
        </w:rPr>
        <w:t xml:space="preserve"> </w:t>
      </w:r>
      <w:r w:rsidRPr="006E6390">
        <w:rPr>
          <w:rFonts w:cs="Arial"/>
          <w:lang w:eastAsia="es-MX"/>
        </w:rPr>
        <w:t xml:space="preserve">Dicha modificación se realiza de manera mensual, pero con un </w:t>
      </w:r>
      <w:r w:rsidRPr="006E6390">
        <w:rPr>
          <w:rFonts w:cs="Arial"/>
          <w:lang w:eastAsia="es-MX"/>
        </w:rPr>
        <w:lastRenderedPageBreak/>
        <w:t xml:space="preserve">rezago de aproximadamente un mes; por lo que la fórmula de precios incorpora un ajuste semestral por ese concepto. </w:t>
      </w:r>
    </w:p>
    <w:p w14:paraId="7A586E76" w14:textId="77777777" w:rsidR="002A70BB" w:rsidRDefault="002A70BB" w:rsidP="005D448C">
      <w:pPr>
        <w:rPr>
          <w:rFonts w:cs="Arial"/>
          <w:lang w:eastAsia="es-MX"/>
        </w:rPr>
      </w:pPr>
    </w:p>
    <w:p w14:paraId="6A91DACA" w14:textId="77777777" w:rsidR="005B390E" w:rsidRPr="006E6390" w:rsidRDefault="00AF68A7" w:rsidP="000A1A94">
      <w:pPr>
        <w:pStyle w:val="Prrafodelista"/>
        <w:numPr>
          <w:ilvl w:val="0"/>
          <w:numId w:val="38"/>
        </w:numPr>
        <w:rPr>
          <w:rFonts w:cs="Arial"/>
          <w:b/>
        </w:rPr>
      </w:pPr>
      <w:r w:rsidRPr="006E6390">
        <w:rPr>
          <w:rFonts w:cs="Arial"/>
          <w:b/>
        </w:rPr>
        <w:t>Riesgo tipo de cambio</w:t>
      </w:r>
    </w:p>
    <w:p w14:paraId="78835D95" w14:textId="14368B7C" w:rsidR="005B390E" w:rsidRDefault="00624E95" w:rsidP="005D448C">
      <w:pPr>
        <w:spacing w:after="0"/>
        <w:rPr>
          <w:rFonts w:cs="Arial"/>
          <w:lang w:eastAsia="es-MX"/>
        </w:rPr>
      </w:pPr>
      <w:r w:rsidRPr="006E6390">
        <w:rPr>
          <w:rFonts w:cs="Arial"/>
          <w:lang w:eastAsia="es-MX"/>
        </w:rPr>
        <w:t>En relación con el</w:t>
      </w:r>
      <w:r w:rsidR="005B390E" w:rsidRPr="006E6390">
        <w:rPr>
          <w:rFonts w:cs="Arial"/>
          <w:lang w:eastAsia="es-MX"/>
        </w:rPr>
        <w:t xml:space="preserve"> riesgo que existe de no poder trasladar al cliente, los aumentos en el precio de los inventarios (producto de incrementos en el tipo de cambio), que se compran en moneda extranjera, en el caso de RECOPE, las variaciones en el tipo de cambio se consideran en las fijaciones de precios </w:t>
      </w:r>
      <w:r w:rsidR="00542BCC" w:rsidRPr="006E6390">
        <w:rPr>
          <w:rFonts w:cs="Arial"/>
          <w:lang w:eastAsia="es-MX"/>
        </w:rPr>
        <w:t xml:space="preserve">extraordinarias </w:t>
      </w:r>
      <w:r w:rsidR="005B390E" w:rsidRPr="006E6390">
        <w:rPr>
          <w:rFonts w:cs="Arial"/>
          <w:lang w:eastAsia="es-MX"/>
        </w:rPr>
        <w:t>que se realizan una vez al mes.</w:t>
      </w:r>
    </w:p>
    <w:p w14:paraId="0B91CA86" w14:textId="77777777" w:rsidR="00F23A0A" w:rsidRPr="006E6390" w:rsidRDefault="00F23A0A" w:rsidP="004A26B9">
      <w:pPr>
        <w:rPr>
          <w:rFonts w:cs="Arial"/>
          <w:lang w:eastAsia="es-MX"/>
        </w:rPr>
      </w:pPr>
    </w:p>
    <w:p w14:paraId="62AA140A" w14:textId="77777777" w:rsidR="005B390E" w:rsidRPr="006E6390" w:rsidRDefault="005B390E" w:rsidP="000A1A94">
      <w:pPr>
        <w:pStyle w:val="Prrafodelista"/>
        <w:numPr>
          <w:ilvl w:val="0"/>
          <w:numId w:val="38"/>
        </w:numPr>
        <w:rPr>
          <w:rFonts w:cs="Arial"/>
          <w:b/>
        </w:rPr>
      </w:pPr>
      <w:r w:rsidRPr="006E6390">
        <w:rPr>
          <w:rFonts w:cs="Arial"/>
          <w:b/>
        </w:rPr>
        <w:t>Riesgo por</w:t>
      </w:r>
      <w:r w:rsidR="00AF68A7" w:rsidRPr="006E6390">
        <w:rPr>
          <w:rFonts w:cs="Arial"/>
          <w:b/>
        </w:rPr>
        <w:t xml:space="preserve"> cambios en patrones de consumo</w:t>
      </w:r>
    </w:p>
    <w:p w14:paraId="31CFA7AA" w14:textId="49B05DE7" w:rsidR="005B390E" w:rsidRDefault="005B390E" w:rsidP="005D448C">
      <w:pPr>
        <w:spacing w:after="0"/>
        <w:rPr>
          <w:rFonts w:cs="Arial"/>
          <w:lang w:eastAsia="es-MX"/>
        </w:rPr>
      </w:pPr>
      <w:r w:rsidRPr="006E6390">
        <w:rPr>
          <w:rFonts w:cs="Arial"/>
          <w:lang w:eastAsia="es-MX"/>
        </w:rPr>
        <w:t xml:space="preserve">Sobre la tendencia existente </w:t>
      </w:r>
      <w:r w:rsidR="00624E95" w:rsidRPr="006E6390">
        <w:rPr>
          <w:rFonts w:cs="Arial"/>
          <w:lang w:eastAsia="es-MX"/>
        </w:rPr>
        <w:t>con relación a</w:t>
      </w:r>
      <w:r w:rsidRPr="006E6390">
        <w:rPr>
          <w:rFonts w:cs="Arial"/>
          <w:lang w:eastAsia="es-MX"/>
        </w:rPr>
        <w:t xml:space="preserve"> nuevas fuentes energéticas que sean amigables con el ambiente, RECOPE ha venido desarrollando tecnologías que permitan utilizar fuentes alternativas de energía y que pueden llevar a la sustitución parcial de fuentes tradicionales como el petróleo. </w:t>
      </w:r>
    </w:p>
    <w:p w14:paraId="0E0F50F2" w14:textId="77777777" w:rsidR="00F23A0A" w:rsidRPr="006E6390" w:rsidRDefault="00F23A0A" w:rsidP="004A26B9">
      <w:pPr>
        <w:rPr>
          <w:rFonts w:cs="Arial"/>
          <w:lang w:eastAsia="es-MX"/>
        </w:rPr>
      </w:pPr>
    </w:p>
    <w:p w14:paraId="065FEB0B" w14:textId="77777777" w:rsidR="005B390E" w:rsidRPr="006E6390" w:rsidRDefault="00AF68A7" w:rsidP="000A1A94">
      <w:pPr>
        <w:pStyle w:val="Prrafodelista"/>
        <w:numPr>
          <w:ilvl w:val="0"/>
          <w:numId w:val="38"/>
        </w:numPr>
        <w:rPr>
          <w:rFonts w:cs="Arial"/>
          <w:b/>
        </w:rPr>
      </w:pPr>
      <w:r w:rsidRPr="006E6390">
        <w:rPr>
          <w:rFonts w:cs="Arial"/>
          <w:b/>
        </w:rPr>
        <w:t>Riesgo tecnológico</w:t>
      </w:r>
    </w:p>
    <w:p w14:paraId="28C8C702" w14:textId="3986C5DE" w:rsidR="005B390E" w:rsidRPr="00F23A0A" w:rsidRDefault="005B390E" w:rsidP="005D448C">
      <w:pPr>
        <w:spacing w:after="0"/>
        <w:rPr>
          <w:rFonts w:cs="Arial"/>
          <w:lang w:eastAsia="es-MX"/>
        </w:rPr>
      </w:pPr>
      <w:r w:rsidRPr="006E6390">
        <w:rPr>
          <w:rFonts w:cs="Arial"/>
          <w:lang w:eastAsia="es-MX"/>
        </w:rPr>
        <w:t>En relación a los riesgos tecnológicos, RECOPE realiza una mejora continua de la tecnología en la infraestructura tecnológica de la Empresa, a través de a) análisis de vulnerabilidad de acceso a redes, b) disponibilidad del manejo de la comunicación interpersonal, c) definición de un sistema de continuidad del negocio con un sitio remoto, discos espejo y sistemas redundantes de comunicación para la protección de la información empresarial crítica, d) acceso dual a Internet en sitios críticos (ICE-Rasca) y satelital en Limón, e) Establecimiento de almacenamiento en la nube para el respaldo de la información de los ejecutivos principales (</w:t>
      </w:r>
      <w:r w:rsidRPr="00D01451">
        <w:rPr>
          <w:rFonts w:cs="Arial"/>
          <w:i/>
          <w:iCs/>
          <w:lang w:eastAsia="es-MX"/>
        </w:rPr>
        <w:t>Cloud Computing</w:t>
      </w:r>
      <w:r w:rsidRPr="006E6390">
        <w:rPr>
          <w:rFonts w:cs="Arial"/>
          <w:lang w:eastAsia="es-MX"/>
        </w:rPr>
        <w:t xml:space="preserve">) velando por </w:t>
      </w:r>
      <w:r w:rsidRPr="00F23A0A">
        <w:rPr>
          <w:rFonts w:cs="Arial"/>
          <w:lang w:eastAsia="es-MX"/>
        </w:rPr>
        <w:t>su uso.</w:t>
      </w:r>
    </w:p>
    <w:p w14:paraId="3207712D" w14:textId="77777777" w:rsidR="00F23A0A" w:rsidRPr="00F23A0A" w:rsidRDefault="00F23A0A" w:rsidP="004A26B9">
      <w:pPr>
        <w:rPr>
          <w:rFonts w:cs="Arial"/>
          <w:lang w:eastAsia="es-MX"/>
        </w:rPr>
      </w:pPr>
    </w:p>
    <w:p w14:paraId="3987728A" w14:textId="77777777" w:rsidR="00F35391" w:rsidRPr="00F23A0A" w:rsidRDefault="00F35391" w:rsidP="000A1A94">
      <w:pPr>
        <w:pStyle w:val="Prrafodelista"/>
        <w:numPr>
          <w:ilvl w:val="0"/>
          <w:numId w:val="38"/>
        </w:numPr>
        <w:rPr>
          <w:rFonts w:cs="Arial"/>
          <w:b/>
        </w:rPr>
      </w:pPr>
      <w:r w:rsidRPr="00F23A0A">
        <w:rPr>
          <w:rFonts w:cs="Arial"/>
          <w:b/>
        </w:rPr>
        <w:t>Riesgo de reputación</w:t>
      </w:r>
    </w:p>
    <w:p w14:paraId="1C41F7AB" w14:textId="60B4277A" w:rsidR="00F35391" w:rsidRPr="00F23A0A" w:rsidRDefault="00F35391" w:rsidP="005D448C">
      <w:pPr>
        <w:shd w:val="clear" w:color="auto" w:fill="FFFFFF"/>
        <w:spacing w:after="0"/>
        <w:rPr>
          <w:rFonts w:cs="Arial"/>
          <w:shd w:val="clear" w:color="auto" w:fill="FFFFFF"/>
          <w:lang w:val="es-ES" w:eastAsia="es-ES"/>
        </w:rPr>
      </w:pPr>
      <w:r w:rsidRPr="006E6390">
        <w:rPr>
          <w:shd w:val="clear" w:color="auto" w:fill="FFFFFF"/>
          <w:lang w:val="es-ES" w:eastAsia="es-ES"/>
        </w:rPr>
        <w:t xml:space="preserve">Con el objeto de mitigar este riesgo se dispone de una política de transparencia y rendición de cuentas, por medio de informes periódicos acerca de las operaciones de la empresa, que se comunican en el sitio de Internet de la empresa y comunicados de prensa. Adicionalmente, </w:t>
      </w:r>
      <w:r w:rsidRPr="00F23A0A">
        <w:rPr>
          <w:shd w:val="clear" w:color="auto" w:fill="FFFFFF"/>
          <w:lang w:val="es-ES" w:eastAsia="es-ES"/>
        </w:rPr>
        <w:t xml:space="preserve">se da un monitoreo y seguimiento de noticias e </w:t>
      </w:r>
      <w:r w:rsidRPr="00F23A0A">
        <w:rPr>
          <w:rFonts w:cs="Arial"/>
          <w:shd w:val="clear" w:color="auto" w:fill="FFFFFF"/>
          <w:lang w:val="es-ES" w:eastAsia="es-ES"/>
        </w:rPr>
        <w:t>información de diferente índole, incluyendo redes sociales, con el objeto de dar respuesta o solicitar el derecho de respuesta.</w:t>
      </w:r>
    </w:p>
    <w:p w14:paraId="7A5B5386" w14:textId="77777777" w:rsidR="00F23A0A" w:rsidRPr="005D448C" w:rsidRDefault="00F23A0A" w:rsidP="005D448C">
      <w:pPr>
        <w:shd w:val="clear" w:color="auto" w:fill="FFFFFF"/>
        <w:spacing w:after="0"/>
        <w:rPr>
          <w:rFonts w:cs="Arial"/>
          <w:lang w:val="es-ES" w:eastAsia="es-ES"/>
        </w:rPr>
      </w:pPr>
    </w:p>
    <w:p w14:paraId="29C7254D" w14:textId="4E09B1D6" w:rsidR="009E5DDD" w:rsidRDefault="00F35391" w:rsidP="005D448C">
      <w:pPr>
        <w:shd w:val="clear" w:color="auto" w:fill="FFFFFF"/>
        <w:spacing w:after="0"/>
        <w:rPr>
          <w:shd w:val="clear" w:color="auto" w:fill="FFFFFF"/>
          <w:lang w:val="es-ES" w:eastAsia="es-ES"/>
        </w:rPr>
      </w:pPr>
      <w:r w:rsidRPr="00F23A0A">
        <w:rPr>
          <w:rFonts w:cs="Arial"/>
          <w:shd w:val="clear" w:color="auto" w:fill="FFFFFF"/>
          <w:lang w:val="es-ES" w:eastAsia="es-ES"/>
        </w:rPr>
        <w:t>De igual forma, se mantienen reuniones con representantes</w:t>
      </w:r>
      <w:r w:rsidRPr="00F23A0A">
        <w:rPr>
          <w:shd w:val="clear" w:color="auto" w:fill="FFFFFF"/>
          <w:lang w:val="es-ES" w:eastAsia="es-ES"/>
        </w:rPr>
        <w:t xml:space="preserve"> de diferentes sectores para comunicar el quehacer de RECOPE</w:t>
      </w:r>
      <w:r w:rsidRPr="006E6390">
        <w:rPr>
          <w:shd w:val="clear" w:color="auto" w:fill="FFFFFF"/>
          <w:lang w:val="es-ES" w:eastAsia="es-ES"/>
        </w:rPr>
        <w:t>, los planes de inversión y para desmitificar una serie de opiniones preconcebidas.</w:t>
      </w:r>
    </w:p>
    <w:p w14:paraId="64F83249" w14:textId="77777777" w:rsidR="00F23A0A" w:rsidRPr="006E6390" w:rsidRDefault="00F23A0A" w:rsidP="00D01451">
      <w:pPr>
        <w:shd w:val="clear" w:color="auto" w:fill="FFFFFF"/>
        <w:spacing w:after="160"/>
        <w:rPr>
          <w:shd w:val="clear" w:color="auto" w:fill="FFFFFF"/>
          <w:lang w:val="es-ES" w:eastAsia="es-ES"/>
        </w:rPr>
      </w:pPr>
    </w:p>
    <w:p w14:paraId="57EECE11" w14:textId="77777777" w:rsidR="00F35391" w:rsidRPr="006E6390" w:rsidRDefault="00F35391" w:rsidP="000A1A94">
      <w:pPr>
        <w:pStyle w:val="Prrafodelista"/>
        <w:numPr>
          <w:ilvl w:val="0"/>
          <w:numId w:val="38"/>
        </w:numPr>
        <w:rPr>
          <w:rFonts w:cs="Arial"/>
          <w:b/>
        </w:rPr>
      </w:pPr>
      <w:r w:rsidRPr="006E6390">
        <w:rPr>
          <w:rFonts w:cs="Arial"/>
          <w:b/>
        </w:rPr>
        <w:t>Riesgo de continuidad de negocio</w:t>
      </w:r>
    </w:p>
    <w:p w14:paraId="7F644CDF" w14:textId="77777777" w:rsidR="00F35391" w:rsidRPr="006E6390" w:rsidRDefault="00E90447" w:rsidP="005D448C">
      <w:pPr>
        <w:spacing w:after="0"/>
        <w:rPr>
          <w:rFonts w:cs="Arial"/>
          <w:shd w:val="clear" w:color="auto" w:fill="FFFFFF"/>
        </w:rPr>
      </w:pPr>
      <w:r w:rsidRPr="006E6390">
        <w:rPr>
          <w:rFonts w:cs="Arial"/>
          <w:shd w:val="clear" w:color="auto" w:fill="FFFFFF"/>
        </w:rPr>
        <w:lastRenderedPageBreak/>
        <w:t>Con el objeto de mitigar este riesgo, la empresa cuenta con un Manual de Gestión para la Continuidad de Negocio y un Plan de Respuesta de Emergencias.</w:t>
      </w:r>
    </w:p>
    <w:p w14:paraId="45E5FA07" w14:textId="77777777" w:rsidR="00E90447" w:rsidRPr="006E6390" w:rsidRDefault="00E90447" w:rsidP="00E90447">
      <w:pPr>
        <w:rPr>
          <w:rFonts w:cs="Arial"/>
          <w:lang w:eastAsia="es-MX"/>
        </w:rPr>
      </w:pPr>
    </w:p>
    <w:p w14:paraId="22B5B17E" w14:textId="77777777" w:rsidR="005B390E" w:rsidRPr="006E6390" w:rsidRDefault="005B390E" w:rsidP="008F23AD">
      <w:pPr>
        <w:pStyle w:val="Ttulo2"/>
        <w:rPr>
          <w:rFonts w:cs="Arial"/>
          <w:szCs w:val="22"/>
        </w:rPr>
      </w:pPr>
      <w:bookmarkStart w:id="64" w:name="_Toc38630789"/>
      <w:r w:rsidRPr="006E6390">
        <w:rPr>
          <w:rFonts w:cs="Arial"/>
          <w:szCs w:val="22"/>
        </w:rPr>
        <w:t>2.2</w:t>
      </w:r>
      <w:r w:rsidR="00A308FE" w:rsidRPr="006E6390">
        <w:rPr>
          <w:rFonts w:cs="Arial"/>
          <w:szCs w:val="22"/>
        </w:rPr>
        <w:t>.</w:t>
      </w:r>
      <w:r w:rsidRPr="006E6390">
        <w:rPr>
          <w:rFonts w:cs="Arial"/>
          <w:szCs w:val="22"/>
        </w:rPr>
        <w:t xml:space="preserve"> Estados Financieros Auditados de RECOPE</w:t>
      </w:r>
      <w:bookmarkEnd w:id="64"/>
    </w:p>
    <w:p w14:paraId="2F66E52C" w14:textId="7C466FE0" w:rsidR="006613AF" w:rsidRDefault="005B390E" w:rsidP="005D448C">
      <w:pPr>
        <w:spacing w:after="0"/>
        <w:rPr>
          <w:rFonts w:cs="Arial"/>
          <w:lang w:eastAsia="es-MX"/>
        </w:rPr>
      </w:pPr>
      <w:r w:rsidRPr="006E6390">
        <w:rPr>
          <w:rFonts w:cs="Arial"/>
          <w:lang w:eastAsia="es-MX"/>
        </w:rPr>
        <w:t>El Decreto 35.616-H de la Contabilidad Nacional del 2 de diciembre del 2009, establece que</w:t>
      </w:r>
      <w:r w:rsidR="00196F5D" w:rsidRPr="006E6390">
        <w:rPr>
          <w:rFonts w:cs="Arial"/>
          <w:lang w:eastAsia="es-MX"/>
        </w:rPr>
        <w:t>,</w:t>
      </w:r>
      <w:r w:rsidRPr="006E6390">
        <w:rPr>
          <w:rFonts w:cs="Arial"/>
          <w:lang w:eastAsia="es-MX"/>
        </w:rPr>
        <w:t xml:space="preserve"> a partir de su publicación, las Empresas Públicas referidas en el artículo 1° del mismo, deberán de iniciar el ajuste necesario en sus sistemas y registros contables, para la adopción e implementación de las Normas Internacionales de Información Financiera (NIIF), publicadas por el IASB. </w:t>
      </w:r>
      <w:r w:rsidR="00B71446" w:rsidRPr="006E6390">
        <w:rPr>
          <w:rFonts w:cs="Arial"/>
          <w:lang w:eastAsia="es-MX"/>
        </w:rPr>
        <w:t xml:space="preserve"> </w:t>
      </w:r>
      <w:r w:rsidR="006613AF" w:rsidRPr="006E6390">
        <w:rPr>
          <w:rFonts w:cs="Arial"/>
          <w:lang w:eastAsia="es-MX"/>
        </w:rPr>
        <w:t>El Decreto 38.069-H de 25 de octubre de 2013, reforma el artículo 5 del Decreto 35.616-H otorgando un plazo condicionado para la implementación hasta el 31 de diciembre de 2015.</w:t>
      </w:r>
    </w:p>
    <w:p w14:paraId="353EEB66" w14:textId="77777777" w:rsidR="00F23A0A" w:rsidRPr="006E6390" w:rsidRDefault="00F23A0A" w:rsidP="005D448C">
      <w:pPr>
        <w:spacing w:after="0"/>
        <w:rPr>
          <w:rFonts w:cs="Arial"/>
          <w:lang w:eastAsia="es-MX"/>
        </w:rPr>
      </w:pPr>
    </w:p>
    <w:p w14:paraId="19729DE1" w14:textId="4FE3DC40" w:rsidR="005B390E" w:rsidRDefault="005B390E" w:rsidP="005D448C">
      <w:pPr>
        <w:spacing w:after="0"/>
        <w:rPr>
          <w:rFonts w:cs="Arial"/>
          <w:lang w:eastAsia="es-MX"/>
        </w:rPr>
      </w:pPr>
      <w:r w:rsidRPr="006E6390">
        <w:rPr>
          <w:rFonts w:cs="Arial"/>
          <w:lang w:eastAsia="es-MX"/>
        </w:rPr>
        <w:t xml:space="preserve">Por lo tanto, RECOPE, en su calidad de empresa propiedad del Estado, </w:t>
      </w:r>
      <w:r w:rsidR="006613AF" w:rsidRPr="006E6390">
        <w:rPr>
          <w:rFonts w:cs="Arial"/>
          <w:lang w:eastAsia="es-MX"/>
        </w:rPr>
        <w:t>aplica</w:t>
      </w:r>
      <w:r w:rsidRPr="006E6390">
        <w:rPr>
          <w:rFonts w:cs="Arial"/>
          <w:lang w:eastAsia="es-MX"/>
        </w:rPr>
        <w:t xml:space="preserve"> como normativa contable las NIIF.</w:t>
      </w:r>
      <w:r w:rsidR="00C10CA3" w:rsidRPr="006E6390">
        <w:rPr>
          <w:rFonts w:cs="Arial"/>
          <w:lang w:eastAsia="es-MX"/>
        </w:rPr>
        <w:t xml:space="preserve"> </w:t>
      </w:r>
      <w:r w:rsidR="00B71446" w:rsidRPr="006E6390">
        <w:rPr>
          <w:rFonts w:cs="Arial"/>
          <w:lang w:eastAsia="es-MX"/>
        </w:rPr>
        <w:t xml:space="preserve"> </w:t>
      </w:r>
      <w:r w:rsidRPr="006E6390">
        <w:rPr>
          <w:rFonts w:cs="Arial"/>
          <w:lang w:eastAsia="es-MX"/>
        </w:rPr>
        <w:t xml:space="preserve">Las principales políticas contables aplicadas en la confección de los estados financieros de </w:t>
      </w:r>
      <w:r w:rsidR="00B0078B" w:rsidRPr="006E6390">
        <w:rPr>
          <w:rFonts w:cs="Arial"/>
          <w:lang w:eastAsia="es-MX"/>
        </w:rPr>
        <w:t>RECOPE</w:t>
      </w:r>
      <w:r w:rsidRPr="006E6390">
        <w:rPr>
          <w:rFonts w:cs="Arial"/>
          <w:lang w:eastAsia="es-MX"/>
        </w:rPr>
        <w:t xml:space="preserve"> están descritas en las notas de los Estados Financieros Auditados, que se incluyen en los anexos del presente prospecto. </w:t>
      </w:r>
    </w:p>
    <w:p w14:paraId="738565C7" w14:textId="77777777" w:rsidR="00F23A0A" w:rsidRPr="006E6390" w:rsidRDefault="00F23A0A" w:rsidP="004A26B9">
      <w:pPr>
        <w:rPr>
          <w:rFonts w:cs="Arial"/>
          <w:lang w:eastAsia="es-MX"/>
        </w:rPr>
      </w:pPr>
    </w:p>
    <w:p w14:paraId="5D1F92DC" w14:textId="77777777" w:rsidR="005B390E" w:rsidRPr="006E6390" w:rsidRDefault="005B390E" w:rsidP="008F23AD">
      <w:pPr>
        <w:pStyle w:val="Ttulo2"/>
        <w:rPr>
          <w:rFonts w:cs="Arial"/>
          <w:szCs w:val="22"/>
        </w:rPr>
      </w:pPr>
      <w:bookmarkStart w:id="65" w:name="_Toc38630790"/>
      <w:r w:rsidRPr="006E6390">
        <w:rPr>
          <w:rFonts w:cs="Arial"/>
          <w:szCs w:val="22"/>
        </w:rPr>
        <w:t>2.3</w:t>
      </w:r>
      <w:r w:rsidR="00A308FE" w:rsidRPr="006E6390">
        <w:rPr>
          <w:rFonts w:cs="Arial"/>
          <w:szCs w:val="22"/>
        </w:rPr>
        <w:t>.</w:t>
      </w:r>
      <w:r w:rsidRPr="006E6390">
        <w:rPr>
          <w:rFonts w:cs="Arial"/>
          <w:szCs w:val="22"/>
        </w:rPr>
        <w:t xml:space="preserve"> Análisis de indicadores financieros</w:t>
      </w:r>
      <w:bookmarkEnd w:id="65"/>
    </w:p>
    <w:p w14:paraId="1F51DEC3" w14:textId="507767F9" w:rsidR="005B390E" w:rsidRDefault="005B390E" w:rsidP="005D448C">
      <w:pPr>
        <w:spacing w:after="0"/>
        <w:rPr>
          <w:rFonts w:cs="Arial"/>
          <w:lang w:eastAsia="es-MX"/>
        </w:rPr>
      </w:pPr>
      <w:r w:rsidRPr="006E6390">
        <w:rPr>
          <w:rFonts w:cs="Arial"/>
          <w:lang w:eastAsia="es-MX"/>
        </w:rPr>
        <w:t>A continuación</w:t>
      </w:r>
      <w:r w:rsidR="008C5753" w:rsidRPr="006E6390">
        <w:rPr>
          <w:rFonts w:cs="Arial"/>
          <w:lang w:eastAsia="es-MX"/>
        </w:rPr>
        <w:t>,</w:t>
      </w:r>
      <w:r w:rsidRPr="006E6390">
        <w:rPr>
          <w:rFonts w:cs="Arial"/>
          <w:lang w:eastAsia="es-MX"/>
        </w:rPr>
        <w:t xml:space="preserve"> se presenta una serie de indicadores financieros de RECOPE, </w:t>
      </w:r>
      <w:r w:rsidR="00B0078B" w:rsidRPr="006E6390">
        <w:rPr>
          <w:rFonts w:cs="Arial"/>
          <w:lang w:eastAsia="es-MX"/>
        </w:rPr>
        <w:t>que se determinan con base en</w:t>
      </w:r>
      <w:r w:rsidRPr="006E6390">
        <w:rPr>
          <w:rFonts w:cs="Arial"/>
          <w:lang w:eastAsia="es-MX"/>
        </w:rPr>
        <w:t xml:space="preserve"> los estados financieros auditados para los años que f</w:t>
      </w:r>
      <w:r w:rsidR="001E5229" w:rsidRPr="006E6390">
        <w:rPr>
          <w:rFonts w:cs="Arial"/>
          <w:lang w:eastAsia="es-MX"/>
        </w:rPr>
        <w:t>inalizan el 31 de diciembre de</w:t>
      </w:r>
      <w:r w:rsidR="003650A9" w:rsidRPr="006E6390">
        <w:rPr>
          <w:rFonts w:cs="Arial"/>
          <w:lang w:eastAsia="es-MX"/>
        </w:rPr>
        <w:t xml:space="preserve"> </w:t>
      </w:r>
      <w:r w:rsidR="00753249" w:rsidRPr="006E6390">
        <w:rPr>
          <w:rFonts w:cs="Arial"/>
          <w:lang w:eastAsia="es-MX"/>
        </w:rPr>
        <w:t>20</w:t>
      </w:r>
      <w:r w:rsidR="00E80A28" w:rsidRPr="006E6390">
        <w:rPr>
          <w:rFonts w:cs="Arial"/>
          <w:lang w:eastAsia="es-MX"/>
        </w:rPr>
        <w:t>20</w:t>
      </w:r>
      <w:r w:rsidR="00753249" w:rsidRPr="006E6390">
        <w:rPr>
          <w:rFonts w:cs="Arial"/>
          <w:lang w:eastAsia="es-MX"/>
        </w:rPr>
        <w:t xml:space="preserve"> </w:t>
      </w:r>
      <w:r w:rsidR="00FB1734" w:rsidRPr="006E6390">
        <w:rPr>
          <w:rFonts w:cs="Arial"/>
          <w:lang w:eastAsia="es-MX"/>
        </w:rPr>
        <w:t xml:space="preserve">y </w:t>
      </w:r>
      <w:r w:rsidR="00753249" w:rsidRPr="006E6390">
        <w:rPr>
          <w:rFonts w:cs="Arial"/>
          <w:lang w:eastAsia="es-MX"/>
        </w:rPr>
        <w:t>202</w:t>
      </w:r>
      <w:r w:rsidR="00E80A28" w:rsidRPr="006E6390">
        <w:rPr>
          <w:rFonts w:cs="Arial"/>
          <w:lang w:eastAsia="es-MX"/>
        </w:rPr>
        <w:t>1</w:t>
      </w:r>
      <w:r w:rsidRPr="006E6390">
        <w:rPr>
          <w:rFonts w:cs="Arial"/>
          <w:lang w:eastAsia="es-MX"/>
        </w:rPr>
        <w:t>.</w:t>
      </w:r>
      <w:r w:rsidR="003650A9" w:rsidRPr="006E6390">
        <w:rPr>
          <w:rFonts w:cs="Arial"/>
          <w:lang w:eastAsia="es-MX"/>
        </w:rPr>
        <w:t xml:space="preserve">  </w:t>
      </w:r>
      <w:r w:rsidRPr="006E6390">
        <w:rPr>
          <w:rFonts w:cs="Arial"/>
          <w:lang w:eastAsia="es-MX"/>
        </w:rPr>
        <w:t xml:space="preserve">Las cifras absolutas se presentan en </w:t>
      </w:r>
      <w:r w:rsidRPr="00AC0BB7">
        <w:rPr>
          <w:rFonts w:cs="Arial"/>
          <w:lang w:eastAsia="es-MX"/>
        </w:rPr>
        <w:t>millones de colones</w:t>
      </w:r>
      <w:r w:rsidRPr="006E6390">
        <w:rPr>
          <w:rFonts w:cs="Arial"/>
          <w:lang w:eastAsia="es-MX"/>
        </w:rPr>
        <w:t xml:space="preserve"> y las cifras relativas se expresan en número de veces o porcentajes.</w:t>
      </w:r>
    </w:p>
    <w:p w14:paraId="0FDCA137" w14:textId="77777777" w:rsidR="00F23A0A" w:rsidRPr="006E6390" w:rsidRDefault="00F23A0A" w:rsidP="005D448C">
      <w:pPr>
        <w:spacing w:after="0"/>
        <w:rPr>
          <w:rFonts w:cs="Arial"/>
          <w:lang w:eastAsia="es-MX"/>
        </w:rPr>
      </w:pPr>
    </w:p>
    <w:p w14:paraId="22DB9457" w14:textId="602112E1" w:rsidR="00381A5E" w:rsidRDefault="00381A5E" w:rsidP="005D448C">
      <w:pPr>
        <w:spacing w:after="0"/>
        <w:rPr>
          <w:rFonts w:cs="Arial"/>
          <w:lang w:eastAsia="es-MX"/>
        </w:rPr>
      </w:pPr>
      <w:r w:rsidRPr="006E6390">
        <w:rPr>
          <w:rFonts w:cs="Arial"/>
          <w:lang w:eastAsia="es-MX"/>
        </w:rPr>
        <w:t xml:space="preserve">Los auditores externos emitieron una opinión </w:t>
      </w:r>
      <w:r w:rsidR="002E690B" w:rsidRPr="006E6390">
        <w:rPr>
          <w:rFonts w:cs="Arial"/>
          <w:lang w:eastAsia="es-MX"/>
        </w:rPr>
        <w:t xml:space="preserve">sin calificar </w:t>
      </w:r>
      <w:r w:rsidRPr="006E6390">
        <w:rPr>
          <w:rFonts w:cs="Arial"/>
          <w:lang w:eastAsia="es-MX"/>
        </w:rPr>
        <w:t xml:space="preserve">para los estados financieros del período fiscal </w:t>
      </w:r>
      <w:r w:rsidR="008C5753" w:rsidRPr="006E6390">
        <w:rPr>
          <w:rFonts w:cs="Arial"/>
          <w:lang w:eastAsia="es-MX"/>
        </w:rPr>
        <w:t>202</w:t>
      </w:r>
      <w:r w:rsidR="00E80A28" w:rsidRPr="006E6390">
        <w:rPr>
          <w:rFonts w:cs="Arial"/>
          <w:lang w:eastAsia="es-MX"/>
        </w:rPr>
        <w:t>1</w:t>
      </w:r>
      <w:r w:rsidR="008C5753" w:rsidRPr="006E6390">
        <w:rPr>
          <w:rFonts w:cs="Arial"/>
          <w:lang w:eastAsia="es-MX"/>
        </w:rPr>
        <w:t xml:space="preserve"> </w:t>
      </w:r>
      <w:r w:rsidRPr="006E6390">
        <w:rPr>
          <w:rFonts w:cs="Arial"/>
          <w:lang w:eastAsia="es-MX"/>
        </w:rPr>
        <w:t>en virtud de los siguientes aspectos:</w:t>
      </w:r>
    </w:p>
    <w:p w14:paraId="6FDE26AA" w14:textId="77777777" w:rsidR="00F23A0A" w:rsidRPr="006E6390" w:rsidRDefault="00F23A0A" w:rsidP="005D448C">
      <w:pPr>
        <w:spacing w:after="0"/>
        <w:rPr>
          <w:rFonts w:cs="Arial"/>
          <w:lang w:eastAsia="es-MX"/>
        </w:rPr>
      </w:pPr>
    </w:p>
    <w:p w14:paraId="5CD69B9B" w14:textId="77777777" w:rsidR="00381A5E" w:rsidRPr="006E6390" w:rsidRDefault="00726A93" w:rsidP="00345042">
      <w:pPr>
        <w:ind w:left="567" w:right="757"/>
        <w:rPr>
          <w:rFonts w:cs="Arial"/>
          <w:i/>
          <w:lang w:eastAsia="es-MX"/>
        </w:rPr>
      </w:pPr>
      <w:r w:rsidRPr="006E6390">
        <w:rPr>
          <w:rFonts w:eastAsia="Calibri" w:cs="Arial"/>
          <w:i/>
          <w:lang w:val="es-ES"/>
        </w:rPr>
        <w:t>“</w:t>
      </w:r>
      <w:r w:rsidR="002E690B" w:rsidRPr="006E6390">
        <w:rPr>
          <w:rFonts w:eastAsia="Calibri" w:cs="Arial"/>
          <w:i/>
          <w:lang w:val="es-ES"/>
        </w:rPr>
        <w:t>Hemos llevado a cabo nuestras auditorías de conformidad con las Normas Internacionales de Auditoría (NIA). Nuestras responsabilidades de acuerdo con dichas normas se describen más adelante en la sección de nuestro informe denominada Responsabilidades del Auditor en Relación con la Auditoría de los Estados Financieros. Somos independientes de RECOPE, de conformidad con el Código de Ética Profesional del Colegio de Contadores Públicos de Costa Rica y las disposiciones del Código de Ética para Contadores Profesionales de la Federación Internacional de Contadores (IFAC por sus siglas en inglés) y hemos cumplido con las demás responsabilidades de ética de conformidad con esos requerimientos. Consideramos que la evidencia de auditoría que hemos obtenido proporciona una base suficiente y adecuada para nuestra opinión.</w:t>
      </w:r>
      <w:r w:rsidR="008C5753" w:rsidRPr="006E6390">
        <w:rPr>
          <w:i/>
        </w:rPr>
        <w:t>”</w:t>
      </w:r>
    </w:p>
    <w:p w14:paraId="301C6685" w14:textId="77777777" w:rsidR="005B390E" w:rsidRPr="006E6390" w:rsidRDefault="005B390E" w:rsidP="008F23AD">
      <w:pPr>
        <w:pStyle w:val="Ttulo3"/>
        <w:rPr>
          <w:rFonts w:cs="Arial"/>
        </w:rPr>
      </w:pPr>
      <w:bookmarkStart w:id="66" w:name="_Toc38630791"/>
      <w:r w:rsidRPr="006E6390">
        <w:rPr>
          <w:rFonts w:cs="Arial"/>
        </w:rPr>
        <w:lastRenderedPageBreak/>
        <w:t>2.3.1</w:t>
      </w:r>
      <w:r w:rsidR="009739AA" w:rsidRPr="006E6390">
        <w:rPr>
          <w:rFonts w:cs="Arial"/>
        </w:rPr>
        <w:t>.</w:t>
      </w:r>
      <w:r w:rsidRPr="006E6390">
        <w:rPr>
          <w:rFonts w:cs="Arial"/>
        </w:rPr>
        <w:t xml:space="preserve"> Índices de liquidez</w:t>
      </w:r>
      <w:bookmarkEnd w:id="66"/>
    </w:p>
    <w:p w14:paraId="4C95D4A8" w14:textId="77777777" w:rsidR="005B390E" w:rsidRPr="006E6390" w:rsidRDefault="005B390E" w:rsidP="008F23AD">
      <w:pPr>
        <w:pStyle w:val="Ttulo4"/>
        <w:rPr>
          <w:rFonts w:cs="Arial"/>
        </w:rPr>
      </w:pPr>
      <w:r w:rsidRPr="006E6390">
        <w:rPr>
          <w:rFonts w:cs="Arial"/>
        </w:rPr>
        <w:t>2.3.1.1</w:t>
      </w:r>
      <w:r w:rsidR="009739AA" w:rsidRPr="006E6390">
        <w:rPr>
          <w:rFonts w:cs="Arial"/>
        </w:rPr>
        <w:t>.</w:t>
      </w:r>
      <w:r w:rsidRPr="006E6390">
        <w:rPr>
          <w:rFonts w:cs="Arial"/>
        </w:rPr>
        <w:t xml:space="preserve"> Razón circulante (veces): </w:t>
      </w:r>
    </w:p>
    <w:p w14:paraId="2B0C10CB" w14:textId="77777777" w:rsidR="005B390E" w:rsidRDefault="005B390E" w:rsidP="000250DF">
      <w:pPr>
        <w:spacing w:after="0"/>
        <w:rPr>
          <w:rFonts w:cs="Arial"/>
          <w:lang w:eastAsia="es-MX"/>
        </w:rPr>
      </w:pPr>
      <w:r w:rsidRPr="006E6390">
        <w:rPr>
          <w:rFonts w:cs="Arial"/>
          <w:lang w:eastAsia="es-MX"/>
        </w:rPr>
        <w:t>El resultado obtenido representa el número de veces en el cual los derechos de los acreedores a corto plazo se encuentran cubiertos por activos que se esperan se hagan efectivos en un período más o menos igual al vencimiento de las obligaciones:</w:t>
      </w:r>
    </w:p>
    <w:p w14:paraId="08ECF478" w14:textId="77777777" w:rsidR="000250DF" w:rsidRPr="006E6390" w:rsidRDefault="000250DF" w:rsidP="005D448C">
      <w:pPr>
        <w:spacing w:after="0"/>
        <w:rPr>
          <w:rFonts w:cs="Arial"/>
          <w:lang w:eastAsia="es-MX"/>
        </w:rPr>
      </w:pPr>
    </w:p>
    <w:p w14:paraId="056B6654" w14:textId="678506A9" w:rsidR="005B390E" w:rsidRPr="00E3658A" w:rsidRDefault="005B390E" w:rsidP="00470921">
      <w:pPr>
        <w:pStyle w:val="Cuadro"/>
      </w:pPr>
      <w:r w:rsidRPr="00337F05">
        <w:t>Cuadro N°</w:t>
      </w:r>
      <w:r w:rsidR="007A29A1" w:rsidRPr="00337F05">
        <w:t>3</w:t>
      </w:r>
      <w:r w:rsidR="00110500" w:rsidRPr="00337F05">
        <w:t xml:space="preserve"> </w:t>
      </w:r>
      <w:r w:rsidR="00F718BA" w:rsidRPr="00337F05">
        <w:t>Razón de</w:t>
      </w:r>
      <w:r w:rsidR="00F718BA">
        <w:t xml:space="preserve"> liquidez</w:t>
      </w:r>
    </w:p>
    <w:tbl>
      <w:tblPr>
        <w:tblStyle w:val="Tablanormal1"/>
        <w:tblW w:w="5000" w:type="pct"/>
        <w:jc w:val="center"/>
        <w:tblLook w:val="04A0" w:firstRow="1" w:lastRow="0" w:firstColumn="1" w:lastColumn="0" w:noHBand="0" w:noVBand="1"/>
      </w:tblPr>
      <w:tblGrid>
        <w:gridCol w:w="5382"/>
        <w:gridCol w:w="1196"/>
        <w:gridCol w:w="1196"/>
        <w:gridCol w:w="1195"/>
      </w:tblGrid>
      <w:tr w:rsidR="001E7012" w:rsidRPr="006E6390" w14:paraId="699E3F9F" w14:textId="77777777" w:rsidTr="005D448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00" w:type="pct"/>
          </w:tcPr>
          <w:p w14:paraId="044169FA" w14:textId="77777777" w:rsidR="001E7012" w:rsidRPr="006E6390" w:rsidRDefault="001E7012" w:rsidP="001E7012">
            <w:pPr>
              <w:pStyle w:val="Tablas"/>
              <w:tabs>
                <w:tab w:val="left" w:pos="9270"/>
              </w:tabs>
              <w:rPr>
                <w:rFonts w:cs="Arial"/>
                <w:sz w:val="20"/>
                <w:szCs w:val="20"/>
              </w:rPr>
            </w:pPr>
            <w:r>
              <w:rPr>
                <w:rFonts w:ascii="Calibri" w:hAnsi="Calibri" w:cs="Calibri"/>
                <w:color w:val="000000"/>
                <w:sz w:val="20"/>
                <w:szCs w:val="20"/>
              </w:rPr>
              <w:t> </w:t>
            </w:r>
          </w:p>
        </w:tc>
        <w:tc>
          <w:tcPr>
            <w:tcW w:w="667" w:type="pct"/>
            <w:vAlign w:val="center"/>
          </w:tcPr>
          <w:p w14:paraId="5C8B5DE8" w14:textId="755D65F2" w:rsidR="001E7012" w:rsidRPr="005D448C" w:rsidRDefault="001E7012" w:rsidP="001E7012">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D448C">
              <w:rPr>
                <w:rFonts w:cs="Arial"/>
                <w:color w:val="002060"/>
                <w:sz w:val="20"/>
                <w:szCs w:val="20"/>
              </w:rPr>
              <w:t>dic-20</w:t>
            </w:r>
          </w:p>
        </w:tc>
        <w:tc>
          <w:tcPr>
            <w:tcW w:w="667" w:type="pct"/>
            <w:vAlign w:val="center"/>
          </w:tcPr>
          <w:p w14:paraId="699E6F0F" w14:textId="1B1CEBFA" w:rsidR="001E7012" w:rsidRPr="005D448C" w:rsidRDefault="001E7012" w:rsidP="001E7012">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D448C">
              <w:rPr>
                <w:rFonts w:cs="Arial"/>
                <w:color w:val="002060"/>
                <w:sz w:val="20"/>
                <w:szCs w:val="20"/>
              </w:rPr>
              <w:t>dic-21</w:t>
            </w:r>
          </w:p>
        </w:tc>
        <w:tc>
          <w:tcPr>
            <w:tcW w:w="667" w:type="pct"/>
            <w:vAlign w:val="center"/>
          </w:tcPr>
          <w:p w14:paraId="7E179439" w14:textId="3F95A16C" w:rsidR="001E7012" w:rsidRPr="005D448C" w:rsidRDefault="001E7012" w:rsidP="001E7012">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D448C">
              <w:rPr>
                <w:rFonts w:cs="Arial"/>
                <w:color w:val="002060"/>
                <w:sz w:val="20"/>
                <w:szCs w:val="20"/>
              </w:rPr>
              <w:t>dic-22</w:t>
            </w:r>
          </w:p>
        </w:tc>
      </w:tr>
      <w:tr w:rsidR="001373DC" w:rsidRPr="006E6390" w14:paraId="63EC78F2" w14:textId="77777777" w:rsidTr="001373D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00" w:type="pct"/>
            <w:vAlign w:val="center"/>
          </w:tcPr>
          <w:p w14:paraId="76FBACC5" w14:textId="6A5E90A3" w:rsidR="001E7012" w:rsidRPr="006E6390" w:rsidRDefault="001E7012" w:rsidP="001E7012">
            <w:pPr>
              <w:spacing w:after="0"/>
              <w:contextualSpacing/>
              <w:jc w:val="left"/>
              <w:rPr>
                <w:rFonts w:cs="Arial"/>
                <w:b w:val="0"/>
                <w:sz w:val="20"/>
                <w:szCs w:val="20"/>
              </w:rPr>
            </w:pPr>
            <w:r>
              <w:rPr>
                <w:rFonts w:cs="Arial"/>
                <w:color w:val="000000"/>
                <w:sz w:val="20"/>
                <w:szCs w:val="20"/>
              </w:rPr>
              <w:t>Utilidad Neta sobre Activo Total Promedio (a/b) * 100</w:t>
            </w:r>
          </w:p>
        </w:tc>
        <w:tc>
          <w:tcPr>
            <w:tcW w:w="667" w:type="pct"/>
            <w:vAlign w:val="center"/>
          </w:tcPr>
          <w:p w14:paraId="302004FE" w14:textId="48DFA657" w:rsidR="001E7012" w:rsidRPr="006E6390" w:rsidRDefault="00CE3D60" w:rsidP="001E7012">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2,14</w:t>
            </w:r>
          </w:p>
        </w:tc>
        <w:tc>
          <w:tcPr>
            <w:tcW w:w="667" w:type="pct"/>
            <w:vAlign w:val="center"/>
          </w:tcPr>
          <w:p w14:paraId="576C4ED3" w14:textId="46FD2B60" w:rsidR="001E7012" w:rsidRPr="006E6390" w:rsidRDefault="00CE3D60" w:rsidP="001E7012">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1,40</w:t>
            </w:r>
          </w:p>
        </w:tc>
        <w:tc>
          <w:tcPr>
            <w:tcW w:w="667" w:type="pct"/>
            <w:vAlign w:val="center"/>
          </w:tcPr>
          <w:p w14:paraId="7118EA96" w14:textId="7975DE8F" w:rsidR="001E7012" w:rsidRPr="006E6390" w:rsidDel="00F62996" w:rsidRDefault="00CE3D60" w:rsidP="001E7012">
            <w:pPr>
              <w:pStyle w:val="Tablas"/>
              <w:tabs>
                <w:tab w:val="left" w:pos="9270"/>
              </w:tabs>
              <w:contextualSpacing/>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sz w:val="20"/>
                <w:szCs w:val="20"/>
              </w:rPr>
              <w:t>2,33</w:t>
            </w:r>
          </w:p>
        </w:tc>
      </w:tr>
      <w:tr w:rsidR="001E7012" w:rsidRPr="006E6390" w14:paraId="63F45C36" w14:textId="77777777" w:rsidTr="005D448C">
        <w:trPr>
          <w:trHeight w:val="397"/>
          <w:jc w:val="center"/>
        </w:trPr>
        <w:tc>
          <w:tcPr>
            <w:cnfStyle w:val="001000000000" w:firstRow="0" w:lastRow="0" w:firstColumn="1" w:lastColumn="0" w:oddVBand="0" w:evenVBand="0" w:oddHBand="0" w:evenHBand="0" w:firstRowFirstColumn="0" w:firstRowLastColumn="0" w:lastRowFirstColumn="0" w:lastRowLastColumn="0"/>
            <w:tcW w:w="3000" w:type="pct"/>
            <w:vAlign w:val="center"/>
          </w:tcPr>
          <w:p w14:paraId="01E8D0E2" w14:textId="39E8083D" w:rsidR="001E7012" w:rsidRPr="006E6390" w:rsidRDefault="001E7012" w:rsidP="001E7012">
            <w:pPr>
              <w:pStyle w:val="Tablas"/>
              <w:tabs>
                <w:tab w:val="left" w:pos="9270"/>
              </w:tabs>
              <w:rPr>
                <w:rFonts w:cs="Arial"/>
                <w:sz w:val="20"/>
                <w:szCs w:val="20"/>
              </w:rPr>
            </w:pPr>
            <w:r>
              <w:rPr>
                <w:rFonts w:cs="Arial"/>
                <w:b w:val="0"/>
                <w:bCs w:val="0"/>
                <w:color w:val="000000"/>
                <w:sz w:val="20"/>
                <w:szCs w:val="20"/>
              </w:rPr>
              <w:t xml:space="preserve">a)       </w:t>
            </w:r>
            <w:r w:rsidR="00F718BA">
              <w:rPr>
                <w:rFonts w:cs="Arial"/>
                <w:b w:val="0"/>
                <w:bCs w:val="0"/>
                <w:color w:val="000000"/>
                <w:sz w:val="20"/>
                <w:szCs w:val="20"/>
              </w:rPr>
              <w:t>Activo Circulante</w:t>
            </w:r>
            <w:r>
              <w:rPr>
                <w:rFonts w:cs="Arial"/>
                <w:b w:val="0"/>
                <w:bCs w:val="0"/>
                <w:color w:val="000000"/>
                <w:sz w:val="20"/>
                <w:szCs w:val="20"/>
              </w:rPr>
              <w:t xml:space="preserve"> (millones de ₡)</w:t>
            </w:r>
          </w:p>
        </w:tc>
        <w:tc>
          <w:tcPr>
            <w:tcW w:w="667" w:type="pct"/>
            <w:vAlign w:val="center"/>
          </w:tcPr>
          <w:p w14:paraId="5BA20FF8" w14:textId="1590E268" w:rsidR="001E7012" w:rsidRPr="006E6390" w:rsidRDefault="00F718BA" w:rsidP="001E7012">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 xml:space="preserve">204 </w:t>
            </w:r>
            <w:r w:rsidR="00CE3D60">
              <w:rPr>
                <w:rFonts w:cs="Arial"/>
                <w:color w:val="000000"/>
                <w:sz w:val="20"/>
                <w:szCs w:val="20"/>
              </w:rPr>
              <w:t>277</w:t>
            </w:r>
          </w:p>
        </w:tc>
        <w:tc>
          <w:tcPr>
            <w:tcW w:w="667" w:type="pct"/>
            <w:vAlign w:val="center"/>
          </w:tcPr>
          <w:p w14:paraId="734B7AD4" w14:textId="724A65E0" w:rsidR="001E7012" w:rsidRPr="006E6390" w:rsidRDefault="00F718BA" w:rsidP="001E7012">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422 907</w:t>
            </w:r>
          </w:p>
        </w:tc>
        <w:tc>
          <w:tcPr>
            <w:tcW w:w="667" w:type="pct"/>
            <w:vAlign w:val="center"/>
          </w:tcPr>
          <w:p w14:paraId="31B410C6" w14:textId="2B334820" w:rsidR="001E7012" w:rsidRPr="00D54D01" w:rsidDel="00F62996" w:rsidRDefault="00F718BA" w:rsidP="001E7012">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D448C">
              <w:rPr>
                <w:rFonts w:cs="Arial"/>
                <w:sz w:val="20"/>
                <w:szCs w:val="20"/>
              </w:rPr>
              <w:t>384 990</w:t>
            </w:r>
          </w:p>
        </w:tc>
      </w:tr>
      <w:tr w:rsidR="001373DC" w:rsidRPr="006E6390" w14:paraId="78CC8256" w14:textId="77777777" w:rsidTr="001373D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00" w:type="pct"/>
            <w:vAlign w:val="center"/>
          </w:tcPr>
          <w:p w14:paraId="30826D1E" w14:textId="6962AFF1" w:rsidR="001E7012" w:rsidRPr="006E6390" w:rsidRDefault="001E7012" w:rsidP="001E7012">
            <w:pPr>
              <w:pStyle w:val="Tablas"/>
              <w:tabs>
                <w:tab w:val="left" w:pos="9270"/>
              </w:tabs>
              <w:rPr>
                <w:rFonts w:cs="Arial"/>
                <w:sz w:val="20"/>
                <w:szCs w:val="20"/>
              </w:rPr>
            </w:pPr>
            <w:r>
              <w:rPr>
                <w:rFonts w:cs="Arial"/>
                <w:b w:val="0"/>
                <w:bCs w:val="0"/>
                <w:color w:val="000000"/>
                <w:sz w:val="20"/>
                <w:szCs w:val="20"/>
              </w:rPr>
              <w:t xml:space="preserve">b)       </w:t>
            </w:r>
            <w:r w:rsidR="00F718BA">
              <w:rPr>
                <w:rFonts w:cs="Arial"/>
                <w:b w:val="0"/>
                <w:bCs w:val="0"/>
                <w:color w:val="000000"/>
                <w:sz w:val="20"/>
                <w:szCs w:val="20"/>
              </w:rPr>
              <w:t>Pasivo Circulante</w:t>
            </w:r>
            <w:r>
              <w:rPr>
                <w:rFonts w:cs="Arial"/>
                <w:b w:val="0"/>
                <w:bCs w:val="0"/>
                <w:color w:val="000000"/>
                <w:sz w:val="20"/>
                <w:szCs w:val="20"/>
              </w:rPr>
              <w:t xml:space="preserve"> (millones de ₡)</w:t>
            </w:r>
          </w:p>
        </w:tc>
        <w:tc>
          <w:tcPr>
            <w:tcW w:w="667" w:type="pct"/>
            <w:vAlign w:val="center"/>
          </w:tcPr>
          <w:p w14:paraId="16A0E826" w14:textId="0A0492DC" w:rsidR="001E7012" w:rsidRPr="006E6390" w:rsidRDefault="00CE3D60" w:rsidP="001E7012">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95 479</w:t>
            </w:r>
          </w:p>
        </w:tc>
        <w:tc>
          <w:tcPr>
            <w:tcW w:w="667" w:type="pct"/>
            <w:vAlign w:val="center"/>
          </w:tcPr>
          <w:p w14:paraId="35F6C1E3" w14:textId="6C82C162" w:rsidR="001E7012" w:rsidRPr="006E6390" w:rsidRDefault="00CE3D60" w:rsidP="001E7012">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302 446</w:t>
            </w:r>
          </w:p>
        </w:tc>
        <w:tc>
          <w:tcPr>
            <w:tcW w:w="667" w:type="pct"/>
            <w:vAlign w:val="center"/>
          </w:tcPr>
          <w:p w14:paraId="5678F143" w14:textId="6F41C708" w:rsidR="001E7012" w:rsidRPr="00D54D01" w:rsidDel="00F62996" w:rsidRDefault="00CE3D60" w:rsidP="001E7012">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D448C">
              <w:rPr>
                <w:rFonts w:cs="Arial"/>
                <w:sz w:val="20"/>
                <w:szCs w:val="20"/>
              </w:rPr>
              <w:t>165 529</w:t>
            </w:r>
          </w:p>
        </w:tc>
      </w:tr>
    </w:tbl>
    <w:p w14:paraId="58B105C4" w14:textId="77777777" w:rsidR="009739AA" w:rsidRPr="006E6390" w:rsidRDefault="009739AA" w:rsidP="00807D28">
      <w:pPr>
        <w:pStyle w:val="Sinespaciado"/>
        <w:tabs>
          <w:tab w:val="left" w:pos="9270"/>
        </w:tabs>
        <w:spacing w:line="276" w:lineRule="auto"/>
        <w:rPr>
          <w:rFonts w:ascii="Arial" w:hAnsi="Arial" w:cs="Arial"/>
          <w:sz w:val="22"/>
          <w:lang w:eastAsia="es-MX"/>
        </w:rPr>
      </w:pPr>
    </w:p>
    <w:p w14:paraId="1A371908" w14:textId="44558934" w:rsidR="00476F5F" w:rsidRDefault="00476F5F" w:rsidP="005D448C">
      <w:pPr>
        <w:spacing w:after="0"/>
        <w:rPr>
          <w:lang w:eastAsia="es-MX"/>
        </w:rPr>
      </w:pPr>
      <w:r w:rsidRPr="006E6390">
        <w:rPr>
          <w:lang w:eastAsia="es-MX"/>
        </w:rPr>
        <w:t>Durante el periodo de análisis, el activo c</w:t>
      </w:r>
      <w:r w:rsidR="00ED55B8" w:rsidRPr="006E6390">
        <w:rPr>
          <w:lang w:eastAsia="es-MX"/>
        </w:rPr>
        <w:t>orrien</w:t>
      </w:r>
      <w:r w:rsidRPr="006E6390">
        <w:rPr>
          <w:lang w:eastAsia="es-MX"/>
        </w:rPr>
        <w:t>te cubr</w:t>
      </w:r>
      <w:r w:rsidR="00E87B0C" w:rsidRPr="006E6390">
        <w:rPr>
          <w:lang w:eastAsia="es-MX"/>
        </w:rPr>
        <w:t>ió</w:t>
      </w:r>
      <w:r w:rsidRPr="006E6390">
        <w:rPr>
          <w:lang w:eastAsia="es-MX"/>
        </w:rPr>
        <w:t xml:space="preserve"> más de una vez el pasivo c</w:t>
      </w:r>
      <w:r w:rsidR="00ED55B8" w:rsidRPr="006E6390">
        <w:rPr>
          <w:lang w:eastAsia="es-MX"/>
        </w:rPr>
        <w:t>orrien</w:t>
      </w:r>
      <w:r w:rsidRPr="006E6390">
        <w:rPr>
          <w:lang w:eastAsia="es-MX"/>
        </w:rPr>
        <w:t>te</w:t>
      </w:r>
      <w:r w:rsidR="007C55E5" w:rsidRPr="006E6390">
        <w:rPr>
          <w:lang w:eastAsia="es-MX"/>
        </w:rPr>
        <w:t>,</w:t>
      </w:r>
      <w:r w:rsidR="007C55E5" w:rsidRPr="006E6390">
        <w:rPr>
          <w:rFonts w:cs="Arial"/>
          <w:lang w:eastAsia="es-MX"/>
        </w:rPr>
        <w:t xml:space="preserve"> lo cual indica que, en caso extremo de liquidar dichos activos, RECOPE puede cubrir la cancelación de las obligaciones de corto plazo.</w:t>
      </w:r>
      <w:r w:rsidR="00E87B0C" w:rsidRPr="006E6390">
        <w:rPr>
          <w:lang w:eastAsia="es-MX"/>
        </w:rPr>
        <w:t xml:space="preserve"> </w:t>
      </w:r>
      <w:r w:rsidR="0019232D">
        <w:rPr>
          <w:lang w:eastAsia="es-MX"/>
        </w:rPr>
        <w:t xml:space="preserve"> </w:t>
      </w:r>
      <w:r w:rsidR="00ED55B8" w:rsidRPr="006E6390">
        <w:rPr>
          <w:lang w:eastAsia="es-MX"/>
        </w:rPr>
        <w:t>Un aspecto para resaltar</w:t>
      </w:r>
      <w:r w:rsidRPr="006E6390">
        <w:rPr>
          <w:lang w:eastAsia="es-MX"/>
        </w:rPr>
        <w:t xml:space="preserve"> es que debido a las características del inventario (derivados del petróleo) y de la condición de monopolio, la realización del inventario es sumamente rápida.</w:t>
      </w:r>
    </w:p>
    <w:p w14:paraId="207D7AF7" w14:textId="77777777" w:rsidR="007D40B6" w:rsidRPr="006E6390" w:rsidRDefault="007D40B6" w:rsidP="005D448C">
      <w:pPr>
        <w:spacing w:after="0"/>
        <w:rPr>
          <w:lang w:eastAsia="es-MX"/>
        </w:rPr>
      </w:pPr>
    </w:p>
    <w:p w14:paraId="640D0AB2" w14:textId="1F899256" w:rsidR="00467066" w:rsidRDefault="00476F5F">
      <w:pPr>
        <w:spacing w:after="0"/>
        <w:rPr>
          <w:lang w:eastAsia="es-MX"/>
        </w:rPr>
      </w:pPr>
      <w:r w:rsidRPr="0079744E">
        <w:rPr>
          <w:lang w:eastAsia="es-MX"/>
        </w:rPr>
        <w:t xml:space="preserve">La razón </w:t>
      </w:r>
      <w:r w:rsidR="009C67C2" w:rsidRPr="0079744E">
        <w:rPr>
          <w:lang w:eastAsia="es-MX"/>
        </w:rPr>
        <w:t xml:space="preserve">ha rondado entre las </w:t>
      </w:r>
      <w:r w:rsidR="00CE3D60" w:rsidRPr="005D448C">
        <w:rPr>
          <w:lang w:eastAsia="es-MX"/>
        </w:rPr>
        <w:t>1,4</w:t>
      </w:r>
      <w:r w:rsidR="009C67C2" w:rsidRPr="0079744E">
        <w:rPr>
          <w:lang w:eastAsia="es-MX"/>
        </w:rPr>
        <w:t xml:space="preserve"> y </w:t>
      </w:r>
      <w:r w:rsidR="00CE3D60" w:rsidRPr="005D448C">
        <w:rPr>
          <w:lang w:eastAsia="es-MX"/>
        </w:rPr>
        <w:t>2,3</w:t>
      </w:r>
      <w:r w:rsidR="009C67C2" w:rsidRPr="0079744E">
        <w:rPr>
          <w:lang w:eastAsia="es-MX"/>
        </w:rPr>
        <w:t xml:space="preserve"> veces entre </w:t>
      </w:r>
      <w:r w:rsidR="00BF0EC5" w:rsidRPr="0079744E">
        <w:rPr>
          <w:lang w:eastAsia="es-MX"/>
        </w:rPr>
        <w:t>20</w:t>
      </w:r>
      <w:r w:rsidR="00BF0EC5" w:rsidRPr="005D448C">
        <w:rPr>
          <w:lang w:eastAsia="es-MX"/>
        </w:rPr>
        <w:t>20</w:t>
      </w:r>
      <w:r w:rsidR="00BF0EC5" w:rsidRPr="0079744E">
        <w:rPr>
          <w:lang w:eastAsia="es-MX"/>
        </w:rPr>
        <w:t xml:space="preserve"> </w:t>
      </w:r>
      <w:r w:rsidR="009C67C2" w:rsidRPr="0079744E">
        <w:rPr>
          <w:lang w:eastAsia="es-MX"/>
        </w:rPr>
        <w:t xml:space="preserve">y </w:t>
      </w:r>
      <w:r w:rsidR="00BF0EC5" w:rsidRPr="0079744E">
        <w:rPr>
          <w:lang w:eastAsia="es-MX"/>
        </w:rPr>
        <w:t xml:space="preserve">2022 </w:t>
      </w:r>
      <w:r w:rsidRPr="0079744E">
        <w:rPr>
          <w:lang w:eastAsia="es-MX"/>
        </w:rPr>
        <w:t>debido, principalmente</w:t>
      </w:r>
      <w:r w:rsidRPr="00AC0BB7">
        <w:rPr>
          <w:lang w:eastAsia="es-MX"/>
        </w:rPr>
        <w:t>, a un aumento de</w:t>
      </w:r>
      <w:r w:rsidR="009C67C2" w:rsidRPr="00AC0BB7">
        <w:rPr>
          <w:lang w:eastAsia="es-MX"/>
        </w:rPr>
        <w:t xml:space="preserve">l volumen </w:t>
      </w:r>
      <w:r w:rsidR="00CE3D60">
        <w:rPr>
          <w:lang w:eastAsia="es-MX"/>
        </w:rPr>
        <w:t xml:space="preserve">y valor </w:t>
      </w:r>
      <w:r w:rsidR="009C67C2" w:rsidRPr="00AC0BB7">
        <w:rPr>
          <w:lang w:eastAsia="es-MX"/>
        </w:rPr>
        <w:t>de</w:t>
      </w:r>
      <w:r w:rsidRPr="00AC0BB7">
        <w:rPr>
          <w:lang w:eastAsia="es-MX"/>
        </w:rPr>
        <w:t xml:space="preserve"> </w:t>
      </w:r>
      <w:r w:rsidR="00E87B0C" w:rsidRPr="00AC0BB7">
        <w:rPr>
          <w:lang w:eastAsia="es-MX"/>
        </w:rPr>
        <w:t xml:space="preserve">los </w:t>
      </w:r>
      <w:r w:rsidRPr="00AC0BB7">
        <w:rPr>
          <w:lang w:eastAsia="es-MX"/>
        </w:rPr>
        <w:t>inventarios</w:t>
      </w:r>
      <w:r w:rsidR="009C67C2" w:rsidRPr="00AC0BB7">
        <w:rPr>
          <w:lang w:eastAsia="es-MX"/>
        </w:rPr>
        <w:t xml:space="preserve">. </w:t>
      </w:r>
      <w:r w:rsidR="00467066">
        <w:rPr>
          <w:lang w:eastAsia="es-MX"/>
        </w:rPr>
        <w:t xml:space="preserve"> </w:t>
      </w:r>
      <w:r w:rsidR="00467066" w:rsidRPr="00AC0BB7">
        <w:rPr>
          <w:lang w:eastAsia="es-MX"/>
        </w:rPr>
        <w:t xml:space="preserve">La razón circulante </w:t>
      </w:r>
      <w:r w:rsidR="005D448C">
        <w:rPr>
          <w:lang w:eastAsia="es-MX"/>
        </w:rPr>
        <w:t xml:space="preserve">muestra un valor </w:t>
      </w:r>
      <w:r w:rsidR="00467066" w:rsidRPr="00AC0BB7">
        <w:rPr>
          <w:lang w:eastAsia="es-MX"/>
        </w:rPr>
        <w:t xml:space="preserve">mayor a lo establecido en </w:t>
      </w:r>
      <w:r w:rsidR="005D448C">
        <w:rPr>
          <w:lang w:eastAsia="es-MX"/>
        </w:rPr>
        <w:t>el</w:t>
      </w:r>
      <w:r w:rsidR="00467066" w:rsidRPr="00AC0BB7">
        <w:rPr>
          <w:lang w:eastAsia="es-MX"/>
        </w:rPr>
        <w:t xml:space="preserve"> </w:t>
      </w:r>
      <w:r w:rsidR="00467066" w:rsidRPr="00AC0BB7">
        <w:rPr>
          <w:i/>
          <w:lang w:eastAsia="es-MX"/>
        </w:rPr>
        <w:t>covenant</w:t>
      </w:r>
      <w:r w:rsidR="00467066" w:rsidRPr="00AC0BB7">
        <w:rPr>
          <w:lang w:eastAsia="es-MX"/>
        </w:rPr>
        <w:t xml:space="preserve"> financiero (1,2 veces)</w:t>
      </w:r>
      <w:r w:rsidR="00467066">
        <w:rPr>
          <w:lang w:eastAsia="es-MX"/>
        </w:rPr>
        <w:t xml:space="preserve"> establecido en el contrato de crédito con BNP Paribas&amp;Société Générale</w:t>
      </w:r>
      <w:r w:rsidR="00467066" w:rsidRPr="00AC0BB7">
        <w:rPr>
          <w:lang w:eastAsia="es-MX"/>
        </w:rPr>
        <w:t>.</w:t>
      </w:r>
    </w:p>
    <w:p w14:paraId="0CAB9578" w14:textId="77777777" w:rsidR="00467066" w:rsidRDefault="00467066">
      <w:pPr>
        <w:spacing w:after="0"/>
        <w:rPr>
          <w:lang w:eastAsia="es-MX"/>
        </w:rPr>
      </w:pPr>
    </w:p>
    <w:p w14:paraId="4EC7FFCD" w14:textId="70787121" w:rsidR="00476F5F" w:rsidRDefault="009C67C2" w:rsidP="005D448C">
      <w:pPr>
        <w:spacing w:after="0"/>
        <w:rPr>
          <w:rFonts w:cs="Arial"/>
          <w:lang w:eastAsia="es-MX"/>
        </w:rPr>
      </w:pPr>
      <w:r w:rsidRPr="00AC0BB7">
        <w:rPr>
          <w:lang w:eastAsia="es-MX"/>
        </w:rPr>
        <w:t>E</w:t>
      </w:r>
      <w:r w:rsidR="00476F5F" w:rsidRPr="00AC0BB7">
        <w:rPr>
          <w:lang w:eastAsia="es-MX"/>
        </w:rPr>
        <w:t xml:space="preserve">l costo </w:t>
      </w:r>
      <w:r w:rsidR="00E87B0C" w:rsidRPr="00AC0BB7">
        <w:rPr>
          <w:lang w:eastAsia="es-MX"/>
        </w:rPr>
        <w:t>promedio</w:t>
      </w:r>
      <w:r w:rsidRPr="00AC0BB7">
        <w:rPr>
          <w:lang w:eastAsia="es-MX"/>
        </w:rPr>
        <w:t xml:space="preserve"> </w:t>
      </w:r>
      <w:r w:rsidR="00476F5F" w:rsidRPr="00AC0BB7">
        <w:rPr>
          <w:lang w:eastAsia="es-MX"/>
        </w:rPr>
        <w:t>del</w:t>
      </w:r>
      <w:r w:rsidR="00E87B0C" w:rsidRPr="00AC0BB7">
        <w:rPr>
          <w:lang w:eastAsia="es-MX"/>
        </w:rPr>
        <w:t xml:space="preserve"> inventario</w:t>
      </w:r>
      <w:r w:rsidR="00910080" w:rsidRPr="00AC0BB7">
        <w:rPr>
          <w:lang w:eastAsia="es-MX"/>
        </w:rPr>
        <w:t xml:space="preserve"> </w:t>
      </w:r>
      <w:r w:rsidR="00DD2495" w:rsidRPr="00AC0BB7">
        <w:rPr>
          <w:lang w:eastAsia="es-MX"/>
        </w:rPr>
        <w:t>aumentó</w:t>
      </w:r>
      <w:r w:rsidR="00E87B0C" w:rsidRPr="00AC0BB7">
        <w:rPr>
          <w:lang w:eastAsia="es-MX"/>
        </w:rPr>
        <w:t xml:space="preserve"> en </w:t>
      </w:r>
      <w:r w:rsidR="002A7531">
        <w:rPr>
          <w:lang w:eastAsia="es-MX"/>
        </w:rPr>
        <w:t>los</w:t>
      </w:r>
      <w:r w:rsidR="002A7531" w:rsidRPr="00AC0BB7">
        <w:rPr>
          <w:lang w:eastAsia="es-MX"/>
        </w:rPr>
        <w:t xml:space="preserve"> </w:t>
      </w:r>
      <w:r w:rsidR="00DD2495" w:rsidRPr="00AC0BB7">
        <w:rPr>
          <w:lang w:eastAsia="es-MX"/>
        </w:rPr>
        <w:t>último</w:t>
      </w:r>
      <w:r w:rsidR="002A7531">
        <w:rPr>
          <w:lang w:eastAsia="es-MX"/>
        </w:rPr>
        <w:t>s</w:t>
      </w:r>
      <w:r w:rsidR="00DD2495" w:rsidRPr="00AC0BB7">
        <w:rPr>
          <w:lang w:eastAsia="es-MX"/>
        </w:rPr>
        <w:t xml:space="preserve"> </w:t>
      </w:r>
      <w:r w:rsidR="002A7531">
        <w:rPr>
          <w:lang w:eastAsia="es-MX"/>
        </w:rPr>
        <w:t xml:space="preserve">dos </w:t>
      </w:r>
      <w:r w:rsidR="00DD2495" w:rsidRPr="00AC0BB7">
        <w:rPr>
          <w:lang w:eastAsia="es-MX"/>
        </w:rPr>
        <w:t>año</w:t>
      </w:r>
      <w:r w:rsidR="002A7531">
        <w:rPr>
          <w:lang w:eastAsia="es-MX"/>
        </w:rPr>
        <w:t>s</w:t>
      </w:r>
      <w:r w:rsidR="00E87B0C" w:rsidRPr="00AC0BB7">
        <w:rPr>
          <w:lang w:eastAsia="es-MX"/>
        </w:rPr>
        <w:t>, debido al comportamiento de los precios internacionales</w:t>
      </w:r>
      <w:r w:rsidR="00DD2495" w:rsidRPr="00AC0BB7">
        <w:rPr>
          <w:lang w:eastAsia="es-MX"/>
        </w:rPr>
        <w:t xml:space="preserve"> por la recuperación económica mundial</w:t>
      </w:r>
      <w:r w:rsidR="00CE3D60">
        <w:rPr>
          <w:lang w:eastAsia="es-MX"/>
        </w:rPr>
        <w:t xml:space="preserve"> postpandemia</w:t>
      </w:r>
      <w:r w:rsidR="0079744E">
        <w:rPr>
          <w:lang w:eastAsia="es-MX"/>
        </w:rPr>
        <w:t xml:space="preserve">, los efectos adversos de la crisis de contenedores y el </w:t>
      </w:r>
      <w:r w:rsidR="005D448C">
        <w:rPr>
          <w:lang w:eastAsia="es-MX"/>
        </w:rPr>
        <w:t>conflicto</w:t>
      </w:r>
      <w:r w:rsidR="0079744E">
        <w:rPr>
          <w:lang w:eastAsia="es-MX"/>
        </w:rPr>
        <w:t xml:space="preserve"> en Ucrania</w:t>
      </w:r>
      <w:r w:rsidR="00E87B0C" w:rsidRPr="00AC0BB7">
        <w:rPr>
          <w:lang w:eastAsia="es-MX"/>
        </w:rPr>
        <w:t xml:space="preserve">. </w:t>
      </w:r>
      <w:r w:rsidR="0019232D" w:rsidRPr="00AC0BB7">
        <w:rPr>
          <w:lang w:eastAsia="es-MX"/>
        </w:rPr>
        <w:t xml:space="preserve"> </w:t>
      </w:r>
      <w:r w:rsidR="00E87B0C" w:rsidRPr="00AC0BB7">
        <w:rPr>
          <w:lang w:eastAsia="es-MX"/>
        </w:rPr>
        <w:t xml:space="preserve">El valor </w:t>
      </w:r>
      <w:r w:rsidR="0004461F">
        <w:rPr>
          <w:lang w:eastAsia="es-MX"/>
        </w:rPr>
        <w:t xml:space="preserve">en tanque </w:t>
      </w:r>
      <w:r w:rsidR="00E87B0C" w:rsidRPr="00AC0BB7">
        <w:rPr>
          <w:lang w:eastAsia="es-MX"/>
        </w:rPr>
        <w:t>fue de</w:t>
      </w:r>
      <w:r w:rsidR="00476F5F" w:rsidRPr="00AC0BB7">
        <w:rPr>
          <w:rFonts w:cs="Arial"/>
          <w:lang w:eastAsia="es-MX"/>
        </w:rPr>
        <w:t xml:space="preserve"> </w:t>
      </w:r>
      <w:r w:rsidR="00BF0EC5" w:rsidRPr="00AC0BB7">
        <w:rPr>
          <w:rFonts w:cs="Arial"/>
          <w:lang w:eastAsia="es-MX"/>
        </w:rPr>
        <w:t xml:space="preserve">₡347,81 </w:t>
      </w:r>
      <w:r w:rsidR="00476F5F" w:rsidRPr="00AC0BB7">
        <w:rPr>
          <w:rFonts w:cs="Arial"/>
          <w:lang w:eastAsia="es-MX"/>
        </w:rPr>
        <w:t>/l</w:t>
      </w:r>
      <w:r w:rsidR="00C37473">
        <w:rPr>
          <w:rFonts w:cs="Arial"/>
          <w:lang w:eastAsia="es-MX"/>
        </w:rPr>
        <w:t>itro</w:t>
      </w:r>
      <w:r w:rsidR="00476F5F" w:rsidRPr="00AC0BB7">
        <w:rPr>
          <w:rFonts w:cs="Arial"/>
          <w:lang w:eastAsia="es-MX"/>
        </w:rPr>
        <w:t xml:space="preserve"> en </w:t>
      </w:r>
      <w:r w:rsidR="00BF0EC5" w:rsidRPr="00AC0BB7">
        <w:rPr>
          <w:rFonts w:cs="Arial"/>
          <w:lang w:eastAsia="es-MX"/>
        </w:rPr>
        <w:t>20</w:t>
      </w:r>
      <w:r w:rsidR="00BF0EC5">
        <w:rPr>
          <w:rFonts w:cs="Arial"/>
          <w:lang w:eastAsia="es-MX"/>
        </w:rPr>
        <w:t>20,</w:t>
      </w:r>
      <w:r w:rsidR="00BC6210" w:rsidRPr="00AC0BB7">
        <w:rPr>
          <w:rFonts w:cs="Arial"/>
          <w:lang w:eastAsia="es-MX"/>
        </w:rPr>
        <w:t xml:space="preserve"> de </w:t>
      </w:r>
      <w:r w:rsidR="00BF0EC5" w:rsidRPr="00AC0BB7">
        <w:rPr>
          <w:rFonts w:cs="Arial"/>
          <w:lang w:eastAsia="es-MX"/>
        </w:rPr>
        <w:t>₡</w:t>
      </w:r>
      <w:r w:rsidR="0004461F">
        <w:rPr>
          <w:rFonts w:cs="Arial"/>
          <w:lang w:eastAsia="es-MX"/>
        </w:rPr>
        <w:t>455,43/litro</w:t>
      </w:r>
      <w:r w:rsidR="00BF0EC5" w:rsidRPr="00AC0BB7">
        <w:rPr>
          <w:rFonts w:cs="Arial"/>
          <w:lang w:eastAsia="es-MX"/>
        </w:rPr>
        <w:t xml:space="preserve"> </w:t>
      </w:r>
      <w:r w:rsidR="00BC6210" w:rsidRPr="00AC0BB7">
        <w:rPr>
          <w:rFonts w:cs="Arial"/>
          <w:lang w:eastAsia="es-MX"/>
        </w:rPr>
        <w:t xml:space="preserve">en </w:t>
      </w:r>
      <w:r w:rsidR="00BF0EC5" w:rsidRPr="00AC0BB7">
        <w:rPr>
          <w:rFonts w:cs="Arial"/>
          <w:lang w:eastAsia="es-MX"/>
        </w:rPr>
        <w:t>202</w:t>
      </w:r>
      <w:r w:rsidR="00BF0EC5">
        <w:rPr>
          <w:rFonts w:cs="Arial"/>
          <w:lang w:eastAsia="es-MX"/>
        </w:rPr>
        <w:t>1</w:t>
      </w:r>
      <w:r w:rsidR="00BF0EC5" w:rsidRPr="00AC0BB7">
        <w:rPr>
          <w:rFonts w:cs="Arial"/>
          <w:lang w:eastAsia="es-MX"/>
        </w:rPr>
        <w:t xml:space="preserve"> </w:t>
      </w:r>
      <w:r w:rsidR="00910080" w:rsidRPr="0004461F">
        <w:rPr>
          <w:rFonts w:cs="Arial"/>
          <w:lang w:eastAsia="es-MX"/>
        </w:rPr>
        <w:t>y de ₡</w:t>
      </w:r>
      <w:r w:rsidR="0004461F" w:rsidRPr="005D448C">
        <w:rPr>
          <w:rFonts w:cs="Arial"/>
          <w:lang w:eastAsia="es-MX"/>
        </w:rPr>
        <w:t>667,54/litro</w:t>
      </w:r>
      <w:r w:rsidR="00910080" w:rsidRPr="0004461F">
        <w:rPr>
          <w:rFonts w:cs="Arial"/>
          <w:lang w:eastAsia="es-MX"/>
        </w:rPr>
        <w:t xml:space="preserve"> en </w:t>
      </w:r>
      <w:r w:rsidR="00BF0EC5" w:rsidRPr="0004461F">
        <w:rPr>
          <w:rFonts w:cs="Arial"/>
          <w:lang w:eastAsia="es-MX"/>
        </w:rPr>
        <w:t>2022</w:t>
      </w:r>
      <w:r w:rsidR="00476F5F" w:rsidRPr="0004461F">
        <w:rPr>
          <w:rFonts w:cs="Arial"/>
          <w:lang w:eastAsia="es-MX"/>
        </w:rPr>
        <w:t xml:space="preserve">; mientras que el volumen total promedio fue de </w:t>
      </w:r>
      <w:r w:rsidR="00BF0EC5" w:rsidRPr="0004461F">
        <w:rPr>
          <w:rFonts w:cs="Arial"/>
          <w:lang w:eastAsia="es-MX"/>
        </w:rPr>
        <w:t xml:space="preserve">386 968 </w:t>
      </w:r>
      <w:r w:rsidR="00476F5F" w:rsidRPr="0004461F">
        <w:rPr>
          <w:rFonts w:cs="Arial"/>
          <w:lang w:eastAsia="es-MX"/>
        </w:rPr>
        <w:t>m</w:t>
      </w:r>
      <w:r w:rsidR="00476F5F" w:rsidRPr="0004461F">
        <w:rPr>
          <w:rFonts w:cs="Arial"/>
          <w:vertAlign w:val="superscript"/>
          <w:lang w:eastAsia="es-MX"/>
        </w:rPr>
        <w:t>3</w:t>
      </w:r>
      <w:r w:rsidR="0019475F" w:rsidRPr="0004461F">
        <w:rPr>
          <w:rFonts w:cs="Arial"/>
          <w:lang w:eastAsia="es-MX"/>
        </w:rPr>
        <w:t xml:space="preserve">, </w:t>
      </w:r>
      <w:r w:rsidR="00BF0EC5" w:rsidRPr="0004461F">
        <w:rPr>
          <w:rFonts w:cs="Arial"/>
          <w:lang w:eastAsia="es-MX"/>
        </w:rPr>
        <w:t xml:space="preserve">356 081 </w:t>
      </w:r>
      <w:r w:rsidR="00BC6210" w:rsidRPr="0004461F">
        <w:rPr>
          <w:rFonts w:cs="Arial"/>
          <w:lang w:eastAsia="es-MX"/>
        </w:rPr>
        <w:t>m</w:t>
      </w:r>
      <w:r w:rsidR="00BC6210" w:rsidRPr="0004461F">
        <w:rPr>
          <w:rFonts w:cs="Arial"/>
          <w:vertAlign w:val="superscript"/>
          <w:lang w:eastAsia="es-MX"/>
        </w:rPr>
        <w:t>3</w:t>
      </w:r>
      <w:r w:rsidR="0019475F" w:rsidRPr="0004461F">
        <w:rPr>
          <w:rFonts w:cs="Arial"/>
          <w:lang w:eastAsia="es-MX"/>
        </w:rPr>
        <w:t xml:space="preserve"> y </w:t>
      </w:r>
      <w:r w:rsidR="005062DD">
        <w:rPr>
          <w:rFonts w:cs="Arial"/>
          <w:lang w:eastAsia="es-MX"/>
        </w:rPr>
        <w:t xml:space="preserve">398 252 </w:t>
      </w:r>
      <w:r w:rsidR="007D40B6" w:rsidRPr="0004461F">
        <w:rPr>
          <w:rFonts w:cs="Arial"/>
          <w:lang w:eastAsia="es-MX"/>
        </w:rPr>
        <w:t>m</w:t>
      </w:r>
      <w:r w:rsidR="007D40B6" w:rsidRPr="0004461F">
        <w:rPr>
          <w:rFonts w:cs="Arial"/>
          <w:vertAlign w:val="superscript"/>
          <w:lang w:eastAsia="es-MX"/>
        </w:rPr>
        <w:t>3</w:t>
      </w:r>
      <w:r w:rsidR="007D40B6" w:rsidRPr="0004461F">
        <w:rPr>
          <w:rFonts w:cs="Arial"/>
          <w:lang w:eastAsia="es-MX"/>
        </w:rPr>
        <w:t>, r</w:t>
      </w:r>
      <w:r w:rsidR="00476F5F" w:rsidRPr="0004461F">
        <w:rPr>
          <w:rFonts w:cs="Arial"/>
          <w:lang w:eastAsia="es-MX"/>
        </w:rPr>
        <w:t>espectivamente.</w:t>
      </w:r>
    </w:p>
    <w:p w14:paraId="19388146" w14:textId="77777777" w:rsidR="007D40B6" w:rsidRPr="00AC0BB7" w:rsidRDefault="007D40B6" w:rsidP="005D448C">
      <w:pPr>
        <w:spacing w:after="0"/>
        <w:rPr>
          <w:lang w:eastAsia="es-MX"/>
        </w:rPr>
      </w:pPr>
    </w:p>
    <w:p w14:paraId="69AD48A4" w14:textId="7F687FE5" w:rsidR="00476F5F" w:rsidRDefault="00476F5F" w:rsidP="00925F18">
      <w:pPr>
        <w:spacing w:after="0"/>
        <w:rPr>
          <w:lang w:eastAsia="es-MX"/>
        </w:rPr>
      </w:pPr>
      <w:r w:rsidRPr="00AC0BB7">
        <w:rPr>
          <w:lang w:eastAsia="es-MX"/>
        </w:rPr>
        <w:t xml:space="preserve">La variación anual del inventario impacta las cuentas por pagar a Suplidores de petróleo y derivados, </w:t>
      </w:r>
      <w:r w:rsidR="00FA24A4" w:rsidRPr="00AC0BB7">
        <w:rPr>
          <w:lang w:eastAsia="es-MX"/>
        </w:rPr>
        <w:t>las cuentas por pagar</w:t>
      </w:r>
      <w:r w:rsidRPr="00AC0BB7">
        <w:rPr>
          <w:lang w:eastAsia="es-MX"/>
        </w:rPr>
        <w:t xml:space="preserve"> totalizaron</w:t>
      </w:r>
      <w:r w:rsidR="002F733C" w:rsidRPr="00AC0BB7">
        <w:rPr>
          <w:lang w:eastAsia="es-MX"/>
        </w:rPr>
        <w:t xml:space="preserve"> </w:t>
      </w:r>
      <w:r w:rsidR="004352E1" w:rsidRPr="00AC0BB7">
        <w:rPr>
          <w:rFonts w:cs="Arial"/>
          <w:lang w:eastAsia="es-MX"/>
        </w:rPr>
        <w:t>₡</w:t>
      </w:r>
      <w:r w:rsidR="004352E1" w:rsidRPr="00AC0BB7">
        <w:rPr>
          <w:lang w:eastAsia="es-MX"/>
        </w:rPr>
        <w:t>81 882 millones en 2020</w:t>
      </w:r>
      <w:r w:rsidR="00BE44DD" w:rsidRPr="00AC0BB7">
        <w:rPr>
          <w:lang w:eastAsia="es-MX"/>
        </w:rPr>
        <w:t>,</w:t>
      </w:r>
      <w:r w:rsidR="002F733C" w:rsidRPr="00AC0BB7">
        <w:rPr>
          <w:lang w:eastAsia="es-MX"/>
        </w:rPr>
        <w:t xml:space="preserve"> </w:t>
      </w:r>
      <w:r w:rsidR="004352E1" w:rsidRPr="00AC0BB7">
        <w:rPr>
          <w:lang w:eastAsia="es-MX"/>
        </w:rPr>
        <w:t>₡</w:t>
      </w:r>
      <w:r w:rsidR="004352E1" w:rsidRPr="00AC0BB7">
        <w:rPr>
          <w:rFonts w:cs="Arial"/>
          <w:lang w:eastAsia="es-MX"/>
        </w:rPr>
        <w:t xml:space="preserve">254 751 </w:t>
      </w:r>
      <w:r w:rsidR="004352E1" w:rsidRPr="00AC0BB7">
        <w:rPr>
          <w:lang w:eastAsia="es-MX"/>
        </w:rPr>
        <w:t>millones en 2021</w:t>
      </w:r>
      <w:r w:rsidR="00BE44DD" w:rsidRPr="00AC0BB7">
        <w:rPr>
          <w:lang w:eastAsia="es-MX"/>
        </w:rPr>
        <w:t xml:space="preserve"> y ₡</w:t>
      </w:r>
      <w:r w:rsidR="00467066">
        <w:rPr>
          <w:rFonts w:cs="Arial"/>
          <w:lang w:eastAsia="es-MX"/>
        </w:rPr>
        <w:t>137 212</w:t>
      </w:r>
      <w:r w:rsidR="004352E1" w:rsidRPr="00AC0BB7">
        <w:rPr>
          <w:rFonts w:cs="Arial"/>
          <w:lang w:eastAsia="es-MX"/>
        </w:rPr>
        <w:t xml:space="preserve"> </w:t>
      </w:r>
      <w:r w:rsidR="00BE44DD" w:rsidRPr="00AC0BB7">
        <w:rPr>
          <w:lang w:eastAsia="es-MX"/>
        </w:rPr>
        <w:t xml:space="preserve">millones en </w:t>
      </w:r>
      <w:r w:rsidR="004352E1" w:rsidRPr="00AC0BB7">
        <w:rPr>
          <w:lang w:eastAsia="es-MX"/>
        </w:rPr>
        <w:t>202</w:t>
      </w:r>
      <w:r w:rsidR="004352E1">
        <w:rPr>
          <w:lang w:eastAsia="es-MX"/>
        </w:rPr>
        <w:t>2</w:t>
      </w:r>
      <w:r w:rsidR="00467066">
        <w:rPr>
          <w:lang w:eastAsia="es-MX"/>
        </w:rPr>
        <w:t xml:space="preserve"> (en este último caso, al cierre anual se había dado una </w:t>
      </w:r>
      <w:r w:rsidR="00467066" w:rsidRPr="004E7BE7">
        <w:rPr>
          <w:lang w:eastAsia="es-MX"/>
        </w:rPr>
        <w:t>importante rebaja en los precios internacionales de los combustibles y en el tipo de cambio)</w:t>
      </w:r>
      <w:r w:rsidRPr="004E7BE7">
        <w:rPr>
          <w:lang w:eastAsia="es-MX"/>
        </w:rPr>
        <w:t xml:space="preserve">. </w:t>
      </w:r>
      <w:r w:rsidR="0019232D" w:rsidRPr="004E7BE7">
        <w:rPr>
          <w:lang w:eastAsia="es-MX"/>
        </w:rPr>
        <w:t xml:space="preserve"> </w:t>
      </w:r>
      <w:r w:rsidRPr="004E7BE7">
        <w:rPr>
          <w:lang w:eastAsia="es-MX"/>
        </w:rPr>
        <w:t xml:space="preserve">  Las cuentas por pagar </w:t>
      </w:r>
      <w:r w:rsidR="004E7BE7" w:rsidRPr="00925F18">
        <w:rPr>
          <w:lang w:eastAsia="es-MX"/>
        </w:rPr>
        <w:t xml:space="preserve">han variado en su peso relativo </w:t>
      </w:r>
      <w:r w:rsidRPr="00484D9D">
        <w:rPr>
          <w:lang w:eastAsia="es-MX"/>
        </w:rPr>
        <w:t xml:space="preserve">con respecto al pasivo total: pasaron </w:t>
      </w:r>
      <w:r w:rsidR="00546114" w:rsidRPr="00484D9D">
        <w:rPr>
          <w:lang w:eastAsia="es-MX"/>
        </w:rPr>
        <w:t>de</w:t>
      </w:r>
      <w:r w:rsidR="002F733C" w:rsidRPr="00484D9D">
        <w:rPr>
          <w:lang w:eastAsia="es-MX"/>
        </w:rPr>
        <w:t xml:space="preserve"> </w:t>
      </w:r>
      <w:r w:rsidR="007A158B" w:rsidRPr="00484D9D">
        <w:rPr>
          <w:lang w:eastAsia="es-MX"/>
        </w:rPr>
        <w:t>26,1%</w:t>
      </w:r>
      <w:r w:rsidR="002F733C" w:rsidRPr="00484D9D">
        <w:rPr>
          <w:lang w:eastAsia="es-MX"/>
        </w:rPr>
        <w:t xml:space="preserve"> en 2020</w:t>
      </w:r>
      <w:r w:rsidR="00183498" w:rsidRPr="00484D9D">
        <w:rPr>
          <w:lang w:eastAsia="es-MX"/>
        </w:rPr>
        <w:t xml:space="preserve"> al 52%</w:t>
      </w:r>
      <w:r w:rsidR="00546114" w:rsidRPr="00484D9D">
        <w:rPr>
          <w:lang w:eastAsia="es-MX"/>
        </w:rPr>
        <w:t xml:space="preserve"> en 2021</w:t>
      </w:r>
      <w:r w:rsidR="00E10902" w:rsidRPr="00484D9D">
        <w:rPr>
          <w:lang w:eastAsia="es-MX"/>
        </w:rPr>
        <w:t xml:space="preserve"> y a </w:t>
      </w:r>
      <w:r w:rsidR="004E7BE7" w:rsidRPr="00925F18">
        <w:rPr>
          <w:lang w:eastAsia="es-MX"/>
        </w:rPr>
        <w:t>39,4</w:t>
      </w:r>
      <w:r w:rsidR="00E10902" w:rsidRPr="00484D9D">
        <w:rPr>
          <w:lang w:eastAsia="es-MX"/>
        </w:rPr>
        <w:t>% en 2022</w:t>
      </w:r>
      <w:r w:rsidRPr="00484D9D">
        <w:rPr>
          <w:lang w:eastAsia="es-MX"/>
        </w:rPr>
        <w:t>.</w:t>
      </w:r>
      <w:r w:rsidR="00E87B0C" w:rsidRPr="00484D9D">
        <w:rPr>
          <w:lang w:eastAsia="es-MX"/>
        </w:rPr>
        <w:t xml:space="preserve"> </w:t>
      </w:r>
      <w:r w:rsidR="0019232D" w:rsidRPr="00484D9D">
        <w:rPr>
          <w:lang w:eastAsia="es-MX"/>
        </w:rPr>
        <w:t xml:space="preserve"> </w:t>
      </w:r>
      <w:r w:rsidR="00E87B0C" w:rsidRPr="00484D9D">
        <w:rPr>
          <w:lang w:eastAsia="es-MX"/>
        </w:rPr>
        <w:t xml:space="preserve">En caso </w:t>
      </w:r>
      <w:r w:rsidR="00484D9D" w:rsidRPr="00925F18">
        <w:rPr>
          <w:lang w:eastAsia="es-MX"/>
        </w:rPr>
        <w:t xml:space="preserve">de 2021 </w:t>
      </w:r>
      <w:r w:rsidR="0031708E" w:rsidRPr="00484D9D">
        <w:rPr>
          <w:lang w:eastAsia="es-MX"/>
        </w:rPr>
        <w:t>el alza</w:t>
      </w:r>
      <w:r w:rsidR="00E87B0C" w:rsidRPr="00484D9D">
        <w:rPr>
          <w:lang w:eastAsia="es-MX"/>
        </w:rPr>
        <w:t xml:space="preserve"> obedece </w:t>
      </w:r>
      <w:r w:rsidR="00484D9D" w:rsidRPr="00925F18">
        <w:rPr>
          <w:lang w:eastAsia="es-MX"/>
        </w:rPr>
        <w:t xml:space="preserve">en parte </w:t>
      </w:r>
      <w:r w:rsidR="00E87B0C" w:rsidRPr="00484D9D">
        <w:rPr>
          <w:lang w:eastAsia="es-MX"/>
        </w:rPr>
        <w:t>a las condiciones del nuevo contrato de importación de gasolinas</w:t>
      </w:r>
      <w:r w:rsidR="006C1ED5" w:rsidRPr="00484D9D">
        <w:rPr>
          <w:lang w:eastAsia="es-MX"/>
        </w:rPr>
        <w:t xml:space="preserve">, </w:t>
      </w:r>
      <w:r w:rsidR="00E87B0C" w:rsidRPr="00484D9D">
        <w:rPr>
          <w:lang w:eastAsia="es-MX"/>
        </w:rPr>
        <w:t>diésel</w:t>
      </w:r>
      <w:r w:rsidR="006C1ED5" w:rsidRPr="00484D9D">
        <w:rPr>
          <w:lang w:eastAsia="es-MX"/>
        </w:rPr>
        <w:t xml:space="preserve"> y Jet </w:t>
      </w:r>
      <w:r w:rsidR="0019232D" w:rsidRPr="00484D9D">
        <w:rPr>
          <w:lang w:eastAsia="es-MX"/>
        </w:rPr>
        <w:t>f</w:t>
      </w:r>
      <w:r w:rsidR="006C1ED5" w:rsidRPr="00484D9D">
        <w:rPr>
          <w:lang w:eastAsia="es-MX"/>
        </w:rPr>
        <w:t>uel</w:t>
      </w:r>
      <w:r w:rsidR="00E87B0C" w:rsidRPr="00484D9D">
        <w:rPr>
          <w:lang w:eastAsia="es-MX"/>
        </w:rPr>
        <w:t>, donde el periodo de pago aumentó de 30 a 45 días</w:t>
      </w:r>
      <w:r w:rsidR="00484D9D" w:rsidRPr="00925F18">
        <w:rPr>
          <w:lang w:eastAsia="es-MX"/>
        </w:rPr>
        <w:t xml:space="preserve"> hasta noviembre 2022, con las nuevas contrataciones todos los pedidos de producto se pagan a 30 días a partir de diciembre de 2022.</w:t>
      </w:r>
    </w:p>
    <w:p w14:paraId="2A12139B" w14:textId="77777777" w:rsidR="00556963" w:rsidRPr="006E6390" w:rsidRDefault="00556963" w:rsidP="00476F5F">
      <w:pPr>
        <w:rPr>
          <w:lang w:eastAsia="es-MX"/>
        </w:rPr>
      </w:pPr>
    </w:p>
    <w:p w14:paraId="37C8AE5E" w14:textId="77777777" w:rsidR="00873CC3" w:rsidRPr="006E6390" w:rsidRDefault="00873CC3" w:rsidP="00873CC3">
      <w:pPr>
        <w:pStyle w:val="Ttulo4"/>
      </w:pPr>
      <w:r w:rsidRPr="006E6390">
        <w:lastRenderedPageBreak/>
        <w:t>2.3.1.2. Prueba ácida (veces):</w:t>
      </w:r>
    </w:p>
    <w:p w14:paraId="28D6307B" w14:textId="77777777" w:rsidR="00873CC3" w:rsidRDefault="00873CC3" w:rsidP="00534220">
      <w:pPr>
        <w:spacing w:after="0"/>
        <w:rPr>
          <w:lang w:eastAsia="es-MX"/>
        </w:rPr>
      </w:pPr>
      <w:r w:rsidRPr="006E6390">
        <w:rPr>
          <w:lang w:eastAsia="es-MX"/>
        </w:rPr>
        <w:t>El indicador de Prueba Ácida es similar al indicador anterior, excluyendo los inventarios de los Activos C</w:t>
      </w:r>
      <w:r w:rsidR="00B97590" w:rsidRPr="006E6390">
        <w:rPr>
          <w:lang w:eastAsia="es-MX"/>
        </w:rPr>
        <w:t>orrien</w:t>
      </w:r>
      <w:r w:rsidRPr="006E6390">
        <w:rPr>
          <w:lang w:eastAsia="es-MX"/>
        </w:rPr>
        <w:t xml:space="preserve">tes, ya que, en teoría, son los activos menos líquidos (lo que no ocurre en el caso de RECOPE, por </w:t>
      </w:r>
      <w:r w:rsidR="007A6E29" w:rsidRPr="006E6390">
        <w:rPr>
          <w:lang w:eastAsia="es-MX"/>
        </w:rPr>
        <w:t>su</w:t>
      </w:r>
      <w:r w:rsidRPr="006E6390">
        <w:rPr>
          <w:lang w:eastAsia="es-MX"/>
        </w:rPr>
        <w:t xml:space="preserve"> </w:t>
      </w:r>
      <w:r w:rsidR="007A6E29" w:rsidRPr="006E6390">
        <w:rPr>
          <w:lang w:eastAsia="es-MX"/>
        </w:rPr>
        <w:t xml:space="preserve">propia </w:t>
      </w:r>
      <w:r w:rsidRPr="006E6390">
        <w:rPr>
          <w:lang w:eastAsia="es-MX"/>
        </w:rPr>
        <w:t>naturaleza y la operación comercial de la empresa; es decir, los inventarios son de fácil realización).  El resultado obtenido representa el número de veces que la empresa tiene capacidad para saldar sus obligaciones a corto plazo con los activos de esta naturaleza, sin tomar en consideración los inventarios.</w:t>
      </w:r>
    </w:p>
    <w:p w14:paraId="17491237" w14:textId="77777777" w:rsidR="00B6634A" w:rsidRPr="006E6390" w:rsidRDefault="00B6634A" w:rsidP="00925F18">
      <w:pPr>
        <w:spacing w:after="0" w:line="240" w:lineRule="auto"/>
        <w:jc w:val="left"/>
        <w:rPr>
          <w:lang w:eastAsia="es-MX"/>
        </w:rPr>
      </w:pPr>
    </w:p>
    <w:p w14:paraId="694C7DED" w14:textId="77777777" w:rsidR="00873CC3" w:rsidRPr="006E6390" w:rsidRDefault="00873CC3" w:rsidP="00470921">
      <w:pPr>
        <w:pStyle w:val="Cuadro"/>
      </w:pPr>
      <w:r w:rsidRPr="006E6390">
        <w:t>Cuadro N°</w:t>
      </w:r>
      <w:r w:rsidR="007A29A1" w:rsidRPr="006E6390">
        <w:t>4</w:t>
      </w:r>
      <w:r w:rsidR="0019232D">
        <w:t xml:space="preserve"> Prueba Ácida</w:t>
      </w:r>
    </w:p>
    <w:tbl>
      <w:tblPr>
        <w:tblStyle w:val="Tablanormal1"/>
        <w:tblW w:w="4818" w:type="pct"/>
        <w:jc w:val="center"/>
        <w:tblLook w:val="04A0" w:firstRow="1" w:lastRow="0" w:firstColumn="1" w:lastColumn="0" w:noHBand="0" w:noVBand="1"/>
      </w:tblPr>
      <w:tblGrid>
        <w:gridCol w:w="5524"/>
        <w:gridCol w:w="1039"/>
        <w:gridCol w:w="1039"/>
        <w:gridCol w:w="1041"/>
      </w:tblGrid>
      <w:tr w:rsidR="00C94D4C" w:rsidRPr="006E6390" w14:paraId="7788CC3B" w14:textId="77777777" w:rsidTr="00925F1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96" w:type="pct"/>
            <w:hideMark/>
          </w:tcPr>
          <w:p w14:paraId="3687E4E9" w14:textId="77777777" w:rsidR="00C94D4C" w:rsidRPr="006E6390" w:rsidRDefault="00C94D4C" w:rsidP="00C94D4C">
            <w:pPr>
              <w:pStyle w:val="Tablas"/>
              <w:tabs>
                <w:tab w:val="left" w:pos="9270"/>
              </w:tabs>
              <w:rPr>
                <w:rFonts w:cs="Arial"/>
                <w:sz w:val="20"/>
                <w:szCs w:val="20"/>
              </w:rPr>
            </w:pPr>
            <w:r>
              <w:rPr>
                <w:rFonts w:ascii="Calibri" w:hAnsi="Calibri" w:cs="Calibri"/>
                <w:color w:val="000000"/>
                <w:sz w:val="20"/>
                <w:szCs w:val="20"/>
              </w:rPr>
              <w:t> </w:t>
            </w:r>
          </w:p>
        </w:tc>
        <w:tc>
          <w:tcPr>
            <w:tcW w:w="601" w:type="pct"/>
            <w:vAlign w:val="center"/>
          </w:tcPr>
          <w:p w14:paraId="16658322" w14:textId="437D56BF" w:rsidR="00C94D4C" w:rsidRPr="00925F18" w:rsidRDefault="00C94D4C" w:rsidP="00C94D4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925F18">
              <w:rPr>
                <w:rFonts w:cs="Arial"/>
                <w:color w:val="002060"/>
                <w:sz w:val="20"/>
                <w:szCs w:val="20"/>
              </w:rPr>
              <w:t>dic-20</w:t>
            </w:r>
          </w:p>
        </w:tc>
        <w:tc>
          <w:tcPr>
            <w:tcW w:w="601" w:type="pct"/>
            <w:vAlign w:val="center"/>
          </w:tcPr>
          <w:p w14:paraId="4F646393" w14:textId="3A75AA90" w:rsidR="00C94D4C" w:rsidRPr="00925F18" w:rsidRDefault="00C94D4C" w:rsidP="00C94D4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925F18">
              <w:rPr>
                <w:rFonts w:cs="Arial"/>
                <w:color w:val="002060"/>
                <w:sz w:val="20"/>
                <w:szCs w:val="20"/>
              </w:rPr>
              <w:t>dic-21</w:t>
            </w:r>
          </w:p>
        </w:tc>
        <w:tc>
          <w:tcPr>
            <w:tcW w:w="602" w:type="pct"/>
            <w:vAlign w:val="center"/>
          </w:tcPr>
          <w:p w14:paraId="594CEF65" w14:textId="4F1D3399" w:rsidR="00C94D4C" w:rsidRPr="00925F18" w:rsidRDefault="00C94D4C" w:rsidP="00C94D4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925F18">
              <w:rPr>
                <w:rFonts w:cs="Arial"/>
                <w:color w:val="002060"/>
                <w:sz w:val="20"/>
                <w:szCs w:val="20"/>
              </w:rPr>
              <w:t>dic-22</w:t>
            </w:r>
          </w:p>
        </w:tc>
      </w:tr>
      <w:tr w:rsidR="00E02E8B" w:rsidRPr="006E6390" w14:paraId="2AE1166F" w14:textId="77777777" w:rsidTr="00925F1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96" w:type="pct"/>
            <w:vAlign w:val="center"/>
            <w:hideMark/>
          </w:tcPr>
          <w:p w14:paraId="560FEBC4" w14:textId="010C2D78" w:rsidR="00E02E8B" w:rsidRPr="006E6390" w:rsidRDefault="00E02E8B" w:rsidP="00E02E8B">
            <w:pPr>
              <w:pStyle w:val="Tablas"/>
              <w:tabs>
                <w:tab w:val="left" w:pos="9270"/>
              </w:tabs>
              <w:rPr>
                <w:rFonts w:cs="Arial"/>
                <w:b w:val="0"/>
                <w:sz w:val="20"/>
                <w:szCs w:val="20"/>
              </w:rPr>
            </w:pPr>
            <w:r>
              <w:rPr>
                <w:rFonts w:cs="Arial"/>
                <w:color w:val="000000"/>
                <w:sz w:val="20"/>
                <w:szCs w:val="20"/>
              </w:rPr>
              <w:t>Activo Corriente menos inventarios sobre Pasivo Corriente (a/b)</w:t>
            </w:r>
          </w:p>
        </w:tc>
        <w:tc>
          <w:tcPr>
            <w:tcW w:w="601" w:type="pct"/>
            <w:vAlign w:val="center"/>
          </w:tcPr>
          <w:p w14:paraId="3BD4B39E" w14:textId="4B390DB0"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Pr>
                <w:rFonts w:cs="Arial"/>
                <w:b/>
                <w:bCs/>
                <w:color w:val="000000"/>
                <w:sz w:val="20"/>
                <w:szCs w:val="20"/>
              </w:rPr>
              <w:t>0,77</w:t>
            </w:r>
          </w:p>
        </w:tc>
        <w:tc>
          <w:tcPr>
            <w:tcW w:w="601" w:type="pct"/>
            <w:vAlign w:val="center"/>
          </w:tcPr>
          <w:p w14:paraId="69FB8013" w14:textId="66CF0283"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0,52</w:t>
            </w:r>
          </w:p>
        </w:tc>
        <w:tc>
          <w:tcPr>
            <w:tcW w:w="602" w:type="pct"/>
            <w:vAlign w:val="center"/>
          </w:tcPr>
          <w:p w14:paraId="706D4446" w14:textId="2EA03E46"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0,84</w:t>
            </w:r>
          </w:p>
        </w:tc>
      </w:tr>
      <w:tr w:rsidR="00E02E8B" w:rsidRPr="006E6390" w14:paraId="256500F2" w14:textId="77777777" w:rsidTr="00925F18">
        <w:trPr>
          <w:trHeight w:val="397"/>
          <w:jc w:val="center"/>
        </w:trPr>
        <w:tc>
          <w:tcPr>
            <w:cnfStyle w:val="001000000000" w:firstRow="0" w:lastRow="0" w:firstColumn="1" w:lastColumn="0" w:oddVBand="0" w:evenVBand="0" w:oddHBand="0" w:evenHBand="0" w:firstRowFirstColumn="0" w:firstRowLastColumn="0" w:lastRowFirstColumn="0" w:lastRowLastColumn="0"/>
            <w:tcW w:w="3196" w:type="pct"/>
            <w:vAlign w:val="center"/>
            <w:hideMark/>
          </w:tcPr>
          <w:p w14:paraId="18267479" w14:textId="10978558" w:rsidR="00E02E8B" w:rsidRPr="006E6390" w:rsidRDefault="00E02E8B" w:rsidP="00E02E8B">
            <w:pPr>
              <w:pStyle w:val="Tablas"/>
              <w:tabs>
                <w:tab w:val="left" w:pos="9270"/>
              </w:tabs>
              <w:rPr>
                <w:rFonts w:cs="Arial"/>
                <w:sz w:val="20"/>
                <w:szCs w:val="20"/>
              </w:rPr>
            </w:pPr>
            <w:r>
              <w:rPr>
                <w:rFonts w:cs="Arial"/>
                <w:b w:val="0"/>
                <w:bCs w:val="0"/>
                <w:color w:val="000000"/>
                <w:sz w:val="20"/>
                <w:szCs w:val="20"/>
              </w:rPr>
              <w:t>a)  Activo Corriente excluidos los inventarios (millones de ¢)</w:t>
            </w:r>
          </w:p>
        </w:tc>
        <w:tc>
          <w:tcPr>
            <w:tcW w:w="601" w:type="pct"/>
            <w:vAlign w:val="center"/>
          </w:tcPr>
          <w:p w14:paraId="164EF8C3" w14:textId="1FE32EAD" w:rsidR="00E02E8B" w:rsidRPr="006E6390" w:rsidRDefault="00E02E8B" w:rsidP="00E02E8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color w:val="000000"/>
                <w:sz w:val="20"/>
                <w:szCs w:val="20"/>
              </w:rPr>
              <w:t>73 592</w:t>
            </w:r>
          </w:p>
        </w:tc>
        <w:tc>
          <w:tcPr>
            <w:tcW w:w="601" w:type="pct"/>
            <w:vAlign w:val="center"/>
          </w:tcPr>
          <w:p w14:paraId="6EAA0A28" w14:textId="6982750B" w:rsidR="00E02E8B" w:rsidRPr="006E6390" w:rsidRDefault="00E02E8B" w:rsidP="00E02E8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156 674</w:t>
            </w:r>
          </w:p>
        </w:tc>
        <w:tc>
          <w:tcPr>
            <w:tcW w:w="602" w:type="pct"/>
            <w:vAlign w:val="center"/>
          </w:tcPr>
          <w:p w14:paraId="0C549F04" w14:textId="4CD10ACD" w:rsidR="00E02E8B" w:rsidRPr="006E6390" w:rsidRDefault="00E02E8B" w:rsidP="00E02E8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139 599</w:t>
            </w:r>
          </w:p>
        </w:tc>
      </w:tr>
      <w:tr w:rsidR="00E02E8B" w:rsidRPr="006E6390" w14:paraId="657E370D" w14:textId="77777777" w:rsidTr="00925F1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96" w:type="pct"/>
            <w:vAlign w:val="center"/>
            <w:hideMark/>
          </w:tcPr>
          <w:p w14:paraId="2EE20900" w14:textId="0A983238" w:rsidR="00E02E8B" w:rsidRPr="006E6390" w:rsidRDefault="00E02E8B" w:rsidP="00E02E8B">
            <w:pPr>
              <w:pStyle w:val="Tablas"/>
              <w:tabs>
                <w:tab w:val="left" w:pos="9270"/>
              </w:tabs>
              <w:rPr>
                <w:rFonts w:cs="Arial"/>
                <w:sz w:val="20"/>
                <w:szCs w:val="20"/>
              </w:rPr>
            </w:pPr>
            <w:r>
              <w:rPr>
                <w:rFonts w:cs="Arial"/>
                <w:b w:val="0"/>
                <w:bCs w:val="0"/>
                <w:color w:val="000000"/>
                <w:sz w:val="20"/>
                <w:szCs w:val="20"/>
              </w:rPr>
              <w:t>b)  Pasivo Corriente (millones de ¢)</w:t>
            </w:r>
          </w:p>
        </w:tc>
        <w:tc>
          <w:tcPr>
            <w:tcW w:w="601" w:type="pct"/>
            <w:vAlign w:val="center"/>
          </w:tcPr>
          <w:p w14:paraId="30800A9C" w14:textId="0BCB365C"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95 479</w:t>
            </w:r>
          </w:p>
        </w:tc>
        <w:tc>
          <w:tcPr>
            <w:tcW w:w="601" w:type="pct"/>
            <w:vAlign w:val="center"/>
          </w:tcPr>
          <w:p w14:paraId="3B23D2B2" w14:textId="0DF11AC0"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302 446</w:t>
            </w:r>
          </w:p>
        </w:tc>
        <w:tc>
          <w:tcPr>
            <w:tcW w:w="602" w:type="pct"/>
            <w:vAlign w:val="center"/>
          </w:tcPr>
          <w:p w14:paraId="6856D034" w14:textId="759BFB7B" w:rsidR="00E02E8B" w:rsidRPr="006E6390" w:rsidRDefault="00E02E8B" w:rsidP="00E02E8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165 529</w:t>
            </w:r>
          </w:p>
        </w:tc>
      </w:tr>
    </w:tbl>
    <w:p w14:paraId="3612D799" w14:textId="77777777" w:rsidR="00873CC3" w:rsidRPr="006E6390" w:rsidRDefault="00873CC3" w:rsidP="00873CC3">
      <w:pPr>
        <w:pStyle w:val="Sinespaciado"/>
        <w:tabs>
          <w:tab w:val="left" w:pos="9270"/>
        </w:tabs>
        <w:spacing w:line="276" w:lineRule="auto"/>
        <w:rPr>
          <w:rFonts w:ascii="Helvetica" w:hAnsi="Helvetica" w:cs="Helvetica"/>
          <w:sz w:val="22"/>
        </w:rPr>
      </w:pPr>
    </w:p>
    <w:p w14:paraId="0BE5D550" w14:textId="26137597" w:rsidR="00873CC3" w:rsidRDefault="00873CC3" w:rsidP="00925F18">
      <w:pPr>
        <w:spacing w:after="0"/>
        <w:rPr>
          <w:rFonts w:cs="Arial"/>
          <w:lang w:eastAsia="es-MX"/>
        </w:rPr>
      </w:pPr>
      <w:r w:rsidRPr="0038578E">
        <w:rPr>
          <w:rFonts w:cs="Arial"/>
          <w:lang w:eastAsia="es-MX"/>
        </w:rPr>
        <w:t>Los inventarios de RECOPE comprenden, principalmente, productos terminados; y en menor medida, suministros y materias primas.  De este modo, su exclusión reduce significativamente el monto de activos corrientes.</w:t>
      </w:r>
      <w:r w:rsidRPr="006E6390">
        <w:rPr>
          <w:rFonts w:cs="Arial"/>
          <w:lang w:eastAsia="es-MX"/>
        </w:rPr>
        <w:t xml:space="preserve"> </w:t>
      </w:r>
    </w:p>
    <w:p w14:paraId="5392D747" w14:textId="77777777" w:rsidR="00B91F2B" w:rsidRPr="006E6390" w:rsidRDefault="00B91F2B" w:rsidP="00925F18">
      <w:pPr>
        <w:spacing w:after="0"/>
        <w:rPr>
          <w:rFonts w:cs="Arial"/>
          <w:lang w:eastAsia="es-MX"/>
        </w:rPr>
      </w:pPr>
    </w:p>
    <w:p w14:paraId="0B35118B" w14:textId="4888B6EF" w:rsidR="00873CC3" w:rsidRDefault="00873CC3" w:rsidP="00925F18">
      <w:pPr>
        <w:spacing w:after="0"/>
        <w:rPr>
          <w:rFonts w:cs="Arial"/>
          <w:lang w:eastAsia="es-MX"/>
        </w:rPr>
      </w:pPr>
      <w:r w:rsidRPr="006E6390">
        <w:rPr>
          <w:rFonts w:cs="Arial"/>
          <w:lang w:eastAsia="es-MX"/>
        </w:rPr>
        <w:t>Los inventarios</w:t>
      </w:r>
      <w:r w:rsidR="00021D6D" w:rsidRPr="006E6390">
        <w:rPr>
          <w:rFonts w:cs="Arial"/>
          <w:lang w:eastAsia="es-MX"/>
        </w:rPr>
        <w:t xml:space="preserve"> de hidrocarburos</w:t>
      </w:r>
      <w:r w:rsidRPr="006E6390">
        <w:rPr>
          <w:rFonts w:cs="Arial"/>
          <w:lang w:eastAsia="es-MX"/>
        </w:rPr>
        <w:t xml:space="preserve"> representaron </w:t>
      </w:r>
      <w:r w:rsidR="00A717EB">
        <w:rPr>
          <w:rFonts w:cs="Arial"/>
          <w:lang w:eastAsia="es-MX"/>
        </w:rPr>
        <w:t>62</w:t>
      </w:r>
      <w:r w:rsidRPr="006E6390">
        <w:rPr>
          <w:rFonts w:cs="Arial"/>
          <w:lang w:eastAsia="es-MX"/>
        </w:rPr>
        <w:t>,1%</w:t>
      </w:r>
      <w:r w:rsidR="00DC329F" w:rsidRPr="006E6390">
        <w:rPr>
          <w:rFonts w:cs="Arial"/>
          <w:lang w:eastAsia="es-MX"/>
        </w:rPr>
        <w:t xml:space="preserve">, </w:t>
      </w:r>
      <w:r w:rsidR="00A717EB" w:rsidRPr="006E6390">
        <w:rPr>
          <w:rFonts w:cs="Arial"/>
          <w:lang w:eastAsia="es-MX"/>
        </w:rPr>
        <w:t>6</w:t>
      </w:r>
      <w:r w:rsidR="00A717EB">
        <w:rPr>
          <w:rFonts w:cs="Arial"/>
          <w:lang w:eastAsia="es-MX"/>
        </w:rPr>
        <w:t>1</w:t>
      </w:r>
      <w:r w:rsidRPr="006E6390">
        <w:rPr>
          <w:rFonts w:cs="Arial"/>
          <w:lang w:eastAsia="es-MX"/>
        </w:rPr>
        <w:t>,</w:t>
      </w:r>
      <w:r w:rsidR="00A717EB">
        <w:rPr>
          <w:rFonts w:cs="Arial"/>
          <w:lang w:eastAsia="es-MX"/>
        </w:rPr>
        <w:t>8</w:t>
      </w:r>
      <w:r w:rsidRPr="006E6390">
        <w:rPr>
          <w:rFonts w:cs="Arial"/>
          <w:lang w:eastAsia="es-MX"/>
        </w:rPr>
        <w:t xml:space="preserve">% </w:t>
      </w:r>
      <w:r w:rsidR="00DC329F" w:rsidRPr="006E6390">
        <w:rPr>
          <w:rFonts w:cs="Arial"/>
          <w:lang w:eastAsia="es-MX"/>
        </w:rPr>
        <w:t xml:space="preserve">y </w:t>
      </w:r>
      <w:r w:rsidR="0097261B">
        <w:rPr>
          <w:rFonts w:cs="Arial"/>
          <w:lang w:eastAsia="es-MX"/>
        </w:rPr>
        <w:t>62,5</w:t>
      </w:r>
      <w:r w:rsidR="00DC329F" w:rsidRPr="006E6390">
        <w:rPr>
          <w:rFonts w:cs="Arial"/>
          <w:lang w:eastAsia="es-MX"/>
        </w:rPr>
        <w:t xml:space="preserve">% </w:t>
      </w:r>
      <w:r w:rsidRPr="006E6390">
        <w:rPr>
          <w:rFonts w:cs="Arial"/>
          <w:lang w:eastAsia="es-MX"/>
        </w:rPr>
        <w:t xml:space="preserve">del activo </w:t>
      </w:r>
      <w:r w:rsidR="00F07BF7" w:rsidRPr="006E6390">
        <w:rPr>
          <w:rFonts w:cs="Arial"/>
          <w:lang w:eastAsia="es-MX"/>
        </w:rPr>
        <w:t>corriente</w:t>
      </w:r>
      <w:r w:rsidRPr="006E6390">
        <w:rPr>
          <w:rFonts w:cs="Arial"/>
          <w:lang w:eastAsia="es-MX"/>
        </w:rPr>
        <w:t xml:space="preserve"> de </w:t>
      </w:r>
      <w:r w:rsidR="00A717EB" w:rsidRPr="006E6390">
        <w:rPr>
          <w:rFonts w:cs="Arial"/>
          <w:lang w:eastAsia="es-MX"/>
        </w:rPr>
        <w:t>20</w:t>
      </w:r>
      <w:r w:rsidR="00A717EB">
        <w:rPr>
          <w:rFonts w:cs="Arial"/>
          <w:lang w:eastAsia="es-MX"/>
        </w:rPr>
        <w:t>20</w:t>
      </w:r>
      <w:r w:rsidRPr="006E6390">
        <w:rPr>
          <w:rFonts w:cs="Arial"/>
          <w:lang w:eastAsia="es-MX"/>
        </w:rPr>
        <w:t xml:space="preserve">, </w:t>
      </w:r>
      <w:r w:rsidR="00A717EB" w:rsidRPr="006E6390">
        <w:rPr>
          <w:rFonts w:cs="Arial"/>
          <w:lang w:eastAsia="es-MX"/>
        </w:rPr>
        <w:t>202</w:t>
      </w:r>
      <w:r w:rsidR="00A717EB">
        <w:rPr>
          <w:rFonts w:cs="Arial"/>
          <w:lang w:eastAsia="es-MX"/>
        </w:rPr>
        <w:t>1</w:t>
      </w:r>
      <w:r w:rsidR="00A717EB" w:rsidRPr="006E6390">
        <w:rPr>
          <w:rFonts w:cs="Arial"/>
          <w:lang w:eastAsia="es-MX"/>
        </w:rPr>
        <w:t xml:space="preserve"> </w:t>
      </w:r>
      <w:r w:rsidRPr="006E6390">
        <w:rPr>
          <w:rFonts w:cs="Arial"/>
          <w:lang w:eastAsia="es-MX"/>
        </w:rPr>
        <w:t xml:space="preserve">y </w:t>
      </w:r>
      <w:r w:rsidR="00A717EB" w:rsidRPr="006E6390">
        <w:rPr>
          <w:rFonts w:cs="Arial"/>
          <w:lang w:eastAsia="es-MX"/>
        </w:rPr>
        <w:t>202</w:t>
      </w:r>
      <w:r w:rsidR="00A717EB">
        <w:rPr>
          <w:rFonts w:cs="Arial"/>
          <w:lang w:eastAsia="es-MX"/>
        </w:rPr>
        <w:t>2</w:t>
      </w:r>
      <w:r w:rsidRPr="006E6390">
        <w:rPr>
          <w:rFonts w:cs="Arial"/>
          <w:lang w:eastAsia="es-MX"/>
        </w:rPr>
        <w:t xml:space="preserve">, respectivamente. </w:t>
      </w:r>
      <w:r w:rsidR="009B3375" w:rsidRPr="006E6390">
        <w:rPr>
          <w:rFonts w:cs="Arial"/>
          <w:lang w:eastAsia="es-MX"/>
        </w:rPr>
        <w:t xml:space="preserve"> </w:t>
      </w:r>
      <w:r w:rsidRPr="006E6390">
        <w:rPr>
          <w:rFonts w:cs="Arial"/>
          <w:lang w:eastAsia="es-MX"/>
        </w:rPr>
        <w:t xml:space="preserve">El cambio en la participación depende del comportamiento del precio internacional; no obstante, </w:t>
      </w:r>
      <w:r w:rsidR="005C7492" w:rsidRPr="006E6390">
        <w:rPr>
          <w:rFonts w:cs="Arial"/>
          <w:lang w:eastAsia="es-MX"/>
        </w:rPr>
        <w:t xml:space="preserve">el año 2020 </w:t>
      </w:r>
      <w:r w:rsidR="00E87B0C" w:rsidRPr="006E6390">
        <w:rPr>
          <w:rFonts w:cs="Arial"/>
          <w:lang w:eastAsia="es-MX"/>
        </w:rPr>
        <w:t xml:space="preserve">se </w:t>
      </w:r>
      <w:r w:rsidR="007D003C" w:rsidRPr="006E6390">
        <w:rPr>
          <w:rFonts w:cs="Arial"/>
          <w:lang w:eastAsia="es-MX"/>
        </w:rPr>
        <w:t>caracteriz</w:t>
      </w:r>
      <w:r w:rsidR="007D003C">
        <w:rPr>
          <w:rFonts w:cs="Arial"/>
          <w:lang w:eastAsia="es-MX"/>
        </w:rPr>
        <w:t>ó</w:t>
      </w:r>
      <w:r w:rsidR="007D003C" w:rsidRPr="006E6390">
        <w:rPr>
          <w:rFonts w:cs="Arial"/>
          <w:lang w:eastAsia="es-MX"/>
        </w:rPr>
        <w:t xml:space="preserve"> </w:t>
      </w:r>
      <w:r w:rsidR="005C7492" w:rsidRPr="006E6390">
        <w:rPr>
          <w:rFonts w:cs="Arial"/>
          <w:lang w:eastAsia="es-MX"/>
        </w:rPr>
        <w:t>por la acumulación de inventarios debido a las restricciones a la circulación que afectaron las ventas.</w:t>
      </w:r>
      <w:r w:rsidR="00E87B0C" w:rsidRPr="006E6390">
        <w:rPr>
          <w:rFonts w:cs="Arial"/>
          <w:lang w:eastAsia="es-MX"/>
        </w:rPr>
        <w:t xml:space="preserve"> </w:t>
      </w:r>
      <w:r w:rsidR="009B3375" w:rsidRPr="006E6390">
        <w:rPr>
          <w:rFonts w:cs="Arial"/>
          <w:lang w:eastAsia="es-MX"/>
        </w:rPr>
        <w:t xml:space="preserve"> </w:t>
      </w:r>
      <w:r w:rsidR="00E87B0C" w:rsidRPr="006E6390">
        <w:rPr>
          <w:rFonts w:cs="Arial"/>
          <w:lang w:eastAsia="es-MX"/>
        </w:rPr>
        <w:t>De esta forma, en 20</w:t>
      </w:r>
      <w:r w:rsidR="00021D6D" w:rsidRPr="006E6390">
        <w:rPr>
          <w:rFonts w:cs="Arial"/>
          <w:lang w:eastAsia="es-MX"/>
        </w:rPr>
        <w:t>20</w:t>
      </w:r>
      <w:r w:rsidR="00E87B0C" w:rsidRPr="006E6390">
        <w:rPr>
          <w:rFonts w:cs="Arial"/>
          <w:lang w:eastAsia="es-MX"/>
        </w:rPr>
        <w:t xml:space="preserve"> se tuvo </w:t>
      </w:r>
      <w:r w:rsidR="00021D6D" w:rsidRPr="006E6390">
        <w:rPr>
          <w:rFonts w:cs="Arial"/>
          <w:lang w:eastAsia="es-MX"/>
        </w:rPr>
        <w:t>5</w:t>
      </w:r>
      <w:r w:rsidR="00EF0225">
        <w:rPr>
          <w:rFonts w:cs="Arial"/>
          <w:lang w:eastAsia="es-MX"/>
        </w:rPr>
        <w:t>8</w:t>
      </w:r>
      <w:r w:rsidR="009B3375" w:rsidRPr="006E6390">
        <w:rPr>
          <w:rFonts w:cs="Arial"/>
          <w:lang w:eastAsia="es-MX"/>
        </w:rPr>
        <w:t xml:space="preserve"> </w:t>
      </w:r>
      <w:r w:rsidR="00E87B0C" w:rsidRPr="006E6390">
        <w:rPr>
          <w:rFonts w:cs="Arial"/>
          <w:lang w:eastAsia="es-MX"/>
        </w:rPr>
        <w:t>días promedio de inventario</w:t>
      </w:r>
      <w:r w:rsidR="007D003C">
        <w:rPr>
          <w:rFonts w:cs="Arial"/>
          <w:lang w:eastAsia="es-MX"/>
        </w:rPr>
        <w:t xml:space="preserve">, </w:t>
      </w:r>
      <w:r w:rsidR="00E87B0C" w:rsidRPr="006E6390">
        <w:rPr>
          <w:rFonts w:cs="Arial"/>
          <w:lang w:eastAsia="es-MX"/>
        </w:rPr>
        <w:t>en 202</w:t>
      </w:r>
      <w:r w:rsidR="00021D6D" w:rsidRPr="006E6390">
        <w:rPr>
          <w:rFonts w:cs="Arial"/>
          <w:lang w:eastAsia="es-MX"/>
        </w:rPr>
        <w:t>1</w:t>
      </w:r>
      <w:r w:rsidR="00E87B0C" w:rsidRPr="006E6390">
        <w:rPr>
          <w:rFonts w:cs="Arial"/>
          <w:lang w:eastAsia="es-MX"/>
        </w:rPr>
        <w:t xml:space="preserve"> fue de </w:t>
      </w:r>
      <w:r w:rsidR="00EF0225">
        <w:rPr>
          <w:rFonts w:cs="Arial"/>
          <w:lang w:eastAsia="es-MX"/>
        </w:rPr>
        <w:t>4</w:t>
      </w:r>
      <w:r w:rsidR="00021D6D" w:rsidRPr="006E6390">
        <w:rPr>
          <w:rFonts w:cs="Arial"/>
          <w:lang w:eastAsia="es-MX"/>
        </w:rPr>
        <w:t>9</w:t>
      </w:r>
      <w:r w:rsidR="009B3375" w:rsidRPr="006E6390">
        <w:rPr>
          <w:rFonts w:cs="Arial"/>
          <w:lang w:eastAsia="es-MX"/>
        </w:rPr>
        <w:t xml:space="preserve"> </w:t>
      </w:r>
      <w:r w:rsidR="00E87B0C" w:rsidRPr="006E6390">
        <w:rPr>
          <w:rFonts w:cs="Arial"/>
          <w:lang w:eastAsia="es-MX"/>
        </w:rPr>
        <w:t>días</w:t>
      </w:r>
      <w:r w:rsidR="007D003C">
        <w:rPr>
          <w:rFonts w:cs="Arial"/>
          <w:lang w:eastAsia="es-MX"/>
        </w:rPr>
        <w:t xml:space="preserve"> y para 2022 en </w:t>
      </w:r>
      <w:r w:rsidR="00C314C5">
        <w:rPr>
          <w:rFonts w:cs="Arial"/>
          <w:lang w:eastAsia="es-MX"/>
        </w:rPr>
        <w:t xml:space="preserve">43 </w:t>
      </w:r>
      <w:r w:rsidR="007D003C">
        <w:rPr>
          <w:rFonts w:cs="Arial"/>
          <w:lang w:eastAsia="es-MX"/>
        </w:rPr>
        <w:t>días</w:t>
      </w:r>
      <w:r w:rsidR="00C314C5">
        <w:rPr>
          <w:rFonts w:cs="Arial"/>
          <w:lang w:eastAsia="es-MX"/>
        </w:rPr>
        <w:t>, tendencia que muestra una alineación con la política de inventarios de la empresa y una normalización de las ventas post pandemia.</w:t>
      </w:r>
    </w:p>
    <w:p w14:paraId="4751EAAF" w14:textId="77777777" w:rsidR="00B91F2B" w:rsidRPr="006E6390" w:rsidRDefault="00B91F2B" w:rsidP="00925F18">
      <w:pPr>
        <w:spacing w:after="0"/>
        <w:rPr>
          <w:rFonts w:cs="Arial"/>
          <w:lang w:eastAsia="es-MX"/>
        </w:rPr>
      </w:pPr>
    </w:p>
    <w:p w14:paraId="0DEEACCF" w14:textId="40F453A9" w:rsidR="00873CC3" w:rsidRDefault="00873CC3" w:rsidP="00843599">
      <w:pPr>
        <w:spacing w:after="0"/>
        <w:rPr>
          <w:rFonts w:cs="Arial"/>
          <w:lang w:eastAsia="es-MX"/>
        </w:rPr>
      </w:pPr>
      <w:r w:rsidRPr="008F14EA">
        <w:rPr>
          <w:rFonts w:cs="Arial"/>
          <w:lang w:eastAsia="es-MX"/>
        </w:rPr>
        <w:t xml:space="preserve">En </w:t>
      </w:r>
      <w:r w:rsidR="00DC329F" w:rsidRPr="008F14EA">
        <w:rPr>
          <w:rFonts w:cs="Arial"/>
          <w:lang w:eastAsia="es-MX"/>
        </w:rPr>
        <w:t>20</w:t>
      </w:r>
      <w:r w:rsidR="003D0A62" w:rsidRPr="008F14EA">
        <w:rPr>
          <w:rFonts w:cs="Arial"/>
          <w:lang w:eastAsia="es-MX"/>
        </w:rPr>
        <w:t>20</w:t>
      </w:r>
      <w:r w:rsidR="008F14EA">
        <w:rPr>
          <w:rFonts w:cs="Arial"/>
          <w:lang w:eastAsia="es-MX"/>
        </w:rPr>
        <w:t xml:space="preserve"> y 2022</w:t>
      </w:r>
      <w:r w:rsidRPr="008F14EA">
        <w:rPr>
          <w:rFonts w:cs="Arial"/>
          <w:lang w:eastAsia="es-MX"/>
        </w:rPr>
        <w:t xml:space="preserve">, la razón </w:t>
      </w:r>
      <w:r w:rsidR="00DC329F" w:rsidRPr="008F14EA">
        <w:rPr>
          <w:rFonts w:cs="Arial"/>
          <w:lang w:eastAsia="es-MX"/>
        </w:rPr>
        <w:t xml:space="preserve">ácida </w:t>
      </w:r>
      <w:r w:rsidR="008F14EA">
        <w:rPr>
          <w:rFonts w:cs="Arial"/>
          <w:lang w:eastAsia="es-MX"/>
        </w:rPr>
        <w:t xml:space="preserve">rondó las </w:t>
      </w:r>
      <w:r w:rsidRPr="008F14EA">
        <w:rPr>
          <w:rFonts w:cs="Arial"/>
          <w:lang w:eastAsia="es-MX"/>
        </w:rPr>
        <w:t>0,</w:t>
      </w:r>
      <w:r w:rsidR="003D0A62" w:rsidRPr="008F14EA">
        <w:rPr>
          <w:rFonts w:cs="Arial"/>
          <w:lang w:eastAsia="es-MX"/>
        </w:rPr>
        <w:t>8</w:t>
      </w:r>
      <w:r w:rsidR="00DC329F" w:rsidRPr="008F14EA">
        <w:rPr>
          <w:rFonts w:cs="Arial"/>
          <w:lang w:eastAsia="es-MX"/>
        </w:rPr>
        <w:t xml:space="preserve"> </w:t>
      </w:r>
      <w:r w:rsidRPr="008F14EA">
        <w:rPr>
          <w:rFonts w:cs="Arial"/>
          <w:lang w:eastAsia="es-MX"/>
        </w:rPr>
        <w:t>veces, con una mayor disposición de efectivo</w:t>
      </w:r>
      <w:r w:rsidR="008F14EA">
        <w:rPr>
          <w:rFonts w:cs="Arial"/>
          <w:lang w:eastAsia="es-MX"/>
        </w:rPr>
        <w:t>, e</w:t>
      </w:r>
      <w:r w:rsidRPr="008F14EA">
        <w:rPr>
          <w:rFonts w:cs="Arial"/>
          <w:lang w:eastAsia="es-MX"/>
        </w:rPr>
        <w:t xml:space="preserve">l </w:t>
      </w:r>
      <w:r w:rsidR="00F07BF7" w:rsidRPr="008F14EA">
        <w:rPr>
          <w:rFonts w:cs="Arial"/>
          <w:lang w:eastAsia="es-MX"/>
        </w:rPr>
        <w:t>p</w:t>
      </w:r>
      <w:r w:rsidRPr="008F14EA">
        <w:rPr>
          <w:rFonts w:cs="Arial"/>
          <w:lang w:eastAsia="es-MX"/>
        </w:rPr>
        <w:t xml:space="preserve">asivo </w:t>
      </w:r>
      <w:r w:rsidR="00F07BF7" w:rsidRPr="008F14EA">
        <w:rPr>
          <w:rFonts w:cs="Arial"/>
          <w:lang w:eastAsia="es-MX"/>
        </w:rPr>
        <w:t>corriente</w:t>
      </w:r>
      <w:r w:rsidRPr="008F14EA">
        <w:rPr>
          <w:rFonts w:cs="Arial"/>
          <w:lang w:eastAsia="es-MX"/>
        </w:rPr>
        <w:t xml:space="preserve"> </w:t>
      </w:r>
      <w:r w:rsidR="00DC329F" w:rsidRPr="008F14EA">
        <w:rPr>
          <w:rFonts w:cs="Arial"/>
          <w:lang w:eastAsia="es-MX"/>
        </w:rPr>
        <w:t>aumentó e</w:t>
      </w:r>
      <w:r w:rsidRPr="008F14EA">
        <w:rPr>
          <w:rFonts w:cs="Arial"/>
          <w:lang w:eastAsia="es-MX"/>
        </w:rPr>
        <w:t xml:space="preserve">n </w:t>
      </w:r>
      <w:r w:rsidR="00DC329F" w:rsidRPr="008F14EA">
        <w:rPr>
          <w:rFonts w:cs="Arial"/>
          <w:lang w:eastAsia="es-MX"/>
        </w:rPr>
        <w:t>20</w:t>
      </w:r>
      <w:r w:rsidR="003D0A62" w:rsidRPr="008F14EA">
        <w:rPr>
          <w:rFonts w:cs="Arial"/>
          <w:lang w:eastAsia="es-MX"/>
        </w:rPr>
        <w:t>21</w:t>
      </w:r>
      <w:r w:rsidR="008F14EA">
        <w:rPr>
          <w:rFonts w:cs="Arial"/>
          <w:lang w:eastAsia="es-MX"/>
        </w:rPr>
        <w:t>, pero se reduce nuevamente en 2022 ya que casi 500 mil barriles de la demanda fueron cubiertos con inventarios</w:t>
      </w:r>
      <w:r w:rsidRPr="008F14EA">
        <w:rPr>
          <w:rFonts w:cs="Arial"/>
          <w:lang w:eastAsia="es-MX"/>
        </w:rPr>
        <w:t xml:space="preserve">.  </w:t>
      </w:r>
      <w:r w:rsidR="008F14EA">
        <w:rPr>
          <w:rFonts w:cs="Arial"/>
          <w:lang w:eastAsia="es-MX"/>
        </w:rPr>
        <w:t>Otra</w:t>
      </w:r>
      <w:r w:rsidR="008F14EA" w:rsidRPr="008F14EA">
        <w:rPr>
          <w:rFonts w:cs="Arial"/>
          <w:lang w:eastAsia="es-MX"/>
        </w:rPr>
        <w:t xml:space="preserve"> </w:t>
      </w:r>
      <w:r w:rsidRPr="008F14EA">
        <w:rPr>
          <w:rFonts w:cs="Arial"/>
          <w:lang w:eastAsia="es-MX"/>
        </w:rPr>
        <w:t>cuenta</w:t>
      </w:r>
      <w:r w:rsidRPr="006E6390">
        <w:rPr>
          <w:rFonts w:cs="Arial"/>
          <w:lang w:eastAsia="es-MX"/>
        </w:rPr>
        <w:t xml:space="preserve"> que forma parte del </w:t>
      </w:r>
      <w:r w:rsidR="00F07BF7" w:rsidRPr="006E6390">
        <w:rPr>
          <w:rFonts w:cs="Arial"/>
          <w:lang w:eastAsia="es-MX"/>
        </w:rPr>
        <w:t>p</w:t>
      </w:r>
      <w:r w:rsidRPr="006E6390">
        <w:rPr>
          <w:rFonts w:cs="Arial"/>
          <w:lang w:eastAsia="es-MX"/>
        </w:rPr>
        <w:t xml:space="preserve">asivo </w:t>
      </w:r>
      <w:r w:rsidR="00F07BF7" w:rsidRPr="006E6390">
        <w:rPr>
          <w:rFonts w:cs="Arial"/>
          <w:lang w:eastAsia="es-MX"/>
        </w:rPr>
        <w:t>corriente</w:t>
      </w:r>
      <w:r w:rsidRPr="006E6390">
        <w:rPr>
          <w:rFonts w:cs="Arial"/>
          <w:lang w:eastAsia="es-MX"/>
        </w:rPr>
        <w:t xml:space="preserve"> </w:t>
      </w:r>
      <w:r w:rsidR="008F14EA">
        <w:rPr>
          <w:rFonts w:cs="Arial"/>
          <w:lang w:eastAsia="es-MX"/>
        </w:rPr>
        <w:t xml:space="preserve">y que </w:t>
      </w:r>
      <w:r w:rsidRPr="006E6390">
        <w:rPr>
          <w:rFonts w:cs="Arial"/>
          <w:lang w:eastAsia="es-MX"/>
        </w:rPr>
        <w:t xml:space="preserve">se mantiene en niveles estables es la de </w:t>
      </w:r>
      <w:r w:rsidR="00F07BF7" w:rsidRPr="006E6390">
        <w:rPr>
          <w:rFonts w:cs="Arial"/>
          <w:lang w:eastAsia="es-MX"/>
        </w:rPr>
        <w:t>g</w:t>
      </w:r>
      <w:r w:rsidRPr="006E6390">
        <w:rPr>
          <w:rFonts w:cs="Arial"/>
          <w:lang w:eastAsia="es-MX"/>
        </w:rPr>
        <w:t xml:space="preserve">astos </w:t>
      </w:r>
      <w:r w:rsidR="00F07BF7" w:rsidRPr="006E6390">
        <w:rPr>
          <w:rFonts w:cs="Arial"/>
          <w:lang w:eastAsia="es-MX"/>
        </w:rPr>
        <w:t>a</w:t>
      </w:r>
      <w:r w:rsidRPr="006E6390">
        <w:rPr>
          <w:rFonts w:cs="Arial"/>
          <w:lang w:eastAsia="es-MX"/>
        </w:rPr>
        <w:t xml:space="preserve">cumulados (un promedio </w:t>
      </w:r>
      <w:r w:rsidRPr="003F7EA5">
        <w:rPr>
          <w:rFonts w:cs="Arial"/>
          <w:lang w:eastAsia="es-MX"/>
        </w:rPr>
        <w:t>de ₡</w:t>
      </w:r>
      <w:r w:rsidR="003F7EA5" w:rsidRPr="00843599">
        <w:rPr>
          <w:rFonts w:cs="Arial"/>
          <w:lang w:eastAsia="es-MX"/>
        </w:rPr>
        <w:t>9</w:t>
      </w:r>
      <w:r w:rsidR="003F7EA5" w:rsidRPr="003F7EA5">
        <w:rPr>
          <w:rFonts w:cs="Arial"/>
          <w:lang w:eastAsia="es-MX"/>
        </w:rPr>
        <w:t xml:space="preserve"> </w:t>
      </w:r>
      <w:r w:rsidR="003F7EA5" w:rsidRPr="00843599">
        <w:rPr>
          <w:rFonts w:cs="Arial"/>
          <w:lang w:eastAsia="es-MX"/>
        </w:rPr>
        <w:t>156</w:t>
      </w:r>
      <w:r w:rsidR="003F7EA5" w:rsidRPr="003F7EA5">
        <w:rPr>
          <w:rFonts w:cs="Arial"/>
          <w:lang w:eastAsia="es-MX"/>
        </w:rPr>
        <w:t xml:space="preserve"> </w:t>
      </w:r>
      <w:r w:rsidRPr="003F7EA5">
        <w:rPr>
          <w:rFonts w:cs="Arial"/>
          <w:lang w:eastAsia="es-MX"/>
        </w:rPr>
        <w:t>millones</w:t>
      </w:r>
      <w:r w:rsidRPr="006E6390">
        <w:rPr>
          <w:rFonts w:cs="Arial"/>
          <w:lang w:eastAsia="es-MX"/>
        </w:rPr>
        <w:t xml:space="preserve"> en los últimos tres años) y otras como la Porción Circulante de la deuda L</w:t>
      </w:r>
      <w:r w:rsidR="003D0A62" w:rsidRPr="006E6390">
        <w:rPr>
          <w:rFonts w:cs="Arial"/>
          <w:lang w:eastAsia="es-MX"/>
        </w:rPr>
        <w:t xml:space="preserve">argo </w:t>
      </w:r>
      <w:r w:rsidRPr="006E6390">
        <w:rPr>
          <w:rFonts w:cs="Arial"/>
          <w:lang w:eastAsia="es-MX"/>
        </w:rPr>
        <w:t>P</w:t>
      </w:r>
      <w:r w:rsidR="003D0A62" w:rsidRPr="006E6390">
        <w:rPr>
          <w:rFonts w:cs="Arial"/>
          <w:lang w:eastAsia="es-MX"/>
        </w:rPr>
        <w:t>lazo</w:t>
      </w:r>
      <w:r w:rsidRPr="006E6390">
        <w:rPr>
          <w:rFonts w:cs="Arial"/>
          <w:lang w:eastAsia="es-MX"/>
        </w:rPr>
        <w:t xml:space="preserve">, </w:t>
      </w:r>
      <w:r w:rsidR="00533A38">
        <w:rPr>
          <w:rFonts w:cs="Arial"/>
          <w:lang w:eastAsia="es-MX"/>
        </w:rPr>
        <w:t>promedi</w:t>
      </w:r>
      <w:r w:rsidR="00533A38" w:rsidRPr="006E6390">
        <w:rPr>
          <w:rFonts w:cs="Arial"/>
          <w:lang w:eastAsia="es-MX"/>
        </w:rPr>
        <w:t xml:space="preserve">ó </w:t>
      </w:r>
      <w:r w:rsidRPr="00533A38">
        <w:rPr>
          <w:rFonts w:cs="Arial"/>
          <w:lang w:eastAsia="es-MX"/>
        </w:rPr>
        <w:t>en ₡</w:t>
      </w:r>
      <w:r w:rsidR="00533A38" w:rsidRPr="00533A38">
        <w:rPr>
          <w:rFonts w:cs="Arial"/>
          <w:lang w:eastAsia="es-MX"/>
        </w:rPr>
        <w:t>983</w:t>
      </w:r>
      <w:r w:rsidRPr="006E6390">
        <w:rPr>
          <w:rFonts w:cs="Arial"/>
          <w:lang w:eastAsia="es-MX"/>
        </w:rPr>
        <w:t xml:space="preserve"> millones</w:t>
      </w:r>
      <w:r w:rsidR="005059B7" w:rsidRPr="006E6390">
        <w:rPr>
          <w:rFonts w:cs="Arial"/>
          <w:lang w:eastAsia="es-MX"/>
        </w:rPr>
        <w:t xml:space="preserve"> en </w:t>
      </w:r>
      <w:r w:rsidR="00533A38">
        <w:rPr>
          <w:rFonts w:cs="Arial"/>
          <w:lang w:eastAsia="es-MX"/>
        </w:rPr>
        <w:t>el mismo período</w:t>
      </w:r>
      <w:r w:rsidR="00533A38" w:rsidRPr="006E6390">
        <w:rPr>
          <w:rFonts w:cs="Arial"/>
          <w:lang w:eastAsia="es-MX"/>
        </w:rPr>
        <w:t xml:space="preserve"> </w:t>
      </w:r>
      <w:r w:rsidR="00E87B0C" w:rsidRPr="006E6390">
        <w:rPr>
          <w:rFonts w:cs="Arial"/>
          <w:lang w:eastAsia="es-MX"/>
        </w:rPr>
        <w:t>y</w:t>
      </w:r>
      <w:r w:rsidR="00F851CC" w:rsidRPr="006E6390">
        <w:rPr>
          <w:rFonts w:cs="Arial"/>
          <w:lang w:eastAsia="es-MX"/>
        </w:rPr>
        <w:t>a solo está</w:t>
      </w:r>
      <w:r w:rsidR="00E87B0C" w:rsidRPr="006E6390">
        <w:rPr>
          <w:rFonts w:cs="Arial"/>
          <w:lang w:eastAsia="es-MX"/>
        </w:rPr>
        <w:t xml:space="preserve"> vigente la operación con</w:t>
      </w:r>
      <w:r w:rsidRPr="006E6390">
        <w:rPr>
          <w:rFonts w:cs="Arial"/>
          <w:lang w:eastAsia="es-MX"/>
        </w:rPr>
        <w:t xml:space="preserve"> BNP Paribas &amp; Société Générale. </w:t>
      </w:r>
    </w:p>
    <w:p w14:paraId="01DF8BF9" w14:textId="77777777" w:rsidR="00B91F2B" w:rsidRPr="006E6390" w:rsidRDefault="00B91F2B" w:rsidP="00873CC3">
      <w:pPr>
        <w:rPr>
          <w:rFonts w:cs="Arial"/>
          <w:lang w:eastAsia="es-MX"/>
        </w:rPr>
      </w:pPr>
    </w:p>
    <w:p w14:paraId="1868343A" w14:textId="77777777" w:rsidR="00873CC3" w:rsidRPr="006E6390" w:rsidRDefault="00873CC3" w:rsidP="00873CC3">
      <w:pPr>
        <w:pStyle w:val="Ttulo3"/>
        <w:rPr>
          <w:rFonts w:cs="Arial"/>
          <w:lang w:eastAsia="es-MX"/>
        </w:rPr>
      </w:pPr>
      <w:bookmarkStart w:id="67" w:name="_Toc38630792"/>
      <w:r w:rsidRPr="006E6390">
        <w:rPr>
          <w:rFonts w:cs="Arial"/>
          <w:lang w:eastAsia="es-MX"/>
        </w:rPr>
        <w:t>2.3.2. Índices de rentabilidad</w:t>
      </w:r>
      <w:bookmarkEnd w:id="67"/>
    </w:p>
    <w:p w14:paraId="70A8634B" w14:textId="77777777" w:rsidR="00873CC3" w:rsidRPr="006E6390" w:rsidRDefault="00873CC3" w:rsidP="00873CC3">
      <w:pPr>
        <w:pStyle w:val="Ttulo4"/>
        <w:rPr>
          <w:rFonts w:cs="Arial"/>
        </w:rPr>
      </w:pPr>
      <w:r w:rsidRPr="006E6390">
        <w:rPr>
          <w:rFonts w:cs="Arial"/>
        </w:rPr>
        <w:t>2.3.2.1. Rendimiento sobre activos (porcentajes):</w:t>
      </w:r>
    </w:p>
    <w:p w14:paraId="06F6265E" w14:textId="77777777" w:rsidR="00873CC3" w:rsidRPr="006E6390" w:rsidRDefault="00873CC3" w:rsidP="00873CC3">
      <w:pPr>
        <w:rPr>
          <w:rFonts w:cs="Arial"/>
          <w:lang w:eastAsia="es-MX"/>
        </w:rPr>
      </w:pPr>
      <w:r w:rsidRPr="006E6390">
        <w:rPr>
          <w:rFonts w:cs="Arial"/>
          <w:lang w:eastAsia="es-MX"/>
        </w:rPr>
        <w:t>Indica el monto de ganancias que una empresa puede generar por cada colón de activo invertido, se calcula dividiendo la Utilidad Neta entre el Activo Total Promedio.</w:t>
      </w:r>
    </w:p>
    <w:p w14:paraId="2C2A89D7" w14:textId="768E5120" w:rsidR="00873CC3" w:rsidRDefault="00873CC3" w:rsidP="00873CC3">
      <w:pPr>
        <w:pStyle w:val="Ttuloscuadros"/>
        <w:tabs>
          <w:tab w:val="left" w:pos="9270"/>
        </w:tabs>
        <w:spacing w:after="120"/>
        <w:rPr>
          <w:rFonts w:cs="Arial"/>
        </w:rPr>
      </w:pPr>
      <w:r w:rsidRPr="006E6390">
        <w:rPr>
          <w:rFonts w:cs="Arial"/>
        </w:rPr>
        <w:lastRenderedPageBreak/>
        <w:t>Cuadro N°</w:t>
      </w:r>
      <w:r w:rsidR="007A29A1" w:rsidRPr="006E6390">
        <w:rPr>
          <w:rFonts w:cs="Arial"/>
        </w:rPr>
        <w:t>5</w:t>
      </w:r>
    </w:p>
    <w:p w14:paraId="4CCB33E2" w14:textId="77777777" w:rsidR="00386C59" w:rsidRPr="006E6390" w:rsidRDefault="00386C59" w:rsidP="00873CC3">
      <w:pPr>
        <w:pStyle w:val="Ttuloscuadros"/>
        <w:tabs>
          <w:tab w:val="left" w:pos="9270"/>
        </w:tabs>
        <w:spacing w:after="120"/>
        <w:rPr>
          <w:rFonts w:cs="Arial"/>
        </w:rPr>
      </w:pPr>
    </w:p>
    <w:tbl>
      <w:tblPr>
        <w:tblStyle w:val="Tablanormal1"/>
        <w:tblW w:w="4895" w:type="pct"/>
        <w:jc w:val="center"/>
        <w:tblLook w:val="04A0" w:firstRow="1" w:lastRow="0" w:firstColumn="1" w:lastColumn="0" w:noHBand="0" w:noVBand="1"/>
      </w:tblPr>
      <w:tblGrid>
        <w:gridCol w:w="5382"/>
        <w:gridCol w:w="1133"/>
        <w:gridCol w:w="1133"/>
        <w:gridCol w:w="1133"/>
      </w:tblGrid>
      <w:tr w:rsidR="00D10D19" w:rsidRPr="006E6390" w14:paraId="1BAD071C" w14:textId="77777777" w:rsidTr="00843599">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065" w:type="pct"/>
            <w:hideMark/>
          </w:tcPr>
          <w:p w14:paraId="76F6BE97" w14:textId="77777777" w:rsidR="00D10D19" w:rsidRPr="006E6390" w:rsidRDefault="00D10D19" w:rsidP="00D10D19">
            <w:pPr>
              <w:pStyle w:val="Tablas"/>
              <w:tabs>
                <w:tab w:val="left" w:pos="9270"/>
              </w:tabs>
              <w:rPr>
                <w:rFonts w:cs="Arial"/>
                <w:sz w:val="20"/>
                <w:szCs w:val="20"/>
              </w:rPr>
            </w:pPr>
            <w:r>
              <w:rPr>
                <w:rFonts w:ascii="Calibri" w:hAnsi="Calibri" w:cs="Calibri"/>
                <w:color w:val="000000"/>
                <w:sz w:val="20"/>
                <w:szCs w:val="20"/>
              </w:rPr>
              <w:t> </w:t>
            </w:r>
          </w:p>
        </w:tc>
        <w:tc>
          <w:tcPr>
            <w:tcW w:w="645" w:type="pct"/>
            <w:vAlign w:val="center"/>
          </w:tcPr>
          <w:p w14:paraId="72FA9D9D" w14:textId="783A5129" w:rsidR="00D10D19" w:rsidRPr="00843599" w:rsidRDefault="00D10D19" w:rsidP="00D10D19">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843599">
              <w:rPr>
                <w:rFonts w:cs="Arial"/>
                <w:color w:val="002060"/>
                <w:sz w:val="20"/>
                <w:szCs w:val="20"/>
              </w:rPr>
              <w:t>dic-20</w:t>
            </w:r>
          </w:p>
        </w:tc>
        <w:tc>
          <w:tcPr>
            <w:tcW w:w="645" w:type="pct"/>
            <w:vAlign w:val="center"/>
          </w:tcPr>
          <w:p w14:paraId="137D8C7E" w14:textId="704878C5" w:rsidR="00D10D19" w:rsidRPr="00843599" w:rsidRDefault="00D10D19" w:rsidP="00D10D19">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843599">
              <w:rPr>
                <w:rFonts w:cs="Arial"/>
                <w:color w:val="002060"/>
                <w:sz w:val="20"/>
                <w:szCs w:val="20"/>
              </w:rPr>
              <w:t>dic-21</w:t>
            </w:r>
          </w:p>
        </w:tc>
        <w:tc>
          <w:tcPr>
            <w:tcW w:w="645" w:type="pct"/>
            <w:vAlign w:val="center"/>
          </w:tcPr>
          <w:p w14:paraId="52838C5F" w14:textId="274E068B" w:rsidR="00D10D19" w:rsidRPr="00843599" w:rsidRDefault="00D10D19" w:rsidP="00D10D19">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843599">
              <w:rPr>
                <w:rFonts w:cs="Arial"/>
                <w:color w:val="002060"/>
                <w:sz w:val="20"/>
                <w:szCs w:val="20"/>
              </w:rPr>
              <w:t>dic-22</w:t>
            </w:r>
          </w:p>
        </w:tc>
      </w:tr>
      <w:tr w:rsidR="00386C59" w:rsidRPr="006E6390" w14:paraId="6844CF68" w14:textId="77777777" w:rsidTr="0084359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65" w:type="pct"/>
            <w:vAlign w:val="center"/>
            <w:hideMark/>
          </w:tcPr>
          <w:p w14:paraId="57F6748B" w14:textId="775DC867" w:rsidR="00386C59" w:rsidRPr="006E6390" w:rsidRDefault="00386C59" w:rsidP="00386C59">
            <w:pPr>
              <w:pStyle w:val="Tablas"/>
              <w:tabs>
                <w:tab w:val="left" w:pos="9270"/>
              </w:tabs>
              <w:rPr>
                <w:rFonts w:cs="Arial"/>
                <w:b w:val="0"/>
                <w:sz w:val="20"/>
                <w:szCs w:val="20"/>
              </w:rPr>
            </w:pPr>
            <w:r>
              <w:rPr>
                <w:rFonts w:cs="Arial"/>
                <w:color w:val="000000"/>
                <w:sz w:val="20"/>
                <w:szCs w:val="20"/>
              </w:rPr>
              <w:t>Utilidad Neta sobre Activo Total Promedio (a/b) * 100</w:t>
            </w:r>
          </w:p>
        </w:tc>
        <w:tc>
          <w:tcPr>
            <w:tcW w:w="645" w:type="pct"/>
            <w:vAlign w:val="center"/>
          </w:tcPr>
          <w:p w14:paraId="24E1DB41" w14:textId="63DE0350" w:rsidR="00386C59" w:rsidRPr="006E6390" w:rsidRDefault="00386C59" w:rsidP="00386C5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-1,81%</w:t>
            </w:r>
          </w:p>
        </w:tc>
        <w:tc>
          <w:tcPr>
            <w:tcW w:w="645" w:type="pct"/>
            <w:vAlign w:val="center"/>
          </w:tcPr>
          <w:p w14:paraId="07A50F87" w14:textId="5732037B" w:rsidR="00386C59" w:rsidRPr="006E6390" w:rsidRDefault="00386C59" w:rsidP="00386C59">
            <w:pPr>
              <w:pStyle w:val="Tablas"/>
              <w:tabs>
                <w:tab w:val="left" w:pos="9270"/>
              </w:tabs>
              <w:ind w:left="18"/>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5,07%</w:t>
            </w:r>
          </w:p>
        </w:tc>
        <w:tc>
          <w:tcPr>
            <w:tcW w:w="645" w:type="pct"/>
            <w:vAlign w:val="center"/>
          </w:tcPr>
          <w:p w14:paraId="62516962" w14:textId="34BC6358" w:rsidR="00386C59" w:rsidRPr="006E6390" w:rsidRDefault="00386C59" w:rsidP="00386C5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5,01%</w:t>
            </w:r>
          </w:p>
        </w:tc>
      </w:tr>
      <w:tr w:rsidR="00386C59" w:rsidRPr="006E6390" w14:paraId="069D6E75" w14:textId="77777777" w:rsidTr="00843599">
        <w:trPr>
          <w:trHeight w:val="340"/>
          <w:jc w:val="center"/>
        </w:trPr>
        <w:tc>
          <w:tcPr>
            <w:cnfStyle w:val="001000000000" w:firstRow="0" w:lastRow="0" w:firstColumn="1" w:lastColumn="0" w:oddVBand="0" w:evenVBand="0" w:oddHBand="0" w:evenHBand="0" w:firstRowFirstColumn="0" w:firstRowLastColumn="0" w:lastRowFirstColumn="0" w:lastRowLastColumn="0"/>
            <w:tcW w:w="3065" w:type="pct"/>
            <w:vAlign w:val="center"/>
            <w:hideMark/>
          </w:tcPr>
          <w:p w14:paraId="32D5BDD2" w14:textId="3A3C02C2" w:rsidR="00386C59" w:rsidRPr="006E6390" w:rsidRDefault="00386C59" w:rsidP="00386C59">
            <w:pPr>
              <w:pStyle w:val="Tablas"/>
              <w:tabs>
                <w:tab w:val="left" w:pos="9270"/>
              </w:tabs>
              <w:rPr>
                <w:rFonts w:cs="Arial"/>
                <w:sz w:val="20"/>
                <w:szCs w:val="20"/>
              </w:rPr>
            </w:pPr>
            <w:r>
              <w:rPr>
                <w:rFonts w:cs="Arial"/>
                <w:b w:val="0"/>
                <w:bCs w:val="0"/>
                <w:color w:val="000000"/>
                <w:sz w:val="20"/>
                <w:szCs w:val="20"/>
              </w:rPr>
              <w:t>a)       Utilidad Neta (millones de ₡)</w:t>
            </w:r>
          </w:p>
        </w:tc>
        <w:tc>
          <w:tcPr>
            <w:tcW w:w="645" w:type="pct"/>
            <w:vAlign w:val="center"/>
          </w:tcPr>
          <w:p w14:paraId="4CDFF07D" w14:textId="2B429383" w:rsidR="00386C59" w:rsidRPr="006E6390" w:rsidRDefault="00386C59" w:rsidP="00386C59">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color w:val="000000"/>
                <w:sz w:val="20"/>
                <w:szCs w:val="20"/>
              </w:rPr>
              <w:t>-16 053</w:t>
            </w:r>
          </w:p>
        </w:tc>
        <w:tc>
          <w:tcPr>
            <w:tcW w:w="645" w:type="pct"/>
            <w:vAlign w:val="center"/>
          </w:tcPr>
          <w:p w14:paraId="4619C506" w14:textId="3421C38F" w:rsidR="00386C59" w:rsidRPr="006E6390" w:rsidRDefault="00386C59" w:rsidP="00386C59">
            <w:pPr>
              <w:pStyle w:val="Tablas"/>
              <w:tabs>
                <w:tab w:val="left" w:pos="9270"/>
              </w:tabs>
              <w:ind w:left="18"/>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color w:val="000000"/>
                <w:sz w:val="20"/>
                <w:szCs w:val="20"/>
              </w:rPr>
              <w:t>50 544</w:t>
            </w:r>
          </w:p>
        </w:tc>
        <w:tc>
          <w:tcPr>
            <w:tcW w:w="645" w:type="pct"/>
            <w:vAlign w:val="center"/>
          </w:tcPr>
          <w:p w14:paraId="65A85A4F" w14:textId="0E581CEB" w:rsidR="00386C59" w:rsidRPr="006E6390" w:rsidRDefault="00386C59" w:rsidP="00386C59">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color w:val="000000"/>
                <w:sz w:val="20"/>
                <w:szCs w:val="20"/>
              </w:rPr>
              <w:t>55 152</w:t>
            </w:r>
          </w:p>
        </w:tc>
      </w:tr>
      <w:tr w:rsidR="00386C59" w:rsidRPr="006E6390" w14:paraId="0CBFF4C3" w14:textId="77777777" w:rsidTr="0084359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65" w:type="pct"/>
            <w:vAlign w:val="center"/>
            <w:hideMark/>
          </w:tcPr>
          <w:p w14:paraId="60A3253D" w14:textId="655A2049" w:rsidR="00386C59" w:rsidRPr="006E6390" w:rsidRDefault="00386C59" w:rsidP="00386C59">
            <w:pPr>
              <w:pStyle w:val="Tablas"/>
              <w:tabs>
                <w:tab w:val="left" w:pos="9270"/>
              </w:tabs>
              <w:rPr>
                <w:rFonts w:cs="Arial"/>
                <w:sz w:val="20"/>
                <w:szCs w:val="20"/>
              </w:rPr>
            </w:pPr>
            <w:r>
              <w:rPr>
                <w:rFonts w:cs="Arial"/>
                <w:b w:val="0"/>
                <w:bCs w:val="0"/>
                <w:color w:val="000000"/>
                <w:sz w:val="20"/>
                <w:szCs w:val="20"/>
              </w:rPr>
              <w:t>b)       Activo Total Promedio (millones de ₡)</w:t>
            </w:r>
          </w:p>
        </w:tc>
        <w:tc>
          <w:tcPr>
            <w:tcW w:w="645" w:type="pct"/>
            <w:vAlign w:val="center"/>
          </w:tcPr>
          <w:p w14:paraId="6DD891D7" w14:textId="4D958435" w:rsidR="00386C59" w:rsidRPr="006E6390" w:rsidRDefault="00386C59" w:rsidP="00386C5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color w:val="000000"/>
                <w:sz w:val="20"/>
                <w:szCs w:val="20"/>
              </w:rPr>
              <w:t>885 567</w:t>
            </w:r>
          </w:p>
        </w:tc>
        <w:tc>
          <w:tcPr>
            <w:tcW w:w="645" w:type="pct"/>
            <w:vAlign w:val="center"/>
          </w:tcPr>
          <w:p w14:paraId="285FC889" w14:textId="7BFDD079" w:rsidR="00386C59" w:rsidRPr="006E6390" w:rsidRDefault="00386C59" w:rsidP="00386C59">
            <w:pPr>
              <w:pStyle w:val="Tablas"/>
              <w:tabs>
                <w:tab w:val="left" w:pos="9270"/>
              </w:tabs>
              <w:ind w:left="18"/>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color w:val="000000"/>
                <w:sz w:val="20"/>
                <w:szCs w:val="20"/>
              </w:rPr>
              <w:t>997 493</w:t>
            </w:r>
          </w:p>
        </w:tc>
        <w:tc>
          <w:tcPr>
            <w:tcW w:w="645" w:type="pct"/>
            <w:vAlign w:val="center"/>
          </w:tcPr>
          <w:p w14:paraId="7D9D0B1B" w14:textId="00DC4581" w:rsidR="00386C59" w:rsidRPr="006E6390" w:rsidRDefault="00386C59" w:rsidP="00386C5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color w:val="000000"/>
                <w:sz w:val="20"/>
                <w:szCs w:val="20"/>
              </w:rPr>
              <w:t>1 100 780</w:t>
            </w:r>
          </w:p>
        </w:tc>
      </w:tr>
    </w:tbl>
    <w:p w14:paraId="3B1D8A52" w14:textId="77777777" w:rsidR="00873CC3" w:rsidRPr="006E6390" w:rsidRDefault="00873CC3" w:rsidP="00873CC3">
      <w:pPr>
        <w:pStyle w:val="Sinespaciado"/>
        <w:tabs>
          <w:tab w:val="left" w:pos="9270"/>
        </w:tabs>
        <w:spacing w:line="276" w:lineRule="auto"/>
        <w:rPr>
          <w:rFonts w:ascii="Arial" w:hAnsi="Arial" w:cs="Arial"/>
          <w:sz w:val="22"/>
          <w:lang w:eastAsia="es-MX"/>
        </w:rPr>
      </w:pPr>
    </w:p>
    <w:p w14:paraId="77504F71" w14:textId="1D30CC6D" w:rsidR="00E87B0C" w:rsidRDefault="00873CC3" w:rsidP="00843599">
      <w:pPr>
        <w:spacing w:after="0"/>
        <w:rPr>
          <w:rFonts w:cs="Arial"/>
          <w:lang w:eastAsia="es-MX"/>
        </w:rPr>
      </w:pPr>
      <w:r w:rsidRPr="006E6390">
        <w:rPr>
          <w:rFonts w:cs="Arial"/>
          <w:lang w:eastAsia="es-MX"/>
        </w:rPr>
        <w:t>El rendimiento sobre activos</w:t>
      </w:r>
      <w:r w:rsidR="00CD7712" w:rsidRPr="006E6390">
        <w:rPr>
          <w:rFonts w:cs="Arial"/>
          <w:lang w:eastAsia="es-MX"/>
        </w:rPr>
        <w:t xml:space="preserve"> en el período 20</w:t>
      </w:r>
      <w:r w:rsidR="00DD5462" w:rsidRPr="006E6390">
        <w:rPr>
          <w:rFonts w:cs="Arial"/>
          <w:lang w:eastAsia="es-MX"/>
        </w:rPr>
        <w:t>20</w:t>
      </w:r>
      <w:r w:rsidR="00CD7712" w:rsidRPr="006E6390">
        <w:rPr>
          <w:rFonts w:cs="Arial"/>
          <w:lang w:eastAsia="es-MX"/>
        </w:rPr>
        <w:t>-</w:t>
      </w:r>
      <w:r w:rsidR="00D10D19" w:rsidRPr="006E6390">
        <w:rPr>
          <w:rFonts w:cs="Arial"/>
          <w:lang w:eastAsia="es-MX"/>
        </w:rPr>
        <w:t>202</w:t>
      </w:r>
      <w:r w:rsidR="00D10D19">
        <w:rPr>
          <w:rFonts w:cs="Arial"/>
          <w:lang w:eastAsia="es-MX"/>
        </w:rPr>
        <w:t>2</w:t>
      </w:r>
      <w:r w:rsidR="00D10D19" w:rsidRPr="006E6390">
        <w:rPr>
          <w:rFonts w:cs="Arial"/>
          <w:lang w:eastAsia="es-MX"/>
        </w:rPr>
        <w:t xml:space="preserve"> </w:t>
      </w:r>
      <w:r w:rsidR="00CD7712" w:rsidRPr="006E6390">
        <w:rPr>
          <w:rFonts w:cs="Arial"/>
          <w:lang w:eastAsia="es-MX"/>
        </w:rPr>
        <w:t xml:space="preserve">se ha visto afectado por </w:t>
      </w:r>
      <w:r w:rsidR="00E87B0C" w:rsidRPr="006E6390">
        <w:rPr>
          <w:rFonts w:cs="Arial"/>
          <w:lang w:eastAsia="es-MX"/>
        </w:rPr>
        <w:t>un conjunto de situaciones, según se indica a continuación:</w:t>
      </w:r>
    </w:p>
    <w:p w14:paraId="135748E4" w14:textId="77777777" w:rsidR="00B91F2B" w:rsidRPr="006E6390" w:rsidRDefault="00B91F2B" w:rsidP="00843599">
      <w:pPr>
        <w:spacing w:after="0"/>
        <w:rPr>
          <w:rFonts w:cs="Arial"/>
          <w:lang w:eastAsia="es-MX"/>
        </w:rPr>
      </w:pPr>
    </w:p>
    <w:p w14:paraId="5F049238" w14:textId="77777777" w:rsidR="00E87B0C" w:rsidRPr="006E6390" w:rsidRDefault="00E87B0C" w:rsidP="00E87B0C">
      <w:pPr>
        <w:rPr>
          <w:rFonts w:cs="Arial"/>
          <w:lang w:eastAsia="es-MX"/>
        </w:rPr>
      </w:pPr>
      <w:r w:rsidRPr="006E6390">
        <w:rPr>
          <w:rFonts w:cs="Arial"/>
          <w:u w:val="single"/>
          <w:lang w:eastAsia="es-MX"/>
        </w:rPr>
        <w:t>Periodo 2020</w:t>
      </w:r>
      <w:r w:rsidRPr="006E6390">
        <w:rPr>
          <w:rFonts w:cs="Arial"/>
          <w:lang w:eastAsia="es-MX"/>
        </w:rPr>
        <w:t xml:space="preserve">. Este año presenta una importante afectación como consecuencia directa de la pandemia de la </w:t>
      </w:r>
      <w:r w:rsidR="00255CAA" w:rsidRPr="006E6390">
        <w:rPr>
          <w:rFonts w:cs="Arial"/>
          <w:lang w:eastAsia="es-MX"/>
        </w:rPr>
        <w:t>C</w:t>
      </w:r>
      <w:r w:rsidR="00255CAA">
        <w:rPr>
          <w:rFonts w:cs="Arial"/>
          <w:lang w:eastAsia="es-MX"/>
        </w:rPr>
        <w:t>ovid-</w:t>
      </w:r>
      <w:r w:rsidR="00255CAA" w:rsidRPr="006E6390">
        <w:rPr>
          <w:rFonts w:cs="Arial"/>
          <w:lang w:eastAsia="es-MX"/>
        </w:rPr>
        <w:t>19</w:t>
      </w:r>
      <w:r w:rsidRPr="006E6390">
        <w:rPr>
          <w:rFonts w:cs="Arial"/>
          <w:lang w:eastAsia="es-MX"/>
        </w:rPr>
        <w:t>, debido a las medidas de mitigación para contener el virus, que provocaron una reducción de las ventas de combustibles, pero también por otras situaciones que se comentarán a continuación:</w:t>
      </w:r>
    </w:p>
    <w:p w14:paraId="4D6A4509" w14:textId="741F4058" w:rsidR="00E87B0C" w:rsidRPr="006E6390" w:rsidRDefault="00E87B0C" w:rsidP="00E87B0C">
      <w:pPr>
        <w:pStyle w:val="Prrafodelista"/>
        <w:numPr>
          <w:ilvl w:val="0"/>
          <w:numId w:val="39"/>
        </w:numPr>
        <w:spacing w:after="120"/>
        <w:ind w:hanging="357"/>
        <w:contextualSpacing w:val="0"/>
        <w:rPr>
          <w:rFonts w:cs="Arial"/>
          <w:lang w:eastAsia="es-MX"/>
        </w:rPr>
      </w:pPr>
      <w:r w:rsidRPr="006E6390">
        <w:rPr>
          <w:rFonts w:cs="Arial"/>
          <w:lang w:eastAsia="es-MX"/>
        </w:rPr>
        <w:t>Las ventas de combustibles se redujeron</w:t>
      </w:r>
      <w:r w:rsidR="00817598">
        <w:rPr>
          <w:rFonts w:cs="Arial"/>
          <w:lang w:eastAsia="es-MX"/>
        </w:rPr>
        <w:t xml:space="preserve"> </w:t>
      </w:r>
      <w:r w:rsidR="00EA72BA" w:rsidRPr="006E6390">
        <w:rPr>
          <w:rFonts w:cs="Arial"/>
          <w:lang w:eastAsia="es-MX"/>
        </w:rPr>
        <w:t>19,1</w:t>
      </w:r>
      <w:r w:rsidRPr="006E6390">
        <w:rPr>
          <w:rFonts w:cs="Arial"/>
          <w:lang w:eastAsia="es-MX"/>
        </w:rPr>
        <w:t xml:space="preserve">% </w:t>
      </w:r>
      <w:r w:rsidR="00817598">
        <w:rPr>
          <w:rFonts w:cs="Arial"/>
          <w:lang w:eastAsia="es-MX"/>
        </w:rPr>
        <w:t xml:space="preserve">en 2020 </w:t>
      </w:r>
      <w:r w:rsidRPr="006E6390">
        <w:rPr>
          <w:rFonts w:cs="Arial"/>
          <w:lang w:eastAsia="es-MX"/>
        </w:rPr>
        <w:t xml:space="preserve">al pasar de </w:t>
      </w:r>
      <w:r w:rsidR="00EA72BA" w:rsidRPr="006E6390">
        <w:rPr>
          <w:rFonts w:cs="Arial"/>
          <w:lang w:eastAsia="es-MX"/>
        </w:rPr>
        <w:t>21,8</w:t>
      </w:r>
      <w:r w:rsidRPr="006E6390">
        <w:rPr>
          <w:rFonts w:cs="Arial"/>
          <w:lang w:eastAsia="es-MX"/>
        </w:rPr>
        <w:t xml:space="preserve"> millones de barriles a </w:t>
      </w:r>
      <w:r w:rsidR="00EA72BA" w:rsidRPr="006E6390">
        <w:rPr>
          <w:rFonts w:cs="Arial"/>
          <w:lang w:eastAsia="es-MX"/>
        </w:rPr>
        <w:t>17,6</w:t>
      </w:r>
      <w:r w:rsidRPr="006E6390">
        <w:rPr>
          <w:rFonts w:cs="Arial"/>
          <w:lang w:eastAsia="es-MX"/>
        </w:rPr>
        <w:t xml:space="preserve"> millones de barriles. Esa reducción obedeció al confinamiento decretado por el gobierno que condujo al cierre parcial o total de actividades económicas, restricción vehicular, cierre de fronteras, teletrabajo, entre otras. </w:t>
      </w:r>
      <w:r w:rsidR="00EA72BA" w:rsidRPr="006E6390">
        <w:rPr>
          <w:rFonts w:cs="Arial"/>
          <w:lang w:eastAsia="es-MX"/>
        </w:rPr>
        <w:t xml:space="preserve"> </w:t>
      </w:r>
      <w:r w:rsidRPr="006E6390">
        <w:rPr>
          <w:rFonts w:cs="Arial"/>
          <w:lang w:eastAsia="es-MX"/>
        </w:rPr>
        <w:t>A</w:t>
      </w:r>
      <w:r w:rsidR="00EA72BA" w:rsidRPr="006E6390">
        <w:rPr>
          <w:rFonts w:cs="Arial"/>
          <w:lang w:eastAsia="es-MX"/>
        </w:rPr>
        <w:t>u</w:t>
      </w:r>
      <w:r w:rsidRPr="006E6390">
        <w:rPr>
          <w:rFonts w:cs="Arial"/>
          <w:lang w:eastAsia="es-MX"/>
        </w:rPr>
        <w:t>n cuando hubo una reducción de los gastos de operación para comenzar la reducción en los ingresos, estos no tuvieron la misma flexibilidad de ajuste debido a lo inesperado y la naturaleza de la crisis causada por la pandemia.</w:t>
      </w:r>
    </w:p>
    <w:p w14:paraId="00E74A2F" w14:textId="77777777" w:rsidR="00E87B0C" w:rsidRPr="00DF0422" w:rsidRDefault="00E87B0C" w:rsidP="00E87B0C">
      <w:pPr>
        <w:pStyle w:val="Prrafodelista"/>
        <w:numPr>
          <w:ilvl w:val="0"/>
          <w:numId w:val="39"/>
        </w:numPr>
        <w:spacing w:after="120"/>
        <w:ind w:hanging="357"/>
        <w:contextualSpacing w:val="0"/>
        <w:rPr>
          <w:rFonts w:cs="Arial"/>
          <w:lang w:eastAsia="es-MX"/>
        </w:rPr>
      </w:pPr>
      <w:r w:rsidRPr="006E6390">
        <w:rPr>
          <w:rFonts w:cs="Arial"/>
          <w:lang w:eastAsia="es-MX"/>
        </w:rPr>
        <w:t xml:space="preserve">Transferencias realizadas al Ministerio de Hacienda y a la Comisión Nacional de Emergencias con el objeto de atender las consecuencias de la pandemia o el agravamiento de la situación fiscal. Algunas de esas transferencias estuvieron </w:t>
      </w:r>
      <w:r w:rsidRPr="00DF0422">
        <w:rPr>
          <w:rFonts w:cs="Arial"/>
          <w:lang w:eastAsia="es-MX"/>
        </w:rPr>
        <w:t>compensadas, como es el caso de la Ley N°9849, pero otras tuvieron una afectación en la utilidad. Las transferencias realizadas fueron:</w:t>
      </w:r>
    </w:p>
    <w:p w14:paraId="44158D5E" w14:textId="77777777" w:rsidR="006624CC" w:rsidRPr="00DF0422" w:rsidRDefault="006624CC" w:rsidP="00E87B0C">
      <w:pPr>
        <w:pStyle w:val="Prrafodelista"/>
        <w:numPr>
          <w:ilvl w:val="1"/>
          <w:numId w:val="39"/>
        </w:numPr>
        <w:spacing w:after="120"/>
        <w:ind w:left="993" w:hanging="357"/>
        <w:contextualSpacing w:val="0"/>
        <w:rPr>
          <w:rFonts w:cs="Arial"/>
          <w:lang w:eastAsia="es-MX"/>
        </w:rPr>
      </w:pPr>
      <w:r w:rsidRPr="00DF0422">
        <w:rPr>
          <w:rFonts w:cs="Arial"/>
          <w:lang w:eastAsia="es-MX"/>
        </w:rPr>
        <w:t>Artículos 5 y 6 de la Ley N°9840 “Protección a las personas trabajadoras durante la emergencia nacional covid-19 (Bono Proteger)”, que fijó el precio de las gasolinas y la diferencia se transfería al Ministerio de Hacienda. Monto de transferencia</w:t>
      </w:r>
      <w:r w:rsidR="00BB01C9" w:rsidRPr="00DF0422">
        <w:rPr>
          <w:rFonts w:cs="Arial"/>
          <w:lang w:eastAsia="es-MX"/>
        </w:rPr>
        <w:t>s</w:t>
      </w:r>
      <w:r w:rsidRPr="00DF0422">
        <w:rPr>
          <w:rFonts w:cs="Arial"/>
          <w:lang w:eastAsia="es-MX"/>
        </w:rPr>
        <w:t>: ₡</w:t>
      </w:r>
      <w:r w:rsidR="00BB01C9" w:rsidRPr="00DF0422">
        <w:rPr>
          <w:rFonts w:cs="Arial"/>
          <w:lang w:eastAsia="es-MX"/>
        </w:rPr>
        <w:t>15 956 millones.</w:t>
      </w:r>
    </w:p>
    <w:p w14:paraId="09DD3402" w14:textId="77777777" w:rsidR="00BB01C9" w:rsidRPr="00DF0422" w:rsidRDefault="008F77A3" w:rsidP="00E87B0C">
      <w:pPr>
        <w:pStyle w:val="Prrafodelista"/>
        <w:numPr>
          <w:ilvl w:val="1"/>
          <w:numId w:val="39"/>
        </w:numPr>
        <w:spacing w:after="120"/>
        <w:ind w:left="993" w:hanging="357"/>
        <w:contextualSpacing w:val="0"/>
        <w:rPr>
          <w:rFonts w:cs="Arial"/>
          <w:lang w:eastAsia="es-MX"/>
        </w:rPr>
      </w:pPr>
      <w:r w:rsidRPr="00DF0422">
        <w:rPr>
          <w:rFonts w:cs="Arial"/>
          <w:lang w:eastAsia="es-MX"/>
        </w:rPr>
        <w:t xml:space="preserve">Transitorio IV de la Ley N°9925 “Reforma Ley de Eficiencia en la Administración de los Recursos Públicos, para el pago de intereses y amortización de la deuda pública”: Por una única vez el dinero resultante de la liquidación de SORESCO: </w:t>
      </w:r>
      <w:r w:rsidR="007C39BD" w:rsidRPr="00DF0422">
        <w:rPr>
          <w:rFonts w:cs="Arial"/>
          <w:lang w:eastAsia="es-MX"/>
        </w:rPr>
        <w:t>₡8 663 millones.</w:t>
      </w:r>
    </w:p>
    <w:p w14:paraId="0620DC0A" w14:textId="77777777" w:rsidR="007C39BD" w:rsidRPr="006E6390" w:rsidRDefault="007F5C46" w:rsidP="00E87B0C">
      <w:pPr>
        <w:pStyle w:val="Prrafodelista"/>
        <w:numPr>
          <w:ilvl w:val="1"/>
          <w:numId w:val="39"/>
        </w:numPr>
        <w:spacing w:after="120"/>
        <w:ind w:left="993" w:hanging="357"/>
        <w:contextualSpacing w:val="0"/>
        <w:rPr>
          <w:rFonts w:cs="Arial"/>
          <w:lang w:eastAsia="es-MX"/>
        </w:rPr>
      </w:pPr>
      <w:r w:rsidRPr="00DF0422">
        <w:rPr>
          <w:rFonts w:cs="Arial"/>
          <w:lang w:eastAsia="es-MX"/>
        </w:rPr>
        <w:t xml:space="preserve">Artículo 47 de la </w:t>
      </w:r>
      <w:r w:rsidR="007C39BD" w:rsidRPr="00DF0422">
        <w:rPr>
          <w:rFonts w:cs="Arial"/>
          <w:lang w:eastAsia="es-MX"/>
        </w:rPr>
        <w:t>Ley N°8488</w:t>
      </w:r>
      <w:r w:rsidR="006E2554" w:rsidRPr="00DF0422">
        <w:rPr>
          <w:rFonts w:cs="Arial"/>
          <w:lang w:eastAsia="es-MX"/>
        </w:rPr>
        <w:t xml:space="preserve"> “Ley Nacional de Emergencias y Prevención del Riesgo”, el cual faculta a hacer transferencias a la CNE: ₡5 000 millones, por</w:t>
      </w:r>
      <w:r w:rsidR="006E2554" w:rsidRPr="006E6390">
        <w:rPr>
          <w:rFonts w:cs="Arial"/>
          <w:lang w:eastAsia="es-MX"/>
        </w:rPr>
        <w:t xml:space="preserve"> una única vez.</w:t>
      </w:r>
    </w:p>
    <w:p w14:paraId="35A61EA9" w14:textId="77777777" w:rsidR="006624CC" w:rsidRPr="006E6390" w:rsidRDefault="00E87B0C" w:rsidP="00E87B0C">
      <w:pPr>
        <w:ind w:left="426"/>
        <w:rPr>
          <w:rFonts w:cs="Arial"/>
          <w:lang w:eastAsia="es-MX"/>
        </w:rPr>
      </w:pPr>
      <w:r w:rsidRPr="006E6390">
        <w:rPr>
          <w:rFonts w:cs="Arial"/>
          <w:lang w:eastAsia="es-MX"/>
        </w:rPr>
        <w:t xml:space="preserve">Estas </w:t>
      </w:r>
      <w:r w:rsidRPr="00B91F2B">
        <w:rPr>
          <w:rFonts w:cs="Arial"/>
          <w:lang w:eastAsia="es-MX"/>
        </w:rPr>
        <w:t>transferencias</w:t>
      </w:r>
      <w:r w:rsidR="006E2554" w:rsidRPr="00B91F2B">
        <w:rPr>
          <w:rFonts w:cs="Arial"/>
          <w:lang w:eastAsia="es-MX"/>
        </w:rPr>
        <w:t xml:space="preserve"> sumaron ₡29 619 millones, es</w:t>
      </w:r>
      <w:r w:rsidR="006E2554" w:rsidRPr="006E6390">
        <w:rPr>
          <w:rFonts w:cs="Arial"/>
          <w:lang w:eastAsia="es-MX"/>
        </w:rPr>
        <w:t xml:space="preserve"> decir, el 92,9% de las transferencias externas realizadas por RECOPE en el año 2020.  No hubo transferencias a la Caja Costarricense de Seguro Social al amparo de la Ley N°7983.</w:t>
      </w:r>
    </w:p>
    <w:p w14:paraId="40F3079F" w14:textId="02286668" w:rsidR="00E87B0C" w:rsidRPr="00B91F2B" w:rsidRDefault="00E87B0C" w:rsidP="00E87B0C">
      <w:pPr>
        <w:pStyle w:val="Prrafodelista"/>
        <w:numPr>
          <w:ilvl w:val="0"/>
          <w:numId w:val="39"/>
        </w:numPr>
        <w:spacing w:after="120"/>
        <w:ind w:hanging="357"/>
        <w:contextualSpacing w:val="0"/>
        <w:rPr>
          <w:rFonts w:cs="Arial"/>
          <w:lang w:eastAsia="es-MX"/>
        </w:rPr>
      </w:pPr>
      <w:r w:rsidRPr="006E6390">
        <w:rPr>
          <w:rFonts w:cs="Arial"/>
          <w:lang w:eastAsia="es-MX"/>
        </w:rPr>
        <w:lastRenderedPageBreak/>
        <w:t xml:space="preserve">Diferencial </w:t>
      </w:r>
      <w:r w:rsidRPr="00B91F2B">
        <w:rPr>
          <w:rFonts w:cs="Arial"/>
          <w:lang w:eastAsia="es-MX"/>
        </w:rPr>
        <w:t xml:space="preserve">cambiario. </w:t>
      </w:r>
      <w:r w:rsidR="00843599">
        <w:rPr>
          <w:rFonts w:cs="Arial"/>
          <w:lang w:eastAsia="es-MX"/>
        </w:rPr>
        <w:t>D</w:t>
      </w:r>
      <w:r w:rsidRPr="00B91F2B">
        <w:rPr>
          <w:rFonts w:cs="Arial"/>
          <w:lang w:eastAsia="es-MX"/>
        </w:rPr>
        <w:t xml:space="preserve">urante </w:t>
      </w:r>
      <w:r w:rsidR="00980252" w:rsidRPr="00B91F2B">
        <w:rPr>
          <w:rFonts w:cs="Arial"/>
          <w:lang w:eastAsia="es-MX"/>
        </w:rPr>
        <w:t>los primeros ochos meses de 2022</w:t>
      </w:r>
      <w:r w:rsidR="00843599">
        <w:rPr>
          <w:rFonts w:cs="Arial"/>
          <w:lang w:eastAsia="es-MX"/>
        </w:rPr>
        <w:t xml:space="preserve"> </w:t>
      </w:r>
      <w:r w:rsidR="000B76D8">
        <w:rPr>
          <w:rFonts w:cs="Arial"/>
          <w:lang w:eastAsia="es-MX"/>
        </w:rPr>
        <w:t>el tipo de cambio sufrió una importante devaluación</w:t>
      </w:r>
      <w:r w:rsidRPr="00B91F2B">
        <w:rPr>
          <w:rFonts w:cs="Arial"/>
          <w:lang w:eastAsia="es-MX"/>
        </w:rPr>
        <w:t xml:space="preserve">. </w:t>
      </w:r>
      <w:r w:rsidR="009E35C2" w:rsidRPr="00B91F2B">
        <w:rPr>
          <w:rFonts w:cs="Arial"/>
          <w:lang w:eastAsia="es-MX"/>
        </w:rPr>
        <w:t xml:space="preserve"> </w:t>
      </w:r>
      <w:r w:rsidRPr="00B91F2B">
        <w:rPr>
          <w:rFonts w:cs="Arial"/>
          <w:lang w:eastAsia="es-MX"/>
        </w:rPr>
        <w:t xml:space="preserve">Este empezó con un valor promedio de </w:t>
      </w:r>
      <w:r w:rsidR="009E35C2" w:rsidRPr="00B91F2B">
        <w:rPr>
          <w:rFonts w:cs="Arial"/>
          <w:lang w:eastAsia="es-MX"/>
        </w:rPr>
        <w:t>₡573,22</w:t>
      </w:r>
      <w:r w:rsidRPr="00B91F2B">
        <w:rPr>
          <w:rFonts w:cs="Arial"/>
          <w:lang w:eastAsia="es-MX"/>
        </w:rPr>
        <w:t xml:space="preserve"> e</w:t>
      </w:r>
      <w:r w:rsidR="009E35C2" w:rsidRPr="00B91F2B">
        <w:rPr>
          <w:rFonts w:cs="Arial"/>
          <w:lang w:eastAsia="es-MX"/>
        </w:rPr>
        <w:t>l</w:t>
      </w:r>
      <w:r w:rsidRPr="00B91F2B">
        <w:rPr>
          <w:rFonts w:cs="Arial"/>
          <w:lang w:eastAsia="es-MX"/>
        </w:rPr>
        <w:t xml:space="preserve"> </w:t>
      </w:r>
      <w:r w:rsidR="009E35C2" w:rsidRPr="00B91F2B">
        <w:rPr>
          <w:rFonts w:cs="Arial"/>
          <w:lang w:eastAsia="es-MX"/>
        </w:rPr>
        <w:t xml:space="preserve">3 de </w:t>
      </w:r>
      <w:r w:rsidRPr="00B91F2B">
        <w:rPr>
          <w:rFonts w:cs="Arial"/>
          <w:lang w:eastAsia="es-MX"/>
        </w:rPr>
        <w:t xml:space="preserve">enero y cotizó en </w:t>
      </w:r>
      <w:r w:rsidR="00F26941" w:rsidRPr="00B91F2B">
        <w:rPr>
          <w:rFonts w:cs="Arial"/>
          <w:lang w:eastAsia="es-MX"/>
        </w:rPr>
        <w:t>₡615,74</w:t>
      </w:r>
      <w:r w:rsidRPr="00B91F2B">
        <w:rPr>
          <w:rFonts w:cs="Arial"/>
          <w:lang w:eastAsia="es-MX"/>
        </w:rPr>
        <w:t xml:space="preserve"> e</w:t>
      </w:r>
      <w:r w:rsidR="00F26941" w:rsidRPr="00B91F2B">
        <w:rPr>
          <w:rFonts w:cs="Arial"/>
          <w:lang w:eastAsia="es-MX"/>
        </w:rPr>
        <w:t>l 30 de</w:t>
      </w:r>
      <w:r w:rsidRPr="00B91F2B">
        <w:rPr>
          <w:rFonts w:cs="Arial"/>
          <w:lang w:eastAsia="es-MX"/>
        </w:rPr>
        <w:t xml:space="preserve"> diciembre. Este incremento afecta el valor de las deudas en dólares de la empresa y el valor de los inventarios. </w:t>
      </w:r>
      <w:r w:rsidR="00F26941" w:rsidRPr="00B91F2B">
        <w:rPr>
          <w:rFonts w:cs="Arial"/>
          <w:lang w:eastAsia="es-MX"/>
        </w:rPr>
        <w:t xml:space="preserve"> </w:t>
      </w:r>
      <w:r w:rsidRPr="00B91F2B">
        <w:rPr>
          <w:rFonts w:cs="Arial"/>
          <w:lang w:eastAsia="es-MX"/>
        </w:rPr>
        <w:t>De esta forma, las pérdidas cambiarias totalizaron ₡7 630 millones.</w:t>
      </w:r>
    </w:p>
    <w:p w14:paraId="0B03D5EF" w14:textId="77777777" w:rsidR="00DD5462" w:rsidRPr="00D805F1" w:rsidRDefault="00DD5462" w:rsidP="008E2266">
      <w:pPr>
        <w:spacing w:after="120"/>
        <w:rPr>
          <w:rFonts w:cs="Arial"/>
          <w:lang w:eastAsia="es-MX"/>
        </w:rPr>
      </w:pPr>
    </w:p>
    <w:p w14:paraId="2D32EC58" w14:textId="711D04FA" w:rsidR="00DD5462" w:rsidRDefault="00DD5462" w:rsidP="008E2266">
      <w:pPr>
        <w:spacing w:after="0"/>
        <w:rPr>
          <w:rFonts w:cs="Arial"/>
          <w:lang w:eastAsia="es-MX"/>
        </w:rPr>
      </w:pPr>
      <w:r w:rsidRPr="006E6390">
        <w:rPr>
          <w:rFonts w:cs="Arial"/>
          <w:u w:val="single"/>
          <w:lang w:eastAsia="es-MX"/>
        </w:rPr>
        <w:t>Periodo 2021</w:t>
      </w:r>
      <w:r w:rsidRPr="006E6390">
        <w:rPr>
          <w:rFonts w:cs="Arial"/>
          <w:lang w:eastAsia="es-MX"/>
        </w:rPr>
        <w:t xml:space="preserve">. Este año presenta una importante </w:t>
      </w:r>
      <w:r w:rsidR="00FB4384" w:rsidRPr="006E6390">
        <w:rPr>
          <w:rFonts w:cs="Arial"/>
          <w:lang w:eastAsia="es-MX"/>
        </w:rPr>
        <w:t>recupera</w:t>
      </w:r>
      <w:r w:rsidRPr="006E6390">
        <w:rPr>
          <w:rFonts w:cs="Arial"/>
          <w:lang w:eastAsia="es-MX"/>
        </w:rPr>
        <w:t xml:space="preserve">ción como consecuencia directa </w:t>
      </w:r>
      <w:r w:rsidR="00206013" w:rsidRPr="006E6390">
        <w:rPr>
          <w:rFonts w:cs="Arial"/>
          <w:lang w:eastAsia="es-MX"/>
        </w:rPr>
        <w:t xml:space="preserve">de la apertura gradual, que contribuyó a la mejor evolución de la producción, en particular de la </w:t>
      </w:r>
      <w:r w:rsidR="00206013" w:rsidRPr="00B91F2B">
        <w:rPr>
          <w:rFonts w:cs="Arial"/>
          <w:lang w:eastAsia="es-MX"/>
        </w:rPr>
        <w:t>manufactura, el turismo y el comercio</w:t>
      </w:r>
      <w:r w:rsidRPr="00B91F2B">
        <w:rPr>
          <w:rFonts w:cs="Arial"/>
          <w:lang w:eastAsia="es-MX"/>
        </w:rPr>
        <w:t xml:space="preserve">, que provocaron un </w:t>
      </w:r>
      <w:r w:rsidR="00206013" w:rsidRPr="00B91F2B">
        <w:rPr>
          <w:rFonts w:cs="Arial"/>
          <w:lang w:eastAsia="es-MX"/>
        </w:rPr>
        <w:t>aumento</w:t>
      </w:r>
      <w:r w:rsidRPr="00B91F2B">
        <w:rPr>
          <w:rFonts w:cs="Arial"/>
          <w:lang w:eastAsia="es-MX"/>
        </w:rPr>
        <w:t xml:space="preserve"> de las ventas de combustibles, pero también por otras situaciones que se comentarán a continuación:</w:t>
      </w:r>
    </w:p>
    <w:p w14:paraId="0154DBE4" w14:textId="77777777" w:rsidR="00D805F1" w:rsidRPr="00B91F2B" w:rsidRDefault="00D805F1" w:rsidP="008E2266">
      <w:pPr>
        <w:spacing w:after="0"/>
        <w:rPr>
          <w:rFonts w:cs="Arial"/>
          <w:lang w:eastAsia="es-MX"/>
        </w:rPr>
      </w:pPr>
    </w:p>
    <w:p w14:paraId="15A1C07E" w14:textId="0CF251B8" w:rsidR="00DD5462" w:rsidRPr="00B91F2B" w:rsidRDefault="00DD5462" w:rsidP="00DD5462">
      <w:pPr>
        <w:pStyle w:val="Prrafodelista"/>
        <w:numPr>
          <w:ilvl w:val="0"/>
          <w:numId w:val="47"/>
        </w:numPr>
        <w:spacing w:after="120"/>
        <w:contextualSpacing w:val="0"/>
        <w:rPr>
          <w:rFonts w:cs="Arial"/>
          <w:lang w:eastAsia="es-MX"/>
        </w:rPr>
      </w:pPr>
      <w:r w:rsidRPr="00B91F2B">
        <w:rPr>
          <w:rFonts w:cs="Arial"/>
          <w:lang w:eastAsia="es-MX"/>
        </w:rPr>
        <w:t>Las ventas de combustibles</w:t>
      </w:r>
      <w:r w:rsidR="00085622" w:rsidRPr="00B91F2B">
        <w:rPr>
          <w:rFonts w:cs="Arial"/>
          <w:lang w:eastAsia="es-MX"/>
        </w:rPr>
        <w:t xml:space="preserve"> aumenta</w:t>
      </w:r>
      <w:r w:rsidRPr="00B91F2B">
        <w:rPr>
          <w:rFonts w:cs="Arial"/>
          <w:lang w:eastAsia="es-MX"/>
        </w:rPr>
        <w:t>ron en 1</w:t>
      </w:r>
      <w:r w:rsidR="00085622" w:rsidRPr="00B91F2B">
        <w:rPr>
          <w:rFonts w:cs="Arial"/>
          <w:lang w:eastAsia="es-MX"/>
        </w:rPr>
        <w:t>6</w:t>
      </w:r>
      <w:r w:rsidRPr="00B91F2B">
        <w:rPr>
          <w:rFonts w:cs="Arial"/>
          <w:lang w:eastAsia="es-MX"/>
        </w:rPr>
        <w:t xml:space="preserve">% al pasar de </w:t>
      </w:r>
      <w:r w:rsidR="00085622" w:rsidRPr="00B91F2B">
        <w:rPr>
          <w:rFonts w:cs="Arial"/>
          <w:lang w:eastAsia="es-MX"/>
        </w:rPr>
        <w:t>17,6</w:t>
      </w:r>
      <w:r w:rsidRPr="00B91F2B">
        <w:rPr>
          <w:rFonts w:cs="Arial"/>
          <w:lang w:eastAsia="es-MX"/>
        </w:rPr>
        <w:t xml:space="preserve"> millones de barriles </w:t>
      </w:r>
      <w:r w:rsidR="003D162E" w:rsidRPr="00B91F2B">
        <w:rPr>
          <w:rFonts w:cs="Arial"/>
          <w:lang w:eastAsia="es-MX"/>
        </w:rPr>
        <w:t xml:space="preserve">en 2020 (producto de la pandemia) </w:t>
      </w:r>
      <w:r w:rsidRPr="00B91F2B">
        <w:rPr>
          <w:rFonts w:cs="Arial"/>
          <w:lang w:eastAsia="es-MX"/>
        </w:rPr>
        <w:t xml:space="preserve">a </w:t>
      </w:r>
      <w:r w:rsidR="00085622" w:rsidRPr="00B91F2B">
        <w:rPr>
          <w:rFonts w:cs="Arial"/>
          <w:lang w:eastAsia="es-MX"/>
        </w:rPr>
        <w:t>20</w:t>
      </w:r>
      <w:r w:rsidRPr="00B91F2B">
        <w:rPr>
          <w:rFonts w:cs="Arial"/>
          <w:lang w:eastAsia="es-MX"/>
        </w:rPr>
        <w:t>,</w:t>
      </w:r>
      <w:r w:rsidR="00085622" w:rsidRPr="00B91F2B">
        <w:rPr>
          <w:rFonts w:cs="Arial"/>
          <w:lang w:eastAsia="es-MX"/>
        </w:rPr>
        <w:t>4</w:t>
      </w:r>
      <w:r w:rsidRPr="00B91F2B">
        <w:rPr>
          <w:rFonts w:cs="Arial"/>
          <w:lang w:eastAsia="es-MX"/>
        </w:rPr>
        <w:t xml:space="preserve"> millones de barriles</w:t>
      </w:r>
      <w:r w:rsidR="003D162E" w:rsidRPr="00B91F2B">
        <w:rPr>
          <w:rFonts w:cs="Arial"/>
          <w:lang w:eastAsia="es-MX"/>
        </w:rPr>
        <w:t xml:space="preserve"> en 2021</w:t>
      </w:r>
      <w:r w:rsidRPr="00B91F2B">
        <w:rPr>
          <w:rFonts w:cs="Arial"/>
          <w:lang w:eastAsia="es-MX"/>
        </w:rPr>
        <w:t xml:space="preserve">. </w:t>
      </w:r>
      <w:r w:rsidR="00B91F2B" w:rsidRPr="00B91F2B">
        <w:rPr>
          <w:rFonts w:cs="Arial"/>
          <w:lang w:eastAsia="es-MX"/>
        </w:rPr>
        <w:t xml:space="preserve"> </w:t>
      </w:r>
      <w:r w:rsidRPr="00B91F2B">
        <w:rPr>
          <w:rFonts w:cs="Arial"/>
          <w:lang w:eastAsia="es-MX"/>
        </w:rPr>
        <w:t>Es</w:t>
      </w:r>
      <w:r w:rsidR="00085622" w:rsidRPr="00B91F2B">
        <w:rPr>
          <w:rFonts w:cs="Arial"/>
          <w:lang w:eastAsia="es-MX"/>
        </w:rPr>
        <w:t>te</w:t>
      </w:r>
      <w:r w:rsidRPr="00B91F2B">
        <w:rPr>
          <w:rFonts w:cs="Arial"/>
          <w:lang w:eastAsia="es-MX"/>
        </w:rPr>
        <w:t xml:space="preserve"> </w:t>
      </w:r>
      <w:r w:rsidR="00085622" w:rsidRPr="00B91F2B">
        <w:rPr>
          <w:rFonts w:cs="Arial"/>
          <w:lang w:eastAsia="es-MX"/>
        </w:rPr>
        <w:t>aumento</w:t>
      </w:r>
      <w:r w:rsidRPr="00B91F2B">
        <w:rPr>
          <w:rFonts w:cs="Arial"/>
          <w:lang w:eastAsia="es-MX"/>
        </w:rPr>
        <w:t xml:space="preserve"> obedeció </w:t>
      </w:r>
      <w:r w:rsidR="00085622" w:rsidRPr="00B91F2B">
        <w:rPr>
          <w:rFonts w:cs="Arial"/>
          <w:lang w:eastAsia="es-MX"/>
        </w:rPr>
        <w:t>a la flexibilización de las medidas de confinamiento, aunado a las campañas de vacunación causa una estimulación en la actividad económica y evidencia un resurgimiento del consumo de combustibles. Sin embargo, RECOPE aún no registra los niveles de consumo previos a la pandemia Covid-19.</w:t>
      </w:r>
    </w:p>
    <w:p w14:paraId="4BCC512A" w14:textId="0CED02FA" w:rsidR="00DD5462" w:rsidRPr="00B91F2B" w:rsidRDefault="00DD5462" w:rsidP="00DD5462">
      <w:pPr>
        <w:pStyle w:val="Prrafodelista"/>
        <w:numPr>
          <w:ilvl w:val="0"/>
          <w:numId w:val="47"/>
        </w:numPr>
        <w:spacing w:after="120"/>
        <w:ind w:hanging="357"/>
        <w:contextualSpacing w:val="0"/>
        <w:rPr>
          <w:rFonts w:cs="Arial"/>
          <w:lang w:eastAsia="es-MX"/>
        </w:rPr>
      </w:pPr>
      <w:r w:rsidRPr="00B91F2B">
        <w:rPr>
          <w:rFonts w:cs="Arial"/>
          <w:lang w:eastAsia="es-MX"/>
        </w:rPr>
        <w:t>Diferencial cambiario. La situación fiscal y de la deuda del país ocasionaron un aumento del tipo de cambio durante 202</w:t>
      </w:r>
      <w:r w:rsidR="00CD4FD8" w:rsidRPr="00B91F2B">
        <w:rPr>
          <w:rFonts w:cs="Arial"/>
          <w:lang w:eastAsia="es-MX"/>
        </w:rPr>
        <w:t>1</w:t>
      </w:r>
      <w:r w:rsidRPr="00B91F2B">
        <w:rPr>
          <w:rFonts w:cs="Arial"/>
          <w:lang w:eastAsia="es-MX"/>
        </w:rPr>
        <w:t>.  Este empezó con un valor promedio de ₡</w:t>
      </w:r>
      <w:r w:rsidR="00201A24" w:rsidRPr="00B91F2B">
        <w:rPr>
          <w:rFonts w:cs="Arial"/>
          <w:lang w:eastAsia="es-MX"/>
        </w:rPr>
        <w:t>614</w:t>
      </w:r>
      <w:r w:rsidRPr="00B91F2B">
        <w:rPr>
          <w:rFonts w:cs="Arial"/>
          <w:lang w:eastAsia="es-MX"/>
        </w:rPr>
        <w:t>,</w:t>
      </w:r>
      <w:r w:rsidR="00201A24" w:rsidRPr="00B91F2B">
        <w:rPr>
          <w:rFonts w:cs="Arial"/>
          <w:lang w:eastAsia="es-MX"/>
        </w:rPr>
        <w:t>5</w:t>
      </w:r>
      <w:r w:rsidRPr="00B91F2B">
        <w:rPr>
          <w:rFonts w:cs="Arial"/>
          <w:lang w:eastAsia="es-MX"/>
        </w:rPr>
        <w:t xml:space="preserve">2 el </w:t>
      </w:r>
      <w:r w:rsidR="00201A24" w:rsidRPr="00B91F2B">
        <w:rPr>
          <w:rFonts w:cs="Arial"/>
          <w:lang w:eastAsia="es-MX"/>
        </w:rPr>
        <w:t>4</w:t>
      </w:r>
      <w:r w:rsidRPr="00B91F2B">
        <w:rPr>
          <w:rFonts w:cs="Arial"/>
          <w:lang w:eastAsia="es-MX"/>
        </w:rPr>
        <w:t xml:space="preserve"> de enero y se cotizó en ₡6</w:t>
      </w:r>
      <w:r w:rsidR="00201A24" w:rsidRPr="00B91F2B">
        <w:rPr>
          <w:rFonts w:cs="Arial"/>
          <w:lang w:eastAsia="es-MX"/>
        </w:rPr>
        <w:t>42</w:t>
      </w:r>
      <w:r w:rsidRPr="00B91F2B">
        <w:rPr>
          <w:rFonts w:cs="Arial"/>
          <w:lang w:eastAsia="es-MX"/>
        </w:rPr>
        <w:t>,</w:t>
      </w:r>
      <w:r w:rsidR="00201A24" w:rsidRPr="00B91F2B">
        <w:rPr>
          <w:rFonts w:cs="Arial"/>
          <w:lang w:eastAsia="es-MX"/>
        </w:rPr>
        <w:t>66</w:t>
      </w:r>
      <w:r w:rsidRPr="00B91F2B">
        <w:rPr>
          <w:rFonts w:cs="Arial"/>
          <w:lang w:eastAsia="es-MX"/>
        </w:rPr>
        <w:t xml:space="preserve"> el 30 de diciembre. </w:t>
      </w:r>
      <w:r w:rsidR="00A1638E" w:rsidRPr="00B91F2B">
        <w:rPr>
          <w:rFonts w:cs="Arial"/>
          <w:lang w:eastAsia="es-MX"/>
        </w:rPr>
        <w:t xml:space="preserve"> </w:t>
      </w:r>
      <w:r w:rsidRPr="00B91F2B">
        <w:rPr>
          <w:rFonts w:cs="Arial"/>
          <w:lang w:eastAsia="es-MX"/>
        </w:rPr>
        <w:t xml:space="preserve">Este incremento afecta el valor de las deudas en dólares de la empresa y el valor de los inventarios.  De esta forma, las pérdidas cambiarias totalizaron ₡7 </w:t>
      </w:r>
      <w:r w:rsidR="009F2A1F" w:rsidRPr="00B91F2B">
        <w:rPr>
          <w:rFonts w:cs="Arial"/>
          <w:lang w:eastAsia="es-MX"/>
        </w:rPr>
        <w:t>253</w:t>
      </w:r>
      <w:r w:rsidRPr="00B91F2B">
        <w:rPr>
          <w:rFonts w:cs="Arial"/>
          <w:lang w:eastAsia="es-MX"/>
        </w:rPr>
        <w:t xml:space="preserve"> millones.</w:t>
      </w:r>
    </w:p>
    <w:p w14:paraId="78529265" w14:textId="6B300893" w:rsidR="00DD5462" w:rsidRDefault="00DD5462" w:rsidP="00DD5462">
      <w:pPr>
        <w:pStyle w:val="Prrafodelista"/>
        <w:numPr>
          <w:ilvl w:val="0"/>
          <w:numId w:val="47"/>
        </w:numPr>
        <w:spacing w:after="120"/>
        <w:ind w:hanging="357"/>
        <w:contextualSpacing w:val="0"/>
        <w:rPr>
          <w:rFonts w:cs="Arial"/>
          <w:lang w:eastAsia="es-MX"/>
        </w:rPr>
      </w:pPr>
      <w:r w:rsidRPr="00B91F2B">
        <w:rPr>
          <w:rFonts w:cs="Arial"/>
          <w:lang w:eastAsia="es-MX"/>
        </w:rPr>
        <w:t>Se registró un</w:t>
      </w:r>
      <w:r w:rsidR="009F2A1F" w:rsidRPr="00B91F2B">
        <w:rPr>
          <w:rFonts w:cs="Arial"/>
          <w:lang w:eastAsia="es-MX"/>
        </w:rPr>
        <w:t>a disminución</w:t>
      </w:r>
      <w:r w:rsidRPr="00B91F2B">
        <w:rPr>
          <w:rFonts w:cs="Arial"/>
          <w:lang w:eastAsia="es-MX"/>
        </w:rPr>
        <w:t xml:space="preserve"> en la reserva de prestaciones legales, al pasar de ₡13 4</w:t>
      </w:r>
      <w:r w:rsidR="0002498A" w:rsidRPr="00B91F2B">
        <w:rPr>
          <w:rFonts w:cs="Arial"/>
          <w:lang w:eastAsia="es-MX"/>
        </w:rPr>
        <w:t>02</w:t>
      </w:r>
      <w:r w:rsidRPr="00B91F2B">
        <w:rPr>
          <w:rFonts w:cs="Arial"/>
          <w:lang w:eastAsia="es-MX"/>
        </w:rPr>
        <w:t xml:space="preserve"> millones en 20</w:t>
      </w:r>
      <w:r w:rsidR="0002498A" w:rsidRPr="00B91F2B">
        <w:rPr>
          <w:rFonts w:cs="Arial"/>
          <w:lang w:eastAsia="es-MX"/>
        </w:rPr>
        <w:t>20</w:t>
      </w:r>
      <w:r w:rsidRPr="00B91F2B">
        <w:rPr>
          <w:rFonts w:cs="Arial"/>
          <w:lang w:eastAsia="es-MX"/>
        </w:rPr>
        <w:t xml:space="preserve"> a ₡</w:t>
      </w:r>
      <w:r w:rsidR="0002498A" w:rsidRPr="00B91F2B">
        <w:rPr>
          <w:rFonts w:cs="Arial"/>
          <w:lang w:eastAsia="es-MX"/>
        </w:rPr>
        <w:t>4</w:t>
      </w:r>
      <w:r w:rsidRPr="00B91F2B">
        <w:rPr>
          <w:rFonts w:cs="Arial"/>
          <w:lang w:eastAsia="es-MX"/>
        </w:rPr>
        <w:t xml:space="preserve"> </w:t>
      </w:r>
      <w:r w:rsidR="0002498A" w:rsidRPr="00B91F2B">
        <w:rPr>
          <w:rFonts w:cs="Arial"/>
          <w:lang w:eastAsia="es-MX"/>
        </w:rPr>
        <w:t>11</w:t>
      </w:r>
      <w:r w:rsidRPr="00B91F2B">
        <w:rPr>
          <w:rFonts w:cs="Arial"/>
          <w:lang w:eastAsia="es-MX"/>
        </w:rPr>
        <w:t>0 millones en 202</w:t>
      </w:r>
      <w:r w:rsidR="0002498A" w:rsidRPr="00B91F2B">
        <w:rPr>
          <w:rFonts w:cs="Arial"/>
          <w:lang w:eastAsia="es-MX"/>
        </w:rPr>
        <w:t>1.</w:t>
      </w:r>
    </w:p>
    <w:p w14:paraId="2CC5D934" w14:textId="77777777" w:rsidR="00D805F1" w:rsidRPr="00D805F1" w:rsidRDefault="00D805F1" w:rsidP="00D9186C">
      <w:pPr>
        <w:spacing w:after="120"/>
        <w:ind w:left="3"/>
        <w:rPr>
          <w:rFonts w:cs="Arial"/>
          <w:lang w:eastAsia="es-MX"/>
        </w:rPr>
      </w:pPr>
    </w:p>
    <w:p w14:paraId="5D2A7033" w14:textId="0C132028" w:rsidR="00D805F1" w:rsidRDefault="00D805F1">
      <w:pPr>
        <w:spacing w:after="120"/>
        <w:ind w:left="3"/>
        <w:rPr>
          <w:rFonts w:cs="Arial"/>
          <w:lang w:eastAsia="es-MX"/>
        </w:rPr>
      </w:pPr>
      <w:r w:rsidRPr="00D93194">
        <w:rPr>
          <w:rFonts w:cs="Arial"/>
          <w:u w:val="single"/>
          <w:lang w:eastAsia="es-MX"/>
        </w:rPr>
        <w:t xml:space="preserve">Periodo 2022: </w:t>
      </w:r>
      <w:r w:rsidR="00292411" w:rsidRPr="00D9186C">
        <w:rPr>
          <w:rFonts w:cs="Arial"/>
          <w:lang w:eastAsia="es-MX"/>
        </w:rPr>
        <w:t>Este año presentó una combinación de una fuerte demanda con precios altos a nivel internacional, que empezaron a subir sostenidamente desde enero y lo hicieron hasta junio</w:t>
      </w:r>
      <w:r w:rsidR="00292411" w:rsidRPr="00D93194">
        <w:rPr>
          <w:rFonts w:cs="Arial"/>
          <w:lang w:eastAsia="es-MX"/>
        </w:rPr>
        <w:t>, para</w:t>
      </w:r>
      <w:r w:rsidR="00292411">
        <w:rPr>
          <w:rFonts w:cs="Arial"/>
          <w:lang w:eastAsia="es-MX"/>
        </w:rPr>
        <w:t xml:space="preserve"> luego iniciar un descenso después de medidas extraordinarias</w:t>
      </w:r>
      <w:r w:rsidR="00D93194">
        <w:rPr>
          <w:rFonts w:cs="Arial"/>
          <w:lang w:eastAsia="es-MX"/>
        </w:rPr>
        <w:t xml:space="preserve"> por parte de Estados Unidos (liberando reservas estratégicas y enviando gas natural a Europa), donde quedaron más que evidentes, falencias en materia de oferta mundial de hidrocarburos.</w:t>
      </w:r>
    </w:p>
    <w:p w14:paraId="54C5572D" w14:textId="590F191A" w:rsidR="00D93194" w:rsidRDefault="00D93194" w:rsidP="00D93194">
      <w:pPr>
        <w:pStyle w:val="Prrafodelista"/>
        <w:numPr>
          <w:ilvl w:val="0"/>
          <w:numId w:val="64"/>
        </w:numPr>
        <w:spacing w:after="120"/>
        <w:rPr>
          <w:rFonts w:cs="Arial"/>
          <w:lang w:eastAsia="es-MX"/>
        </w:rPr>
      </w:pPr>
      <w:r>
        <w:rPr>
          <w:rFonts w:cs="Arial"/>
          <w:lang w:eastAsia="es-MX"/>
        </w:rPr>
        <w:t>La demanda nacional creció un 6,3% respecto a 2021. En diciembre volvieron las importaciones de Búnker Térmico para el ICE después de tres años.  El Jet fuel continuó como el producto con mayor recuperación post pandemia.</w:t>
      </w:r>
    </w:p>
    <w:p w14:paraId="0BF7055E" w14:textId="75BCA915" w:rsidR="00D93194" w:rsidRDefault="00D93194" w:rsidP="00D93194">
      <w:pPr>
        <w:pStyle w:val="Prrafodelista"/>
        <w:numPr>
          <w:ilvl w:val="0"/>
          <w:numId w:val="64"/>
        </w:numPr>
        <w:spacing w:after="120"/>
        <w:rPr>
          <w:rFonts w:cs="Arial"/>
          <w:lang w:eastAsia="es-MX"/>
        </w:rPr>
      </w:pPr>
      <w:r>
        <w:rPr>
          <w:rFonts w:cs="Arial"/>
          <w:lang w:eastAsia="es-MX"/>
        </w:rPr>
        <w:t xml:space="preserve">Los precios internos alcanzaron récords, entre julio y agosto, superando barreras psicológicas como los </w:t>
      </w:r>
      <w:r w:rsidRPr="00B91F2B">
        <w:rPr>
          <w:rFonts w:cs="Arial"/>
          <w:lang w:eastAsia="es-MX"/>
        </w:rPr>
        <w:t>₡</w:t>
      </w:r>
      <w:r>
        <w:rPr>
          <w:rFonts w:cs="Arial"/>
          <w:lang w:eastAsia="es-MX"/>
        </w:rPr>
        <w:t>1 000 por litro en gasolinas y diésel, se congeló vía ley el impuesto a los combustibles por seis meses y se habló de subsidios por parte del Estado, lo que finalmente no ocurrió.</w:t>
      </w:r>
    </w:p>
    <w:p w14:paraId="61AF9026" w14:textId="15BE2CC7" w:rsidR="00D93194" w:rsidRDefault="00D93194" w:rsidP="00D93194">
      <w:pPr>
        <w:pStyle w:val="Prrafodelista"/>
        <w:numPr>
          <w:ilvl w:val="0"/>
          <w:numId w:val="64"/>
        </w:numPr>
        <w:spacing w:after="120"/>
        <w:rPr>
          <w:rFonts w:cs="Arial"/>
          <w:lang w:eastAsia="es-MX"/>
        </w:rPr>
      </w:pPr>
      <w:r>
        <w:rPr>
          <w:rFonts w:cs="Arial"/>
          <w:lang w:eastAsia="es-MX"/>
        </w:rPr>
        <w:t xml:space="preserve">El diferencial cambiario generó </w:t>
      </w:r>
      <w:r w:rsidRPr="00B91F2B">
        <w:rPr>
          <w:rFonts w:cs="Arial"/>
          <w:lang w:eastAsia="es-MX"/>
        </w:rPr>
        <w:t>₡</w:t>
      </w:r>
      <w:r w:rsidR="005B4A2C">
        <w:rPr>
          <w:rFonts w:cs="Arial"/>
          <w:lang w:eastAsia="es-MX"/>
        </w:rPr>
        <w:t xml:space="preserve">14 660 millones de ganancias, pero dividido en dos semestres muy distintos: el primero caracterizado por un alza sostenida del tipo de cambio frente al dólar con perdida cambiarias por </w:t>
      </w:r>
      <w:r w:rsidR="005B4A2C" w:rsidRPr="00B91F2B">
        <w:rPr>
          <w:rFonts w:cs="Arial"/>
          <w:lang w:eastAsia="es-MX"/>
        </w:rPr>
        <w:t>₡</w:t>
      </w:r>
      <w:r w:rsidR="005B4A2C">
        <w:rPr>
          <w:rFonts w:cs="Arial"/>
          <w:lang w:eastAsia="es-MX"/>
        </w:rPr>
        <w:t xml:space="preserve">13 121 millones y un segundo </w:t>
      </w:r>
      <w:r w:rsidR="005B4A2C">
        <w:rPr>
          <w:rFonts w:cs="Arial"/>
          <w:lang w:eastAsia="es-MX"/>
        </w:rPr>
        <w:lastRenderedPageBreak/>
        <w:t xml:space="preserve">semestre donde se observó una fuerte caída del dólar a partir de agosto, que generó más bien ganancias por </w:t>
      </w:r>
      <w:r w:rsidR="005B4A2C" w:rsidRPr="00B91F2B">
        <w:rPr>
          <w:rFonts w:cs="Arial"/>
          <w:lang w:eastAsia="es-MX"/>
        </w:rPr>
        <w:t>₡</w:t>
      </w:r>
      <w:r w:rsidR="005B4A2C">
        <w:rPr>
          <w:rFonts w:cs="Arial"/>
          <w:lang w:eastAsia="es-MX"/>
        </w:rPr>
        <w:t>27 781 millones.</w:t>
      </w:r>
    </w:p>
    <w:p w14:paraId="3BC89267" w14:textId="27A4E742" w:rsidR="005B4A2C" w:rsidRPr="00D9186C" w:rsidRDefault="005B4A2C" w:rsidP="00D9186C">
      <w:pPr>
        <w:pStyle w:val="Prrafodelista"/>
        <w:numPr>
          <w:ilvl w:val="0"/>
          <w:numId w:val="64"/>
        </w:numPr>
        <w:spacing w:after="120"/>
        <w:rPr>
          <w:rFonts w:cs="Arial"/>
          <w:lang w:eastAsia="es-MX"/>
        </w:rPr>
      </w:pPr>
      <w:r>
        <w:rPr>
          <w:rFonts w:cs="Arial"/>
          <w:lang w:eastAsia="es-MX"/>
        </w:rPr>
        <w:t xml:space="preserve">En el mes de </w:t>
      </w:r>
      <w:r w:rsidR="00D9186C">
        <w:rPr>
          <w:rFonts w:cs="Arial"/>
          <w:lang w:eastAsia="es-MX"/>
        </w:rPr>
        <w:t>mayo</w:t>
      </w:r>
      <w:r>
        <w:rPr>
          <w:rFonts w:cs="Arial"/>
          <w:lang w:eastAsia="es-MX"/>
        </w:rPr>
        <w:t xml:space="preserve"> entró a regir una nueva metodología de precios de los combustibles</w:t>
      </w:r>
      <w:r w:rsidR="00D9186C">
        <w:rPr>
          <w:rFonts w:cs="Arial"/>
          <w:lang w:eastAsia="es-MX"/>
        </w:rPr>
        <w:t>,</w:t>
      </w:r>
      <w:r>
        <w:rPr>
          <w:rFonts w:cs="Arial"/>
          <w:lang w:eastAsia="es-MX"/>
        </w:rPr>
        <w:t xml:space="preserve"> </w:t>
      </w:r>
      <w:r w:rsidRPr="00F05D9D">
        <w:rPr>
          <w:rFonts w:cs="Arial"/>
          <w:lang w:eastAsia="es-MX"/>
        </w:rPr>
        <w:t>que trajo una reducción del precio de los combustibles al pasarse de fijaciones por referencias internacionales a costo real de las facturas, también se dio un cambio en la variable diferencial de precios.  Durante el 2022 la tónica fue la devolución de recursos a los consumidores</w:t>
      </w:r>
      <w:r w:rsidR="00D9186C">
        <w:rPr>
          <w:rFonts w:cs="Arial"/>
          <w:lang w:eastAsia="es-MX"/>
        </w:rPr>
        <w:t xml:space="preserve"> por este concepto. </w:t>
      </w:r>
      <w:r w:rsidR="00F05D9D" w:rsidRPr="00F05D9D">
        <w:rPr>
          <w:rFonts w:cs="Arial"/>
          <w:lang w:eastAsia="es-MX"/>
        </w:rPr>
        <w:t>En 2020, la devolución neta a los consumidores sumó ₡10 786,9 millones (un promedio de ₡3,71/litro), en 2021 la devolución fue de ₡49 189,7 millones (promedio de ₡14,97/litro) y en 2022 el monto se divide en</w:t>
      </w:r>
      <w:r w:rsidR="00F05D9D">
        <w:rPr>
          <w:rFonts w:cs="Arial"/>
          <w:lang w:eastAsia="es-MX"/>
        </w:rPr>
        <w:t xml:space="preserve"> </w:t>
      </w:r>
      <w:r w:rsidR="00F05D9D" w:rsidRPr="00B91F2B">
        <w:rPr>
          <w:rFonts w:cs="Arial"/>
          <w:lang w:eastAsia="es-MX"/>
        </w:rPr>
        <w:t>₡</w:t>
      </w:r>
      <w:r w:rsidR="00F05D9D">
        <w:rPr>
          <w:rFonts w:cs="Arial"/>
          <w:lang w:eastAsia="es-MX"/>
        </w:rPr>
        <w:t xml:space="preserve">27 904,2 millones (promedio de </w:t>
      </w:r>
      <w:r w:rsidR="00F05D9D" w:rsidRPr="00B91F2B">
        <w:rPr>
          <w:rFonts w:cs="Arial"/>
          <w:lang w:eastAsia="es-MX"/>
        </w:rPr>
        <w:t>₡</w:t>
      </w:r>
      <w:r w:rsidR="00F05D9D">
        <w:rPr>
          <w:rFonts w:cs="Arial"/>
          <w:lang w:eastAsia="es-MX"/>
        </w:rPr>
        <w:t xml:space="preserve">13,69/litro) durante los poco más de seis meses de vigencia de la RJD-230-2015 y en </w:t>
      </w:r>
      <w:r w:rsidR="00F05D9D" w:rsidRPr="00B91F2B">
        <w:rPr>
          <w:rFonts w:cs="Arial"/>
          <w:lang w:eastAsia="es-MX"/>
        </w:rPr>
        <w:t>₡</w:t>
      </w:r>
      <w:r w:rsidR="00F05D9D">
        <w:rPr>
          <w:rFonts w:cs="Arial"/>
          <w:lang w:eastAsia="es-MX"/>
        </w:rPr>
        <w:t>13 207,2 millones (</w:t>
      </w:r>
      <w:r w:rsidR="00F05D9D" w:rsidRPr="00B91F2B">
        <w:rPr>
          <w:rFonts w:cs="Arial"/>
          <w:lang w:eastAsia="es-MX"/>
        </w:rPr>
        <w:t>₡</w:t>
      </w:r>
      <w:r w:rsidR="00F05D9D">
        <w:rPr>
          <w:rFonts w:cs="Arial"/>
          <w:lang w:eastAsia="es-MX"/>
        </w:rPr>
        <w:t xml:space="preserve">15,59 por litro).  Estos diferenciales a favor del </w:t>
      </w:r>
      <w:r w:rsidR="00D9186C">
        <w:rPr>
          <w:rFonts w:cs="Arial"/>
          <w:lang w:eastAsia="es-MX"/>
        </w:rPr>
        <w:t>consumidor</w:t>
      </w:r>
      <w:r w:rsidR="00F05D9D">
        <w:rPr>
          <w:rFonts w:cs="Arial"/>
          <w:lang w:eastAsia="es-MX"/>
        </w:rPr>
        <w:t xml:space="preserve"> permiten transferir las eficiencias del proceso de importación y amortiguan las alzas o incrementan las bajas en los precios finales.</w:t>
      </w:r>
    </w:p>
    <w:p w14:paraId="365E22C5" w14:textId="317DFFC4" w:rsidR="00292411" w:rsidRDefault="00292411" w:rsidP="00547090">
      <w:pPr>
        <w:spacing w:after="0"/>
        <w:ind w:left="3"/>
        <w:rPr>
          <w:rFonts w:cs="Arial"/>
          <w:lang w:eastAsia="es-MX"/>
        </w:rPr>
      </w:pPr>
    </w:p>
    <w:p w14:paraId="49C9D05A" w14:textId="77777777" w:rsidR="00A7107C" w:rsidRPr="00D805F1" w:rsidRDefault="00A7107C" w:rsidP="00547090">
      <w:pPr>
        <w:spacing w:after="120"/>
        <w:ind w:left="3"/>
        <w:rPr>
          <w:rFonts w:cs="Arial"/>
          <w:lang w:eastAsia="es-MX"/>
        </w:rPr>
      </w:pPr>
    </w:p>
    <w:p w14:paraId="7B465F36" w14:textId="77777777" w:rsidR="00873CC3" w:rsidRPr="006E6390" w:rsidRDefault="00873CC3" w:rsidP="00873CC3">
      <w:pPr>
        <w:pStyle w:val="Ttulo4"/>
        <w:rPr>
          <w:rFonts w:cs="Arial"/>
        </w:rPr>
      </w:pPr>
      <w:r w:rsidRPr="006E6390">
        <w:rPr>
          <w:rFonts w:cs="Arial"/>
        </w:rPr>
        <w:t>2.3.2.2. Utilidad neta a ventas totales (porcentajes):</w:t>
      </w:r>
    </w:p>
    <w:p w14:paraId="55BF9EA4" w14:textId="120FF75F" w:rsidR="00873CC3" w:rsidRDefault="00873CC3" w:rsidP="00547090">
      <w:pPr>
        <w:spacing w:after="0"/>
        <w:rPr>
          <w:rFonts w:cs="Arial"/>
          <w:lang w:eastAsia="es-MX"/>
        </w:rPr>
      </w:pPr>
      <w:r w:rsidRPr="006E6390">
        <w:rPr>
          <w:rFonts w:cs="Arial"/>
          <w:lang w:eastAsia="es-MX"/>
        </w:rPr>
        <w:t xml:space="preserve">Este índice calcula el porcentaje que obtiene la empresa como ganancia de cada colón vendido. </w:t>
      </w:r>
      <w:r w:rsidR="006F0A2E">
        <w:rPr>
          <w:rFonts w:cs="Arial"/>
          <w:lang w:eastAsia="es-MX"/>
        </w:rPr>
        <w:t xml:space="preserve"> </w:t>
      </w:r>
      <w:r w:rsidRPr="006E6390">
        <w:rPr>
          <w:rFonts w:cs="Arial"/>
          <w:lang w:eastAsia="es-MX"/>
        </w:rPr>
        <w:t>Los ingresos por ventas de la empresa están directamente relacionados con el comportamiento del precio internacional de los combustibles, dado que el precio de venta local se encuentra indexado al internacional.</w:t>
      </w:r>
    </w:p>
    <w:p w14:paraId="4585EAA9" w14:textId="77777777" w:rsidR="00D805F1" w:rsidRPr="006E6390" w:rsidRDefault="00D805F1" w:rsidP="00547090">
      <w:pPr>
        <w:spacing w:after="0"/>
        <w:rPr>
          <w:rFonts w:cs="Arial"/>
          <w:lang w:eastAsia="es-MX"/>
        </w:rPr>
      </w:pPr>
    </w:p>
    <w:p w14:paraId="3335D584" w14:textId="029E05F9" w:rsidR="00873CC3" w:rsidRDefault="00873CC3" w:rsidP="00547090">
      <w:pPr>
        <w:spacing w:after="0"/>
        <w:rPr>
          <w:rFonts w:cs="Arial"/>
          <w:lang w:eastAsia="es-MX"/>
        </w:rPr>
      </w:pPr>
      <w:r w:rsidRPr="006E6390">
        <w:rPr>
          <w:rFonts w:cs="Arial"/>
          <w:lang w:eastAsia="es-MX"/>
        </w:rPr>
        <w:t>En el periodo de análisis puede observarse</w:t>
      </w:r>
      <w:r w:rsidR="00904DE5" w:rsidRPr="006E6390">
        <w:rPr>
          <w:rFonts w:cs="Arial"/>
          <w:lang w:eastAsia="es-MX"/>
        </w:rPr>
        <w:t xml:space="preserve"> </w:t>
      </w:r>
      <w:r w:rsidR="006F0A2E">
        <w:rPr>
          <w:rFonts w:cs="Arial"/>
          <w:lang w:eastAsia="es-MX"/>
        </w:rPr>
        <w:t>la variación</w:t>
      </w:r>
      <w:r w:rsidRPr="006E6390">
        <w:rPr>
          <w:rFonts w:cs="Arial"/>
          <w:lang w:eastAsia="es-MX"/>
        </w:rPr>
        <w:t xml:space="preserve"> en los ingresos por ventas, que obedece principalmente a la variación de los precios de venta y</w:t>
      </w:r>
      <w:r w:rsidR="003C5750" w:rsidRPr="006E6390">
        <w:rPr>
          <w:rFonts w:cs="Arial"/>
          <w:lang w:eastAsia="es-MX"/>
        </w:rPr>
        <w:t xml:space="preserve"> </w:t>
      </w:r>
      <w:r w:rsidRPr="006E6390">
        <w:rPr>
          <w:rFonts w:cs="Arial"/>
          <w:lang w:eastAsia="es-MX"/>
        </w:rPr>
        <w:t xml:space="preserve">al aumento en el volumen. </w:t>
      </w:r>
    </w:p>
    <w:p w14:paraId="0357CB7F" w14:textId="77777777" w:rsidR="00D805F1" w:rsidRPr="006E6390" w:rsidRDefault="00D805F1" w:rsidP="00547090">
      <w:pPr>
        <w:spacing w:after="0"/>
        <w:rPr>
          <w:rFonts w:cs="Arial"/>
          <w:lang w:eastAsia="es-MX"/>
        </w:rPr>
      </w:pPr>
    </w:p>
    <w:p w14:paraId="2BB61FD3" w14:textId="353F6AA4" w:rsidR="00CB0517" w:rsidRDefault="000C67AE" w:rsidP="00547090">
      <w:pPr>
        <w:spacing w:after="0"/>
        <w:rPr>
          <w:rFonts w:cs="Arial"/>
          <w:lang w:eastAsia="es-MX"/>
        </w:rPr>
      </w:pPr>
      <w:r w:rsidRPr="006E6390">
        <w:rPr>
          <w:rFonts w:cs="Arial"/>
          <w:lang w:eastAsia="es-MX"/>
        </w:rPr>
        <w:t>En 2020, e</w:t>
      </w:r>
      <w:r w:rsidR="00873CC3" w:rsidRPr="006E6390">
        <w:rPr>
          <w:rFonts w:cs="Arial"/>
          <w:lang w:eastAsia="es-MX"/>
        </w:rPr>
        <w:t>l precio promedio se reduce ₡</w:t>
      </w:r>
      <w:r w:rsidRPr="006E6390">
        <w:rPr>
          <w:rFonts w:cs="Arial"/>
          <w:lang w:eastAsia="es-MX"/>
        </w:rPr>
        <w:t>396</w:t>
      </w:r>
      <w:r w:rsidR="00873CC3" w:rsidRPr="006E6390">
        <w:rPr>
          <w:rFonts w:cs="Arial"/>
          <w:lang w:eastAsia="es-MX"/>
        </w:rPr>
        <w:t xml:space="preserve"> por litro (una </w:t>
      </w:r>
      <w:r w:rsidR="006F0A2E">
        <w:rPr>
          <w:rFonts w:cs="Arial"/>
          <w:lang w:eastAsia="es-MX"/>
        </w:rPr>
        <w:t>baja</w:t>
      </w:r>
      <w:r w:rsidR="00873CC3" w:rsidRPr="006E6390">
        <w:rPr>
          <w:rFonts w:cs="Arial"/>
          <w:lang w:eastAsia="es-MX"/>
        </w:rPr>
        <w:t xml:space="preserve"> de </w:t>
      </w:r>
      <w:r w:rsidRPr="006E6390">
        <w:rPr>
          <w:rFonts w:cs="Arial"/>
          <w:lang w:eastAsia="es-MX"/>
        </w:rPr>
        <w:t>1</w:t>
      </w:r>
      <w:r w:rsidR="00873CC3" w:rsidRPr="006E6390">
        <w:rPr>
          <w:rFonts w:cs="Arial"/>
          <w:lang w:eastAsia="es-MX"/>
        </w:rPr>
        <w:t>4% respecto de 201</w:t>
      </w:r>
      <w:r w:rsidRPr="006E6390">
        <w:rPr>
          <w:rFonts w:cs="Arial"/>
          <w:lang w:eastAsia="es-MX"/>
        </w:rPr>
        <w:t>9</w:t>
      </w:r>
      <w:r w:rsidR="00873CC3" w:rsidRPr="006E6390">
        <w:rPr>
          <w:rFonts w:cs="Arial"/>
          <w:lang w:eastAsia="es-MX"/>
        </w:rPr>
        <w:t xml:space="preserve">), </w:t>
      </w:r>
      <w:r w:rsidRPr="006E6390">
        <w:rPr>
          <w:rFonts w:cs="Arial"/>
          <w:bCs/>
          <w:lang w:val="es-ES"/>
        </w:rPr>
        <w:t xml:space="preserve">por una reducción abrupta del precio internacional de los combustibles, a pesar de las tensiones en las relaciones de los Estados Unidos e Irán, durante las primeras semanas del 2020 cuando se dieron en ambos sentidos a militares de esos países, provocando volatilidad </w:t>
      </w:r>
      <w:r w:rsidRPr="006E6390">
        <w:rPr>
          <w:rFonts w:cs="Arial"/>
          <w:bCs/>
          <w:i/>
          <w:iCs/>
          <w:lang w:val="es-ES"/>
        </w:rPr>
        <w:t>intra-day</w:t>
      </w:r>
      <w:r w:rsidRPr="006E6390">
        <w:rPr>
          <w:rFonts w:cs="Arial"/>
          <w:bCs/>
          <w:lang w:val="es-ES"/>
        </w:rPr>
        <w:t xml:space="preserve"> en el precio del crudo.</w:t>
      </w:r>
      <w:r w:rsidR="009228AF" w:rsidRPr="006E6390">
        <w:rPr>
          <w:rFonts w:cs="Arial"/>
          <w:bCs/>
          <w:lang w:val="es-ES"/>
        </w:rPr>
        <w:t xml:space="preserve"> </w:t>
      </w:r>
      <w:r w:rsidR="006F0A2E">
        <w:rPr>
          <w:rFonts w:cs="Arial"/>
          <w:bCs/>
          <w:lang w:val="es-ES"/>
        </w:rPr>
        <w:t xml:space="preserve"> </w:t>
      </w:r>
      <w:r w:rsidR="009228AF" w:rsidRPr="006E6390">
        <w:rPr>
          <w:rFonts w:cs="Arial"/>
          <w:bCs/>
          <w:lang w:val="es-ES"/>
        </w:rPr>
        <w:t>También se</w:t>
      </w:r>
      <w:r w:rsidR="009228AF" w:rsidRPr="006E6390">
        <w:rPr>
          <w:rFonts w:cs="Arial"/>
          <w:lang w:eastAsia="es-MX"/>
        </w:rPr>
        <w:t xml:space="preserve"> produjo un shock en el precio internacional por la guerra de precios entre Rusia y Arabia Saudita y posteriormente, por la caída abrupta de la demanda por la propagación del Covid-19.</w:t>
      </w:r>
    </w:p>
    <w:p w14:paraId="5CEAEBBF" w14:textId="77777777" w:rsidR="00FB0B56" w:rsidRPr="006E6390" w:rsidRDefault="00FB0B56" w:rsidP="00547090">
      <w:pPr>
        <w:spacing w:after="0"/>
        <w:rPr>
          <w:rFonts w:cs="Arial"/>
          <w:lang w:eastAsia="es-MX"/>
        </w:rPr>
      </w:pPr>
    </w:p>
    <w:p w14:paraId="04EFBA5F" w14:textId="77777777" w:rsidR="00CB0517" w:rsidRDefault="00CB0517" w:rsidP="001B007B">
      <w:pPr>
        <w:spacing w:after="0"/>
        <w:rPr>
          <w:rFonts w:cs="Arial"/>
          <w:lang w:eastAsia="es-MX"/>
        </w:rPr>
      </w:pPr>
      <w:r w:rsidRPr="006E6390">
        <w:rPr>
          <w:rFonts w:cs="Arial"/>
          <w:lang w:eastAsia="es-MX"/>
        </w:rPr>
        <w:t>E</w:t>
      </w:r>
      <w:r w:rsidR="00A541CD" w:rsidRPr="006E6390">
        <w:rPr>
          <w:rFonts w:cs="Arial"/>
          <w:lang w:eastAsia="es-MX"/>
        </w:rPr>
        <w:t>n 202</w:t>
      </w:r>
      <w:r w:rsidR="007136D6" w:rsidRPr="006E6390">
        <w:rPr>
          <w:rFonts w:cs="Arial"/>
          <w:lang w:eastAsia="es-MX"/>
        </w:rPr>
        <w:t>1,</w:t>
      </w:r>
      <w:r w:rsidRPr="006E6390">
        <w:rPr>
          <w:rFonts w:cs="Arial"/>
          <w:lang w:eastAsia="es-MX"/>
        </w:rPr>
        <w:t xml:space="preserve"> </w:t>
      </w:r>
      <w:r w:rsidR="007136D6" w:rsidRPr="006E6390">
        <w:rPr>
          <w:rFonts w:cs="Arial"/>
          <w:bCs/>
        </w:rPr>
        <w:t xml:space="preserve">los precios internacionales tuvieron un repunte como consecuencia de las noticias alentadoras de la vacuna contra la Covid-19 y en febrero se materializaron los efectos del acuerdo de la OPEP+, particularmente el compromiso de Arabia Saudita de un recorte voluntario de un millón de barriles diarios. </w:t>
      </w:r>
      <w:r w:rsidR="006F0A2E">
        <w:rPr>
          <w:rFonts w:cs="Arial"/>
          <w:bCs/>
        </w:rPr>
        <w:t xml:space="preserve"> </w:t>
      </w:r>
      <w:r w:rsidR="007136D6" w:rsidRPr="006E6390">
        <w:rPr>
          <w:rFonts w:cs="Arial"/>
          <w:bCs/>
        </w:rPr>
        <w:t>En los siguientes meses del año, los precios internacionales continuaron con la tendencia creciente</w:t>
      </w:r>
      <w:r w:rsidR="00A541CD" w:rsidRPr="006E6390">
        <w:rPr>
          <w:rFonts w:cs="Arial"/>
          <w:lang w:eastAsia="es-MX"/>
        </w:rPr>
        <w:t xml:space="preserve">, </w:t>
      </w:r>
      <w:r w:rsidRPr="006E6390">
        <w:rPr>
          <w:rFonts w:cs="Arial"/>
          <w:lang w:eastAsia="es-MX"/>
        </w:rPr>
        <w:t xml:space="preserve">lo que produjo un </w:t>
      </w:r>
      <w:r w:rsidR="007136D6" w:rsidRPr="006E6390">
        <w:rPr>
          <w:rFonts w:cs="Arial"/>
          <w:lang w:eastAsia="es-MX"/>
        </w:rPr>
        <w:t>aumento</w:t>
      </w:r>
      <w:r w:rsidRPr="006E6390">
        <w:rPr>
          <w:rFonts w:cs="Arial"/>
          <w:lang w:eastAsia="es-MX"/>
        </w:rPr>
        <w:t xml:space="preserve"> en </w:t>
      </w:r>
      <w:r w:rsidR="00A541CD" w:rsidRPr="006E6390">
        <w:rPr>
          <w:rFonts w:cs="Arial"/>
          <w:lang w:eastAsia="es-MX"/>
        </w:rPr>
        <w:t>el precio promedio de venta a ₡</w:t>
      </w:r>
      <w:r w:rsidR="007136D6" w:rsidRPr="006E6390">
        <w:rPr>
          <w:rFonts w:cs="Arial"/>
          <w:lang w:eastAsia="es-MX"/>
        </w:rPr>
        <w:t>4</w:t>
      </w:r>
      <w:r w:rsidR="00A541CD" w:rsidRPr="006E6390">
        <w:rPr>
          <w:rFonts w:cs="Arial"/>
          <w:lang w:eastAsia="es-MX"/>
        </w:rPr>
        <w:t>9</w:t>
      </w:r>
      <w:r w:rsidR="007136D6" w:rsidRPr="006E6390">
        <w:rPr>
          <w:rFonts w:cs="Arial"/>
          <w:lang w:eastAsia="es-MX"/>
        </w:rPr>
        <w:t>6</w:t>
      </w:r>
      <w:r w:rsidR="00A541CD" w:rsidRPr="006E6390">
        <w:rPr>
          <w:rFonts w:cs="Arial"/>
          <w:lang w:eastAsia="es-MX"/>
        </w:rPr>
        <w:t xml:space="preserve"> por litro</w:t>
      </w:r>
      <w:r w:rsidRPr="006E6390">
        <w:rPr>
          <w:rFonts w:cs="Arial"/>
          <w:lang w:eastAsia="es-MX"/>
        </w:rPr>
        <w:t>.</w:t>
      </w:r>
    </w:p>
    <w:p w14:paraId="7BCD8462" w14:textId="77777777" w:rsidR="005900C2" w:rsidRDefault="005900C2" w:rsidP="001B007B">
      <w:pPr>
        <w:spacing w:after="0"/>
        <w:rPr>
          <w:rFonts w:cs="Arial"/>
          <w:lang w:eastAsia="es-MX"/>
        </w:rPr>
      </w:pPr>
    </w:p>
    <w:p w14:paraId="165C9472" w14:textId="015ED0CB" w:rsidR="005900C2" w:rsidRDefault="005900C2" w:rsidP="001B007B">
      <w:pPr>
        <w:spacing w:after="0"/>
        <w:rPr>
          <w:rFonts w:cs="Arial"/>
          <w:lang w:eastAsia="es-MX"/>
        </w:rPr>
      </w:pPr>
      <w:r>
        <w:rPr>
          <w:rFonts w:cs="Arial"/>
          <w:lang w:eastAsia="es-MX"/>
        </w:rPr>
        <w:t xml:space="preserve">Por su parte, en 2022 los precios </w:t>
      </w:r>
      <w:r w:rsidRPr="001B6E80">
        <w:rPr>
          <w:rFonts w:cs="Arial"/>
          <w:lang w:eastAsia="es-MX"/>
        </w:rPr>
        <w:t xml:space="preserve">internacionales </w:t>
      </w:r>
      <w:r w:rsidR="00547090">
        <w:rPr>
          <w:rFonts w:cs="Arial"/>
          <w:lang w:eastAsia="es-MX"/>
        </w:rPr>
        <w:t>experimentaron una gran</w:t>
      </w:r>
      <w:r w:rsidRPr="001B6E80">
        <w:rPr>
          <w:rFonts w:cs="Arial"/>
          <w:lang w:eastAsia="es-MX"/>
        </w:rPr>
        <w:t xml:space="preserve"> volatilida</w:t>
      </w:r>
      <w:r w:rsidR="001B6E80" w:rsidRPr="001B6E80">
        <w:rPr>
          <w:rFonts w:cs="Arial"/>
          <w:lang w:eastAsia="es-MX"/>
        </w:rPr>
        <w:t>d</w:t>
      </w:r>
      <w:r w:rsidR="00547090">
        <w:rPr>
          <w:rFonts w:cs="Arial"/>
          <w:lang w:eastAsia="es-MX"/>
        </w:rPr>
        <w:t>,</w:t>
      </w:r>
      <w:r w:rsidR="001B6E80" w:rsidRPr="001B6E80">
        <w:rPr>
          <w:rFonts w:cs="Arial"/>
          <w:lang w:eastAsia="es-MX"/>
        </w:rPr>
        <w:t xml:space="preserve"> especialmente en el primer semestre</w:t>
      </w:r>
      <w:r w:rsidR="001B6E80">
        <w:rPr>
          <w:rFonts w:cs="Arial"/>
          <w:lang w:eastAsia="es-MX"/>
        </w:rPr>
        <w:t>, primero como efecto de los recortes de producción acordados por la OPEP en un contexto de rebote económico mundial y por ende, mayor demanda con niveles de inventarios de crudo, derivados y gas natural</w:t>
      </w:r>
      <w:r w:rsidR="000A1518">
        <w:rPr>
          <w:rFonts w:cs="Arial"/>
          <w:lang w:eastAsia="es-MX"/>
        </w:rPr>
        <w:t xml:space="preserve"> relativamente bajo</w:t>
      </w:r>
      <w:r w:rsidR="001B6E80">
        <w:rPr>
          <w:rFonts w:cs="Arial"/>
          <w:lang w:eastAsia="es-MX"/>
        </w:rPr>
        <w:t xml:space="preserve">, </w:t>
      </w:r>
      <w:r w:rsidR="001B6E80">
        <w:rPr>
          <w:rFonts w:cs="Arial"/>
          <w:lang w:eastAsia="es-MX"/>
        </w:rPr>
        <w:lastRenderedPageBreak/>
        <w:t>generando presiones alcistas (bullish)</w:t>
      </w:r>
      <w:r w:rsidR="000A1518">
        <w:rPr>
          <w:rFonts w:cs="Arial"/>
          <w:lang w:eastAsia="es-MX"/>
        </w:rPr>
        <w:t>.</w:t>
      </w:r>
      <w:r w:rsidR="001B6E80">
        <w:rPr>
          <w:rFonts w:cs="Arial"/>
          <w:lang w:eastAsia="es-MX"/>
        </w:rPr>
        <w:t xml:space="preserve"> El conflicto en Ucrania gener</w:t>
      </w:r>
      <w:r w:rsidR="000A1518">
        <w:rPr>
          <w:rFonts w:cs="Arial"/>
          <w:lang w:eastAsia="es-MX"/>
        </w:rPr>
        <w:t>ó</w:t>
      </w:r>
      <w:r w:rsidR="001B6E80">
        <w:rPr>
          <w:rFonts w:cs="Arial"/>
          <w:lang w:eastAsia="es-MX"/>
        </w:rPr>
        <w:t xml:space="preserve"> un rechazo absoluto de Europa que </w:t>
      </w:r>
      <w:r w:rsidR="000A1518">
        <w:rPr>
          <w:rFonts w:cs="Arial"/>
          <w:lang w:eastAsia="es-MX"/>
        </w:rPr>
        <w:t xml:space="preserve">generó </w:t>
      </w:r>
      <w:r w:rsidR="001B6E80">
        <w:rPr>
          <w:rFonts w:cs="Arial"/>
          <w:lang w:eastAsia="es-MX"/>
        </w:rPr>
        <w:t xml:space="preserve">un proceso de sanciones contra dicho país, especialmente contra </w:t>
      </w:r>
      <w:r w:rsidR="000A1518">
        <w:rPr>
          <w:rFonts w:cs="Arial"/>
          <w:lang w:eastAsia="es-MX"/>
        </w:rPr>
        <w:t xml:space="preserve">las </w:t>
      </w:r>
      <w:r w:rsidR="001B6E80">
        <w:rPr>
          <w:rFonts w:cs="Arial"/>
          <w:lang w:eastAsia="es-MX"/>
        </w:rPr>
        <w:t xml:space="preserve">exportaciones energéticas.  Las tensiones </w:t>
      </w:r>
      <w:r w:rsidR="000A1518">
        <w:rPr>
          <w:rFonts w:cs="Arial"/>
          <w:lang w:eastAsia="es-MX"/>
        </w:rPr>
        <w:t>acerca del suministro</w:t>
      </w:r>
      <w:r w:rsidR="001B6E80">
        <w:rPr>
          <w:rFonts w:cs="Arial"/>
          <w:lang w:eastAsia="es-MX"/>
        </w:rPr>
        <w:t xml:space="preserve"> de hidrocarburos a Europa se fueron resolviendo con los meses, con lo que los precios tendieron a relejarse, especialmente en el diésel, que fue sujeto de gran especulación a lo largo del año.</w:t>
      </w:r>
    </w:p>
    <w:p w14:paraId="78B7A22B" w14:textId="77777777" w:rsidR="00825643" w:rsidRPr="006E6390" w:rsidRDefault="00825643" w:rsidP="00873CC3">
      <w:pPr>
        <w:rPr>
          <w:rFonts w:cs="Arial"/>
          <w:lang w:eastAsia="es-MX"/>
        </w:rPr>
      </w:pPr>
    </w:p>
    <w:p w14:paraId="37D533C6" w14:textId="77777777" w:rsidR="00873CC3" w:rsidRPr="006E6390" w:rsidRDefault="00873CC3" w:rsidP="00873CC3">
      <w:pPr>
        <w:pStyle w:val="Ttuloscuadros"/>
        <w:tabs>
          <w:tab w:val="left" w:pos="9270"/>
        </w:tabs>
        <w:spacing w:after="120"/>
        <w:rPr>
          <w:rFonts w:cs="Arial"/>
        </w:rPr>
      </w:pPr>
      <w:r w:rsidRPr="006E6390">
        <w:rPr>
          <w:rFonts w:cs="Arial"/>
        </w:rPr>
        <w:t>Cuadro N°</w:t>
      </w:r>
      <w:r w:rsidR="007A29A1" w:rsidRPr="006E6390">
        <w:rPr>
          <w:rFonts w:cs="Arial"/>
        </w:rPr>
        <w:t>6</w:t>
      </w:r>
      <w:r w:rsidR="006F0A2E">
        <w:rPr>
          <w:rFonts w:cs="Arial"/>
        </w:rPr>
        <w:t xml:space="preserve"> Utilidad neta sobre ingresos totales</w:t>
      </w:r>
    </w:p>
    <w:tbl>
      <w:tblPr>
        <w:tblStyle w:val="Tablanormal1"/>
        <w:tblW w:w="5000" w:type="pct"/>
        <w:jc w:val="center"/>
        <w:tblLook w:val="04A0" w:firstRow="1" w:lastRow="0" w:firstColumn="1" w:lastColumn="0" w:noHBand="0" w:noVBand="1"/>
      </w:tblPr>
      <w:tblGrid>
        <w:gridCol w:w="5134"/>
        <w:gridCol w:w="1279"/>
        <w:gridCol w:w="1279"/>
        <w:gridCol w:w="1277"/>
      </w:tblGrid>
      <w:tr w:rsidR="003D150B" w:rsidRPr="006E6390" w14:paraId="12F3E51E" w14:textId="77777777" w:rsidTr="000A151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62" w:type="pct"/>
            <w:vAlign w:val="bottom"/>
            <w:hideMark/>
          </w:tcPr>
          <w:p w14:paraId="092FF8FE" w14:textId="280B50ED" w:rsidR="000B7A11" w:rsidRPr="006E6390" w:rsidRDefault="000B7A11" w:rsidP="000A1518">
            <w:pPr>
              <w:pStyle w:val="Tablas"/>
              <w:tabs>
                <w:tab w:val="left" w:pos="9270"/>
              </w:tabs>
              <w:rPr>
                <w:rFonts w:cs="Arial"/>
                <w:sz w:val="20"/>
                <w:szCs w:val="20"/>
              </w:rPr>
            </w:pPr>
          </w:p>
        </w:tc>
        <w:tc>
          <w:tcPr>
            <w:tcW w:w="713" w:type="pct"/>
            <w:vAlign w:val="center"/>
          </w:tcPr>
          <w:p w14:paraId="106FD562" w14:textId="497F6750" w:rsidR="000B7A11" w:rsidRPr="000A1518" w:rsidRDefault="000B7A11" w:rsidP="000A1518">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w:t>
            </w:r>
            <w:r w:rsidR="00E114F5" w:rsidRPr="000A1518">
              <w:rPr>
                <w:rFonts w:cs="Arial"/>
                <w:color w:val="002060"/>
                <w:sz w:val="20"/>
                <w:szCs w:val="20"/>
              </w:rPr>
              <w:t>20</w:t>
            </w:r>
          </w:p>
        </w:tc>
        <w:tc>
          <w:tcPr>
            <w:tcW w:w="713" w:type="pct"/>
            <w:vAlign w:val="center"/>
          </w:tcPr>
          <w:p w14:paraId="2D59D16A" w14:textId="37AB3CBB" w:rsidR="000B7A11" w:rsidRPr="000A1518" w:rsidRDefault="000B7A11" w:rsidP="000A1518">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w:t>
            </w:r>
            <w:r w:rsidR="00E114F5" w:rsidRPr="000A1518">
              <w:rPr>
                <w:rFonts w:cs="Arial"/>
                <w:color w:val="002060"/>
                <w:sz w:val="20"/>
                <w:szCs w:val="20"/>
              </w:rPr>
              <w:t>21</w:t>
            </w:r>
          </w:p>
        </w:tc>
        <w:tc>
          <w:tcPr>
            <w:tcW w:w="712" w:type="pct"/>
            <w:vAlign w:val="center"/>
          </w:tcPr>
          <w:p w14:paraId="69C3ADEA" w14:textId="3F45B583" w:rsidR="000B7A11" w:rsidRPr="000A1518" w:rsidRDefault="000B7A11" w:rsidP="000A1518">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w:t>
            </w:r>
            <w:r w:rsidR="00E114F5" w:rsidRPr="000A1518">
              <w:rPr>
                <w:rFonts w:cs="Arial"/>
                <w:color w:val="002060"/>
                <w:sz w:val="20"/>
                <w:szCs w:val="20"/>
              </w:rPr>
              <w:t>22</w:t>
            </w:r>
          </w:p>
        </w:tc>
      </w:tr>
      <w:tr w:rsidR="00CF5392" w:rsidRPr="006E6390" w14:paraId="34B5AB6F" w14:textId="77777777" w:rsidTr="000A15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vAlign w:val="bottom"/>
            <w:hideMark/>
          </w:tcPr>
          <w:p w14:paraId="31A97416" w14:textId="77777777" w:rsidR="00CF5392" w:rsidRPr="006E6390" w:rsidRDefault="00CF5392" w:rsidP="000A1518">
            <w:pPr>
              <w:pStyle w:val="Tablas"/>
              <w:tabs>
                <w:tab w:val="left" w:pos="9270"/>
              </w:tabs>
              <w:rPr>
                <w:rFonts w:cs="Arial"/>
                <w:b w:val="0"/>
                <w:sz w:val="20"/>
                <w:szCs w:val="20"/>
              </w:rPr>
            </w:pPr>
            <w:r w:rsidRPr="006E6390">
              <w:rPr>
                <w:rFonts w:cs="Arial"/>
                <w:b w:val="0"/>
                <w:sz w:val="20"/>
                <w:szCs w:val="20"/>
              </w:rPr>
              <w:t>Utilidad Neta sobre Ingresos Totales (a/b) * 100</w:t>
            </w:r>
          </w:p>
        </w:tc>
        <w:tc>
          <w:tcPr>
            <w:tcW w:w="0" w:type="pct"/>
            <w:vAlign w:val="center"/>
          </w:tcPr>
          <w:p w14:paraId="4CD72EB5" w14:textId="70514BC9"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-1,45%</w:t>
            </w:r>
          </w:p>
        </w:tc>
        <w:tc>
          <w:tcPr>
            <w:tcW w:w="0" w:type="pct"/>
            <w:vAlign w:val="center"/>
          </w:tcPr>
          <w:p w14:paraId="7627B0DD" w14:textId="79D55F1E"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3,14%</w:t>
            </w:r>
          </w:p>
        </w:tc>
        <w:tc>
          <w:tcPr>
            <w:tcW w:w="0" w:type="pct"/>
            <w:vAlign w:val="center"/>
          </w:tcPr>
          <w:p w14:paraId="6BB909B1" w14:textId="09AF00E8"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color w:val="000000"/>
                <w:sz w:val="20"/>
                <w:szCs w:val="20"/>
              </w:rPr>
              <w:t>2,33%</w:t>
            </w:r>
          </w:p>
        </w:tc>
      </w:tr>
      <w:tr w:rsidR="00CF5392" w:rsidRPr="006E6390" w14:paraId="3975F2B7" w14:textId="77777777" w:rsidTr="000A1518">
        <w:trPr>
          <w:trHeight w:val="340"/>
          <w:jc w:val="center"/>
        </w:trPr>
        <w:tc>
          <w:tcPr>
            <w:cnfStyle w:val="001000000000" w:firstRow="0" w:lastRow="0" w:firstColumn="1" w:lastColumn="0" w:oddVBand="0" w:evenVBand="0" w:oddHBand="0" w:evenHBand="0" w:firstRowFirstColumn="0" w:firstRowLastColumn="0" w:lastRowFirstColumn="0" w:lastRowLastColumn="0"/>
            <w:tcW w:w="0" w:type="pct"/>
            <w:vAlign w:val="bottom"/>
            <w:hideMark/>
          </w:tcPr>
          <w:p w14:paraId="387E9CF6" w14:textId="77777777" w:rsidR="00CF5392" w:rsidRPr="006E6390" w:rsidRDefault="00CF5392" w:rsidP="000A1518">
            <w:pPr>
              <w:pStyle w:val="Tablas"/>
              <w:tabs>
                <w:tab w:val="left" w:pos="9270"/>
              </w:tabs>
              <w:rPr>
                <w:rFonts w:cs="Arial"/>
                <w:sz w:val="20"/>
                <w:szCs w:val="20"/>
              </w:rPr>
            </w:pPr>
            <w:r w:rsidRPr="006E6390">
              <w:rPr>
                <w:rFonts w:cs="Arial"/>
                <w:sz w:val="20"/>
                <w:szCs w:val="20"/>
              </w:rPr>
              <w:t>a)       Utilidad Neta (millones de ₡)</w:t>
            </w:r>
          </w:p>
        </w:tc>
        <w:tc>
          <w:tcPr>
            <w:tcW w:w="0" w:type="pct"/>
            <w:vAlign w:val="center"/>
          </w:tcPr>
          <w:p w14:paraId="6C5868D3" w14:textId="19C27344" w:rsidR="00CF5392" w:rsidRPr="006E6390" w:rsidRDefault="00CF5392" w:rsidP="000A151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-16 053</w:t>
            </w:r>
          </w:p>
        </w:tc>
        <w:tc>
          <w:tcPr>
            <w:tcW w:w="0" w:type="pct"/>
            <w:vAlign w:val="center"/>
          </w:tcPr>
          <w:p w14:paraId="16BA503B" w14:textId="53CCA6E8" w:rsidR="00CF5392" w:rsidRPr="006E6390" w:rsidRDefault="00CF5392" w:rsidP="000A151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50 544</w:t>
            </w:r>
          </w:p>
        </w:tc>
        <w:tc>
          <w:tcPr>
            <w:tcW w:w="0" w:type="pct"/>
            <w:vAlign w:val="center"/>
          </w:tcPr>
          <w:p w14:paraId="04A4985E" w14:textId="6D2BFCC0" w:rsidR="00CF5392" w:rsidRPr="006E6390" w:rsidRDefault="00CF5392" w:rsidP="000A1518">
            <w:pPr>
              <w:pStyle w:val="Tablas"/>
              <w:tabs>
                <w:tab w:val="left" w:pos="927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55 152</w:t>
            </w:r>
          </w:p>
        </w:tc>
      </w:tr>
      <w:tr w:rsidR="00CF5392" w:rsidRPr="006E6390" w14:paraId="089BC7AF" w14:textId="77777777" w:rsidTr="000A15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vAlign w:val="bottom"/>
            <w:hideMark/>
          </w:tcPr>
          <w:p w14:paraId="7CED2287" w14:textId="77777777" w:rsidR="00CF5392" w:rsidRPr="006E6390" w:rsidRDefault="00CF5392" w:rsidP="000A1518">
            <w:pPr>
              <w:pStyle w:val="Tablas"/>
              <w:tabs>
                <w:tab w:val="left" w:pos="9270"/>
              </w:tabs>
              <w:rPr>
                <w:rFonts w:cs="Arial"/>
                <w:sz w:val="20"/>
                <w:szCs w:val="20"/>
              </w:rPr>
            </w:pPr>
            <w:r w:rsidRPr="006E6390">
              <w:rPr>
                <w:rFonts w:cs="Arial"/>
                <w:sz w:val="20"/>
                <w:szCs w:val="20"/>
              </w:rPr>
              <w:t>b)       Ingresos Totales (millones de ₡)</w:t>
            </w:r>
          </w:p>
        </w:tc>
        <w:tc>
          <w:tcPr>
            <w:tcW w:w="0" w:type="pct"/>
            <w:vAlign w:val="center"/>
          </w:tcPr>
          <w:p w14:paraId="3052A342" w14:textId="4B8C5639"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1 109 668</w:t>
            </w:r>
          </w:p>
        </w:tc>
        <w:tc>
          <w:tcPr>
            <w:tcW w:w="0" w:type="pct"/>
            <w:vAlign w:val="center"/>
          </w:tcPr>
          <w:p w14:paraId="6D4DEB86" w14:textId="61D4A7F0"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1 610 654</w:t>
            </w:r>
          </w:p>
        </w:tc>
        <w:tc>
          <w:tcPr>
            <w:tcW w:w="0" w:type="pct"/>
            <w:vAlign w:val="center"/>
          </w:tcPr>
          <w:p w14:paraId="615157A2" w14:textId="363B9D38" w:rsidR="00CF5392" w:rsidRPr="006E6390" w:rsidRDefault="00CF5392" w:rsidP="000A1518">
            <w:pPr>
              <w:pStyle w:val="Tablas"/>
              <w:tabs>
                <w:tab w:val="left" w:pos="927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2 365 169</w:t>
            </w:r>
          </w:p>
        </w:tc>
      </w:tr>
    </w:tbl>
    <w:p w14:paraId="5B483247" w14:textId="77777777" w:rsidR="00873CC3" w:rsidRPr="006E6390" w:rsidRDefault="00873CC3" w:rsidP="00873CC3">
      <w:pPr>
        <w:pStyle w:val="Sinespaciado"/>
        <w:tabs>
          <w:tab w:val="left" w:pos="9270"/>
        </w:tabs>
        <w:spacing w:line="276" w:lineRule="auto"/>
        <w:rPr>
          <w:rFonts w:ascii="Arial" w:hAnsi="Arial" w:cs="Arial"/>
          <w:sz w:val="22"/>
          <w:lang w:eastAsia="es-MX"/>
        </w:rPr>
      </w:pPr>
    </w:p>
    <w:p w14:paraId="7BBDC659" w14:textId="77777777" w:rsidR="00873CC3" w:rsidRPr="006E6390" w:rsidRDefault="00873CC3" w:rsidP="00873CC3">
      <w:pPr>
        <w:pStyle w:val="Ttulo4"/>
        <w:rPr>
          <w:rFonts w:cs="Arial"/>
        </w:rPr>
      </w:pPr>
      <w:r w:rsidRPr="006E6390">
        <w:rPr>
          <w:rFonts w:cs="Arial"/>
        </w:rPr>
        <w:t>2.3.2.3 Utilidad neta a patrimonio promedio (porcentajes):</w:t>
      </w:r>
    </w:p>
    <w:p w14:paraId="3A6F4E80" w14:textId="2D7CA7BB" w:rsidR="00873CC3" w:rsidRDefault="00873CC3" w:rsidP="008E2266">
      <w:pPr>
        <w:spacing w:after="0"/>
        <w:rPr>
          <w:rFonts w:cs="Arial"/>
          <w:lang w:eastAsia="es-MX"/>
        </w:rPr>
      </w:pPr>
      <w:r w:rsidRPr="006E6390">
        <w:rPr>
          <w:rFonts w:cs="Arial"/>
          <w:lang w:eastAsia="es-MX"/>
        </w:rPr>
        <w:t xml:space="preserve">El índice de Rendimiento del Patrimonio Contable es utilizado para indicar la tasa de retorno que la </w:t>
      </w:r>
      <w:r w:rsidR="000A1518">
        <w:rPr>
          <w:rFonts w:cs="Arial"/>
          <w:lang w:eastAsia="es-MX"/>
        </w:rPr>
        <w:t>empresa</w:t>
      </w:r>
      <w:r w:rsidR="000A1518" w:rsidRPr="006E6390">
        <w:rPr>
          <w:rFonts w:cs="Arial"/>
          <w:lang w:eastAsia="es-MX"/>
        </w:rPr>
        <w:t xml:space="preserve"> </w:t>
      </w:r>
      <w:r w:rsidRPr="006E6390">
        <w:rPr>
          <w:rFonts w:cs="Arial"/>
          <w:lang w:eastAsia="es-MX"/>
        </w:rPr>
        <w:t>ha generado sobre el capital provisto por los accionistas.</w:t>
      </w:r>
    </w:p>
    <w:p w14:paraId="03EA6E0A" w14:textId="77777777" w:rsidR="00FB0B56" w:rsidRPr="006E6390" w:rsidRDefault="00FB0B56" w:rsidP="008E2266">
      <w:pPr>
        <w:spacing w:after="0"/>
        <w:rPr>
          <w:rFonts w:cs="Arial"/>
          <w:lang w:eastAsia="es-MX"/>
        </w:rPr>
      </w:pPr>
    </w:p>
    <w:p w14:paraId="5B235C3D" w14:textId="78731147" w:rsidR="005636C9" w:rsidRPr="00E26625" w:rsidRDefault="00873CC3" w:rsidP="000A1518">
      <w:pPr>
        <w:spacing w:after="0"/>
        <w:rPr>
          <w:rFonts w:cs="Arial"/>
          <w:lang w:eastAsia="es-MX"/>
        </w:rPr>
      </w:pPr>
      <w:r w:rsidRPr="006E6390">
        <w:rPr>
          <w:rFonts w:cs="Arial"/>
          <w:lang w:eastAsia="es-MX"/>
        </w:rPr>
        <w:t xml:space="preserve">La </w:t>
      </w:r>
      <w:r w:rsidRPr="00E26625">
        <w:rPr>
          <w:rFonts w:cs="Arial"/>
          <w:lang w:eastAsia="es-MX"/>
        </w:rPr>
        <w:t xml:space="preserve">posición patrimonial de la empresa </w:t>
      </w:r>
      <w:r w:rsidR="00294E0E" w:rsidRPr="00E26625">
        <w:rPr>
          <w:rFonts w:cs="Arial"/>
          <w:lang w:eastAsia="es-MX"/>
        </w:rPr>
        <w:t>presentó una disminución</w:t>
      </w:r>
      <w:r w:rsidRPr="00E26625">
        <w:rPr>
          <w:rFonts w:cs="Arial"/>
          <w:lang w:eastAsia="es-MX"/>
        </w:rPr>
        <w:t xml:space="preserve"> </w:t>
      </w:r>
      <w:r w:rsidR="00A3345B" w:rsidRPr="00E26625">
        <w:rPr>
          <w:rFonts w:cs="Arial"/>
          <w:lang w:eastAsia="es-MX"/>
        </w:rPr>
        <w:t xml:space="preserve">de </w:t>
      </w:r>
      <w:r w:rsidR="00084FF4" w:rsidRPr="00E26625">
        <w:rPr>
          <w:rFonts w:cs="Arial"/>
          <w:lang w:eastAsia="es-MX"/>
        </w:rPr>
        <w:t>₡</w:t>
      </w:r>
      <w:r w:rsidR="00294E0E" w:rsidRPr="00E26625">
        <w:rPr>
          <w:rFonts w:cs="Arial"/>
          <w:lang w:eastAsia="es-MX"/>
        </w:rPr>
        <w:t>41 822</w:t>
      </w:r>
      <w:r w:rsidR="00084FF4" w:rsidRPr="00E26625">
        <w:rPr>
          <w:rFonts w:cs="Arial"/>
          <w:lang w:eastAsia="es-MX"/>
        </w:rPr>
        <w:t xml:space="preserve"> millones</w:t>
      </w:r>
      <w:r w:rsidR="00084FF4" w:rsidRPr="00E26625" w:rsidDel="00084FF4">
        <w:rPr>
          <w:rFonts w:cs="Arial"/>
          <w:lang w:eastAsia="es-MX"/>
        </w:rPr>
        <w:t xml:space="preserve"> </w:t>
      </w:r>
      <w:r w:rsidRPr="00E26625">
        <w:rPr>
          <w:rFonts w:cs="Arial"/>
          <w:lang w:eastAsia="es-MX"/>
        </w:rPr>
        <w:t>en 20</w:t>
      </w:r>
      <w:r w:rsidR="00294E0E" w:rsidRPr="00E26625">
        <w:rPr>
          <w:rFonts w:cs="Arial"/>
          <w:lang w:eastAsia="es-MX"/>
        </w:rPr>
        <w:t>20</w:t>
      </w:r>
      <w:r w:rsidRPr="00E26625">
        <w:rPr>
          <w:rFonts w:cs="Arial"/>
          <w:lang w:eastAsia="es-MX"/>
        </w:rPr>
        <w:t xml:space="preserve">, </w:t>
      </w:r>
      <w:r w:rsidR="000A1518">
        <w:rPr>
          <w:rFonts w:cs="Arial"/>
          <w:lang w:eastAsia="es-MX"/>
        </w:rPr>
        <w:t xml:space="preserve">equivalente a </w:t>
      </w:r>
      <w:r w:rsidR="006155BD" w:rsidRPr="00E26625">
        <w:rPr>
          <w:rFonts w:cs="Arial"/>
          <w:lang w:eastAsia="es-MX"/>
        </w:rPr>
        <w:t>6</w:t>
      </w:r>
      <w:r w:rsidRPr="00E26625">
        <w:rPr>
          <w:rFonts w:cs="Arial"/>
          <w:lang w:eastAsia="es-MX"/>
        </w:rPr>
        <w:t>,</w:t>
      </w:r>
      <w:r w:rsidR="006155BD" w:rsidRPr="00E26625">
        <w:rPr>
          <w:rFonts w:cs="Arial"/>
          <w:lang w:eastAsia="es-MX"/>
        </w:rPr>
        <w:t>6</w:t>
      </w:r>
      <w:r w:rsidRPr="00E26625">
        <w:rPr>
          <w:rFonts w:cs="Arial"/>
          <w:lang w:eastAsia="es-MX"/>
        </w:rPr>
        <w:t>%</w:t>
      </w:r>
      <w:r w:rsidR="0040744C" w:rsidRPr="00E26625">
        <w:rPr>
          <w:rFonts w:cs="Arial"/>
          <w:lang w:eastAsia="es-MX"/>
        </w:rPr>
        <w:t>, sin embargo, e</w:t>
      </w:r>
      <w:r w:rsidRPr="00E26625">
        <w:rPr>
          <w:rFonts w:cs="Arial"/>
          <w:lang w:eastAsia="es-MX"/>
        </w:rPr>
        <w:t xml:space="preserve">n </w:t>
      </w:r>
      <w:r w:rsidR="00084FF4" w:rsidRPr="00E26625">
        <w:rPr>
          <w:rFonts w:cs="Arial"/>
          <w:lang w:eastAsia="es-MX"/>
        </w:rPr>
        <w:t>202</w:t>
      </w:r>
      <w:r w:rsidR="006155BD" w:rsidRPr="00E26625">
        <w:rPr>
          <w:rFonts w:cs="Arial"/>
          <w:lang w:eastAsia="es-MX"/>
        </w:rPr>
        <w:t>1</w:t>
      </w:r>
      <w:r w:rsidRPr="00E26625">
        <w:rPr>
          <w:rFonts w:cs="Arial"/>
          <w:lang w:eastAsia="es-MX"/>
        </w:rPr>
        <w:t xml:space="preserve">, </w:t>
      </w:r>
      <w:r w:rsidR="00654EE0" w:rsidRPr="00E26625">
        <w:rPr>
          <w:rFonts w:cs="Arial"/>
          <w:lang w:eastAsia="es-MX"/>
        </w:rPr>
        <w:t>se observó un</w:t>
      </w:r>
      <w:r w:rsidR="006155BD" w:rsidRPr="00E26625">
        <w:rPr>
          <w:rFonts w:cs="Arial"/>
          <w:lang w:eastAsia="es-MX"/>
        </w:rPr>
        <w:t xml:space="preserve"> aumento</w:t>
      </w:r>
      <w:r w:rsidR="00654EE0" w:rsidRPr="00E26625">
        <w:rPr>
          <w:rFonts w:cs="Arial"/>
          <w:lang w:eastAsia="es-MX"/>
        </w:rPr>
        <w:t xml:space="preserve"> de </w:t>
      </w:r>
      <w:r w:rsidRPr="00E26625">
        <w:rPr>
          <w:rFonts w:cs="Arial"/>
          <w:lang w:eastAsia="es-MX"/>
        </w:rPr>
        <w:t>₡</w:t>
      </w:r>
      <w:r w:rsidR="006155BD" w:rsidRPr="00E26625">
        <w:rPr>
          <w:rFonts w:cs="Arial"/>
          <w:lang w:eastAsia="es-MX"/>
        </w:rPr>
        <w:t>67</w:t>
      </w:r>
      <w:r w:rsidR="00034E93" w:rsidRPr="00E26625">
        <w:rPr>
          <w:rFonts w:cs="Arial"/>
          <w:lang w:eastAsia="es-MX"/>
        </w:rPr>
        <w:t xml:space="preserve"> </w:t>
      </w:r>
      <w:r w:rsidR="006155BD" w:rsidRPr="00E26625">
        <w:rPr>
          <w:rFonts w:cs="Arial"/>
          <w:lang w:eastAsia="es-MX"/>
        </w:rPr>
        <w:t>327</w:t>
      </w:r>
      <w:r w:rsidRPr="00E26625">
        <w:rPr>
          <w:rFonts w:cs="Arial"/>
          <w:lang w:eastAsia="es-MX"/>
        </w:rPr>
        <w:t xml:space="preserve"> millones</w:t>
      </w:r>
      <w:r w:rsidR="00E26625" w:rsidRPr="00E26625">
        <w:rPr>
          <w:rFonts w:cs="Arial"/>
          <w:lang w:eastAsia="es-MX"/>
        </w:rPr>
        <w:t>, que continuó en 2022 con ₡53 349 millones</w:t>
      </w:r>
      <w:r w:rsidR="005636C9" w:rsidRPr="00E26625">
        <w:rPr>
          <w:rFonts w:cs="Arial"/>
          <w:lang w:eastAsia="es-MX"/>
        </w:rPr>
        <w:t xml:space="preserve">. </w:t>
      </w:r>
      <w:r w:rsidR="00B21332" w:rsidRPr="00E26625">
        <w:rPr>
          <w:rFonts w:cs="Arial"/>
          <w:lang w:eastAsia="es-MX"/>
        </w:rPr>
        <w:t xml:space="preserve"> </w:t>
      </w:r>
      <w:r w:rsidR="005636C9" w:rsidRPr="00E26625">
        <w:rPr>
          <w:rFonts w:cs="Arial"/>
          <w:lang w:eastAsia="es-MX"/>
        </w:rPr>
        <w:t>Est</w:t>
      </w:r>
      <w:r w:rsidR="006155BD" w:rsidRPr="00E26625">
        <w:rPr>
          <w:rFonts w:cs="Arial"/>
          <w:lang w:eastAsia="es-MX"/>
        </w:rPr>
        <w:t>e</w:t>
      </w:r>
      <w:r w:rsidR="005636C9" w:rsidRPr="00E26625">
        <w:rPr>
          <w:rFonts w:cs="Arial"/>
          <w:lang w:eastAsia="es-MX"/>
        </w:rPr>
        <w:t xml:space="preserve"> </w:t>
      </w:r>
      <w:r w:rsidR="006155BD" w:rsidRPr="00E26625">
        <w:rPr>
          <w:rFonts w:cs="Arial"/>
          <w:lang w:eastAsia="es-MX"/>
        </w:rPr>
        <w:t>aumento</w:t>
      </w:r>
      <w:r w:rsidR="005636C9" w:rsidRPr="00E26625">
        <w:rPr>
          <w:rFonts w:cs="Arial"/>
          <w:lang w:eastAsia="es-MX"/>
        </w:rPr>
        <w:t xml:space="preserve"> está relacionad</w:t>
      </w:r>
      <w:r w:rsidR="006155BD" w:rsidRPr="00E26625">
        <w:rPr>
          <w:rFonts w:cs="Arial"/>
          <w:lang w:eastAsia="es-MX"/>
        </w:rPr>
        <w:t>o</w:t>
      </w:r>
      <w:r w:rsidR="005636C9" w:rsidRPr="00E26625">
        <w:rPr>
          <w:rFonts w:cs="Arial"/>
          <w:lang w:eastAsia="es-MX"/>
        </w:rPr>
        <w:t xml:space="preserve"> con dos eventos principales</w:t>
      </w:r>
      <w:r w:rsidR="00CB0517" w:rsidRPr="00E26625">
        <w:rPr>
          <w:rFonts w:cs="Arial"/>
          <w:lang w:eastAsia="es-MX"/>
        </w:rPr>
        <w:t xml:space="preserve">. </w:t>
      </w:r>
      <w:r w:rsidR="00EB1ACB" w:rsidRPr="00E26625">
        <w:rPr>
          <w:rFonts w:cs="Arial"/>
          <w:lang w:eastAsia="es-MX"/>
        </w:rPr>
        <w:t xml:space="preserve"> </w:t>
      </w:r>
      <w:r w:rsidR="00CB0517" w:rsidRPr="00E26625">
        <w:rPr>
          <w:rFonts w:cs="Arial"/>
          <w:lang w:eastAsia="es-MX"/>
        </w:rPr>
        <w:t>E</w:t>
      </w:r>
      <w:r w:rsidR="005636C9" w:rsidRPr="00E26625">
        <w:rPr>
          <w:rFonts w:cs="Arial"/>
          <w:lang w:eastAsia="es-MX"/>
        </w:rPr>
        <w:t xml:space="preserve">l primero es el impacto de la </w:t>
      </w:r>
      <w:r w:rsidR="006155BD" w:rsidRPr="00E26625">
        <w:rPr>
          <w:rFonts w:cs="Arial"/>
          <w:lang w:eastAsia="es-MX"/>
        </w:rPr>
        <w:t>utilidad</w:t>
      </w:r>
      <w:r w:rsidR="005636C9" w:rsidRPr="00E26625">
        <w:rPr>
          <w:rFonts w:cs="Arial"/>
          <w:lang w:eastAsia="es-MX"/>
        </w:rPr>
        <w:t xml:space="preserve"> neta del período 202</w:t>
      </w:r>
      <w:r w:rsidR="006155BD" w:rsidRPr="00E26625">
        <w:rPr>
          <w:rFonts w:cs="Arial"/>
          <w:lang w:eastAsia="es-MX"/>
        </w:rPr>
        <w:t>1</w:t>
      </w:r>
      <w:r w:rsidR="005636C9" w:rsidRPr="00E26625">
        <w:rPr>
          <w:rFonts w:cs="Arial"/>
          <w:lang w:eastAsia="es-MX"/>
        </w:rPr>
        <w:t xml:space="preserve"> por ₡</w:t>
      </w:r>
      <w:r w:rsidR="006155BD" w:rsidRPr="00E26625">
        <w:rPr>
          <w:rFonts w:cs="Arial"/>
          <w:lang w:eastAsia="es-MX"/>
        </w:rPr>
        <w:t>50</w:t>
      </w:r>
      <w:r w:rsidR="005636C9" w:rsidRPr="00E26625">
        <w:rPr>
          <w:rFonts w:cs="Arial"/>
          <w:lang w:eastAsia="es-MX"/>
        </w:rPr>
        <w:t xml:space="preserve"> 5</w:t>
      </w:r>
      <w:r w:rsidR="006155BD" w:rsidRPr="00E26625">
        <w:rPr>
          <w:rFonts w:cs="Arial"/>
          <w:lang w:eastAsia="es-MX"/>
        </w:rPr>
        <w:t>44</w:t>
      </w:r>
      <w:r w:rsidR="005636C9" w:rsidRPr="00E26625">
        <w:rPr>
          <w:rFonts w:cs="Arial"/>
          <w:lang w:eastAsia="es-MX"/>
        </w:rPr>
        <w:t xml:space="preserve"> millones y </w:t>
      </w:r>
      <w:r w:rsidR="00E26625" w:rsidRPr="000A1518">
        <w:rPr>
          <w:rFonts w:cs="Arial"/>
          <w:lang w:eastAsia="es-MX"/>
        </w:rPr>
        <w:t xml:space="preserve">de </w:t>
      </w:r>
      <w:r w:rsidR="00E26625" w:rsidRPr="00E26625">
        <w:rPr>
          <w:rFonts w:cs="Arial"/>
          <w:lang w:eastAsia="es-MX"/>
        </w:rPr>
        <w:t>₡55 152 millones</w:t>
      </w:r>
      <w:r w:rsidR="00E26625" w:rsidRPr="000A1518">
        <w:rPr>
          <w:rFonts w:cs="Arial"/>
          <w:lang w:eastAsia="es-MX"/>
        </w:rPr>
        <w:t xml:space="preserve"> en 2022, </w:t>
      </w:r>
      <w:r w:rsidR="005636C9" w:rsidRPr="00E26625">
        <w:rPr>
          <w:rFonts w:cs="Arial"/>
          <w:lang w:eastAsia="es-MX"/>
        </w:rPr>
        <w:t xml:space="preserve">el segundo está relacionado </w:t>
      </w:r>
      <w:r w:rsidR="006155BD" w:rsidRPr="00E26625">
        <w:rPr>
          <w:rFonts w:cs="Arial"/>
          <w:lang w:eastAsia="es-MX"/>
        </w:rPr>
        <w:t>con el Superávit por Revaluación de Activos y Avalúo Técnico</w:t>
      </w:r>
      <w:r w:rsidR="00E26625" w:rsidRPr="000A1518">
        <w:rPr>
          <w:rFonts w:cs="Arial"/>
          <w:lang w:eastAsia="es-MX"/>
        </w:rPr>
        <w:t xml:space="preserve"> en 2021</w:t>
      </w:r>
      <w:r w:rsidR="006155BD" w:rsidRPr="00E26625">
        <w:rPr>
          <w:rFonts w:cs="Arial"/>
          <w:lang w:eastAsia="es-MX"/>
        </w:rPr>
        <w:t xml:space="preserve">. </w:t>
      </w:r>
      <w:r w:rsidR="00EB1ACB" w:rsidRPr="00E26625">
        <w:rPr>
          <w:rFonts w:cs="Arial"/>
          <w:lang w:eastAsia="es-MX"/>
        </w:rPr>
        <w:t xml:space="preserve"> </w:t>
      </w:r>
      <w:r w:rsidR="006155BD" w:rsidRPr="00E26625">
        <w:rPr>
          <w:rFonts w:cs="Arial"/>
          <w:lang w:eastAsia="es-MX"/>
        </w:rPr>
        <w:t>Estas cuentas presentan un incremento de ₡9 548 millones, producto de la revaluación de activos fijos aplicada por ₡23 983 millones, además de las bajas de activos fijos revaluados por ₡7 244 a utilidades retenidas y del traspaso del pasivo por Impuesto de Renta Diferido por ₡7 192 millones</w:t>
      </w:r>
      <w:r w:rsidR="005636C9" w:rsidRPr="00E26625">
        <w:rPr>
          <w:rFonts w:cs="Arial"/>
          <w:lang w:eastAsia="es-MX"/>
        </w:rPr>
        <w:t>.</w:t>
      </w:r>
    </w:p>
    <w:p w14:paraId="2E7F0B72" w14:textId="77777777" w:rsidR="00FB0B56" w:rsidRPr="00E26625" w:rsidRDefault="00FB0B56" w:rsidP="000A1518">
      <w:pPr>
        <w:spacing w:after="0"/>
        <w:rPr>
          <w:rFonts w:cs="Arial"/>
          <w:lang w:eastAsia="es-MX"/>
        </w:rPr>
      </w:pPr>
    </w:p>
    <w:p w14:paraId="769684E5" w14:textId="77777777" w:rsidR="00873CC3" w:rsidRDefault="00873CC3" w:rsidP="00873CC3">
      <w:pPr>
        <w:rPr>
          <w:rFonts w:cs="Arial"/>
          <w:lang w:eastAsia="es-MX"/>
        </w:rPr>
      </w:pPr>
      <w:r w:rsidRPr="00E26625">
        <w:rPr>
          <w:rFonts w:cs="Arial"/>
          <w:lang w:eastAsia="es-MX"/>
        </w:rPr>
        <w:t>En términos generales, el aumento obedece a los resultados de la utilidad neta</w:t>
      </w:r>
      <w:r w:rsidRPr="006E6390">
        <w:rPr>
          <w:rFonts w:cs="Arial"/>
          <w:lang w:eastAsia="es-MX"/>
        </w:rPr>
        <w:t>.</w:t>
      </w:r>
    </w:p>
    <w:p w14:paraId="0775453F" w14:textId="77777777" w:rsidR="006676DE" w:rsidRDefault="006676DE">
      <w:pPr>
        <w:spacing w:after="0" w:line="240" w:lineRule="auto"/>
        <w:jc w:val="left"/>
        <w:rPr>
          <w:rFonts w:cs="Arial"/>
          <w:lang w:eastAsia="es-MX"/>
        </w:rPr>
      </w:pPr>
      <w:r>
        <w:rPr>
          <w:rFonts w:cs="Arial"/>
          <w:lang w:eastAsia="es-MX"/>
        </w:rPr>
        <w:br w:type="page"/>
      </w:r>
    </w:p>
    <w:p w14:paraId="38EE45B3" w14:textId="77777777" w:rsidR="006676DE" w:rsidRPr="006E6390" w:rsidRDefault="006676DE" w:rsidP="00873CC3">
      <w:pPr>
        <w:rPr>
          <w:rFonts w:cs="Arial"/>
          <w:lang w:eastAsia="es-MX"/>
        </w:rPr>
      </w:pPr>
    </w:p>
    <w:p w14:paraId="27F4A644" w14:textId="77777777" w:rsidR="00873CC3" w:rsidRPr="006E6390" w:rsidRDefault="00873CC3" w:rsidP="00873CC3">
      <w:pPr>
        <w:pStyle w:val="Ttuloscuadros"/>
        <w:tabs>
          <w:tab w:val="left" w:pos="9270"/>
        </w:tabs>
        <w:spacing w:after="120"/>
        <w:rPr>
          <w:rFonts w:cs="Arial"/>
        </w:rPr>
      </w:pPr>
      <w:r w:rsidRPr="006E6390">
        <w:rPr>
          <w:rFonts w:cs="Arial"/>
        </w:rPr>
        <w:t>Cuadro N°</w:t>
      </w:r>
      <w:r w:rsidR="007A29A1" w:rsidRPr="006E6390">
        <w:rPr>
          <w:rFonts w:cs="Arial"/>
        </w:rPr>
        <w:t>7</w:t>
      </w:r>
      <w:r w:rsidR="00127CBC">
        <w:rPr>
          <w:rFonts w:cs="Arial"/>
        </w:rPr>
        <w:t xml:space="preserve"> Utilidad neta a Patrimonio promedio</w:t>
      </w:r>
    </w:p>
    <w:tbl>
      <w:tblPr>
        <w:tblStyle w:val="Tablanormal1"/>
        <w:tblW w:w="5000" w:type="pct"/>
        <w:jc w:val="center"/>
        <w:tblLook w:val="04A0" w:firstRow="1" w:lastRow="0" w:firstColumn="1" w:lastColumn="0" w:noHBand="0" w:noVBand="1"/>
      </w:tblPr>
      <w:tblGrid>
        <w:gridCol w:w="5365"/>
        <w:gridCol w:w="1182"/>
        <w:gridCol w:w="1182"/>
        <w:gridCol w:w="1240"/>
      </w:tblGrid>
      <w:tr w:rsidR="006676DE" w:rsidRPr="006E6390" w14:paraId="47FB43C8" w14:textId="77777777" w:rsidTr="000A151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91" w:type="pct"/>
            <w:vAlign w:val="center"/>
            <w:hideMark/>
          </w:tcPr>
          <w:p w14:paraId="6F9B480E" w14:textId="50C32F0A" w:rsidR="006676DE" w:rsidRPr="006E6390" w:rsidRDefault="006676DE" w:rsidP="006676DE">
            <w:pPr>
              <w:pStyle w:val="Tablas"/>
              <w:tabs>
                <w:tab w:val="left" w:pos="9270"/>
              </w:tabs>
              <w:rPr>
                <w:rFonts w:cs="Arial"/>
                <w:sz w:val="20"/>
                <w:szCs w:val="20"/>
              </w:rPr>
            </w:pPr>
            <w:r>
              <w:rPr>
                <w:rFonts w:cs="Arial"/>
                <w:b w:val="0"/>
                <w:bCs w:val="0"/>
                <w:color w:val="000000"/>
                <w:sz w:val="20"/>
                <w:szCs w:val="20"/>
              </w:rPr>
              <w:t> </w:t>
            </w:r>
          </w:p>
        </w:tc>
        <w:tc>
          <w:tcPr>
            <w:tcW w:w="659" w:type="pct"/>
            <w:vAlign w:val="center"/>
          </w:tcPr>
          <w:p w14:paraId="33283A9F" w14:textId="6AF07310" w:rsidR="006676DE" w:rsidRPr="000A1518" w:rsidRDefault="006676DE" w:rsidP="006676D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dic-20</w:t>
            </w:r>
          </w:p>
        </w:tc>
        <w:tc>
          <w:tcPr>
            <w:tcW w:w="659" w:type="pct"/>
            <w:vAlign w:val="center"/>
          </w:tcPr>
          <w:p w14:paraId="295DB137" w14:textId="257B2440" w:rsidR="006676DE" w:rsidRPr="000A1518" w:rsidRDefault="006676DE" w:rsidP="006676D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dic-21</w:t>
            </w:r>
          </w:p>
        </w:tc>
        <w:tc>
          <w:tcPr>
            <w:tcW w:w="691" w:type="pct"/>
            <w:vAlign w:val="center"/>
          </w:tcPr>
          <w:p w14:paraId="0A646174" w14:textId="002A7369" w:rsidR="006676DE" w:rsidRPr="000A1518" w:rsidRDefault="006676DE" w:rsidP="006676D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0A1518">
              <w:rPr>
                <w:rFonts w:cs="Arial"/>
                <w:color w:val="002060"/>
                <w:sz w:val="20"/>
                <w:szCs w:val="20"/>
              </w:rPr>
              <w:t>dic-22</w:t>
            </w:r>
          </w:p>
        </w:tc>
      </w:tr>
      <w:tr w:rsidR="00B34047" w:rsidRPr="006E6390" w14:paraId="57FFB9CD" w14:textId="77777777" w:rsidTr="000A15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91" w:type="pct"/>
            <w:vAlign w:val="center"/>
            <w:hideMark/>
          </w:tcPr>
          <w:p w14:paraId="0D6422AE" w14:textId="71B868BC" w:rsidR="00B34047" w:rsidRPr="006E6390" w:rsidRDefault="00B34047" w:rsidP="00B34047">
            <w:pPr>
              <w:pStyle w:val="Tablas"/>
              <w:tabs>
                <w:tab w:val="left" w:pos="9270"/>
              </w:tabs>
              <w:rPr>
                <w:rFonts w:cs="Arial"/>
                <w:b w:val="0"/>
                <w:sz w:val="20"/>
                <w:szCs w:val="20"/>
              </w:rPr>
            </w:pPr>
            <w:r>
              <w:rPr>
                <w:rFonts w:cs="Arial"/>
                <w:color w:val="000000"/>
                <w:sz w:val="20"/>
                <w:szCs w:val="20"/>
              </w:rPr>
              <w:t>Utilidad Neta sobre Patrimonio Promedio (a/b) * 100</w:t>
            </w:r>
          </w:p>
        </w:tc>
        <w:tc>
          <w:tcPr>
            <w:tcW w:w="659" w:type="pct"/>
            <w:vAlign w:val="center"/>
          </w:tcPr>
          <w:p w14:paraId="55932A94" w14:textId="4A96EBA8"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-2,58%</w:t>
            </w:r>
          </w:p>
        </w:tc>
        <w:tc>
          <w:tcPr>
            <w:tcW w:w="659" w:type="pct"/>
            <w:vAlign w:val="center"/>
          </w:tcPr>
          <w:p w14:paraId="09D5408B" w14:textId="1ADB7383"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8,00%</w:t>
            </w:r>
          </w:p>
        </w:tc>
        <w:tc>
          <w:tcPr>
            <w:tcW w:w="691" w:type="pct"/>
            <w:vAlign w:val="center"/>
          </w:tcPr>
          <w:p w14:paraId="5519C0A1" w14:textId="6FEB1625"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7,99%</w:t>
            </w:r>
          </w:p>
        </w:tc>
      </w:tr>
      <w:tr w:rsidR="00B34047" w:rsidRPr="006E6390" w14:paraId="203D506D" w14:textId="77777777" w:rsidTr="000A1518">
        <w:trPr>
          <w:trHeight w:val="340"/>
          <w:jc w:val="center"/>
        </w:trPr>
        <w:tc>
          <w:tcPr>
            <w:cnfStyle w:val="001000000000" w:firstRow="0" w:lastRow="0" w:firstColumn="1" w:lastColumn="0" w:oddVBand="0" w:evenVBand="0" w:oddHBand="0" w:evenHBand="0" w:firstRowFirstColumn="0" w:firstRowLastColumn="0" w:lastRowFirstColumn="0" w:lastRowLastColumn="0"/>
            <w:tcW w:w="2991" w:type="pct"/>
            <w:vAlign w:val="center"/>
            <w:hideMark/>
          </w:tcPr>
          <w:p w14:paraId="0887DB19" w14:textId="28BD7411" w:rsidR="00B34047" w:rsidRPr="006E6390" w:rsidRDefault="00B34047" w:rsidP="00B34047">
            <w:pPr>
              <w:pStyle w:val="Tablas"/>
              <w:tabs>
                <w:tab w:val="left" w:pos="9270"/>
              </w:tabs>
              <w:rPr>
                <w:rFonts w:cs="Arial"/>
                <w:sz w:val="20"/>
                <w:szCs w:val="20"/>
              </w:rPr>
            </w:pPr>
            <w:r>
              <w:rPr>
                <w:rFonts w:cs="Arial"/>
                <w:b w:val="0"/>
                <w:bCs w:val="0"/>
                <w:color w:val="000000"/>
                <w:sz w:val="20"/>
                <w:szCs w:val="20"/>
              </w:rPr>
              <w:t>a)       Utilidad neta (millones de ₡)</w:t>
            </w:r>
          </w:p>
        </w:tc>
        <w:tc>
          <w:tcPr>
            <w:tcW w:w="659" w:type="pct"/>
            <w:vAlign w:val="center"/>
          </w:tcPr>
          <w:p w14:paraId="5EECF797" w14:textId="071A75F0" w:rsidR="00B34047" w:rsidRPr="006E6390" w:rsidRDefault="00B34047" w:rsidP="00B34047">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-16 053</w:t>
            </w:r>
          </w:p>
        </w:tc>
        <w:tc>
          <w:tcPr>
            <w:tcW w:w="659" w:type="pct"/>
            <w:vAlign w:val="center"/>
          </w:tcPr>
          <w:p w14:paraId="43E34DD2" w14:textId="1D2B2FC9" w:rsidR="00B34047" w:rsidRPr="006E6390" w:rsidRDefault="00B34047" w:rsidP="00B34047">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50 544</w:t>
            </w:r>
          </w:p>
        </w:tc>
        <w:tc>
          <w:tcPr>
            <w:tcW w:w="691" w:type="pct"/>
            <w:vAlign w:val="center"/>
          </w:tcPr>
          <w:p w14:paraId="022D55B2" w14:textId="1CD50352" w:rsidR="00B34047" w:rsidRPr="006E6390" w:rsidRDefault="00B34047" w:rsidP="00B34047">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55 152</w:t>
            </w:r>
          </w:p>
        </w:tc>
      </w:tr>
      <w:tr w:rsidR="00B34047" w:rsidRPr="006E6390" w14:paraId="4261327F" w14:textId="77777777" w:rsidTr="000A15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91" w:type="pct"/>
            <w:vAlign w:val="center"/>
            <w:hideMark/>
          </w:tcPr>
          <w:p w14:paraId="6B43395E" w14:textId="32ED1757" w:rsidR="00B34047" w:rsidRPr="006E6390" w:rsidRDefault="00B34047" w:rsidP="00B34047">
            <w:pPr>
              <w:pStyle w:val="Tablas"/>
              <w:tabs>
                <w:tab w:val="left" w:pos="9270"/>
              </w:tabs>
              <w:rPr>
                <w:rFonts w:cs="Arial"/>
                <w:sz w:val="20"/>
                <w:szCs w:val="20"/>
              </w:rPr>
            </w:pPr>
            <w:r>
              <w:rPr>
                <w:rFonts w:cs="Arial"/>
                <w:b w:val="0"/>
                <w:bCs w:val="0"/>
                <w:color w:val="000000"/>
                <w:sz w:val="20"/>
                <w:szCs w:val="20"/>
              </w:rPr>
              <w:t>b)       Patrimonio promedio (millones de ₡)</w:t>
            </w:r>
          </w:p>
        </w:tc>
        <w:tc>
          <w:tcPr>
            <w:tcW w:w="659" w:type="pct"/>
            <w:vAlign w:val="center"/>
          </w:tcPr>
          <w:p w14:paraId="0CFCBED7" w14:textId="4CA52112"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621 680</w:t>
            </w:r>
          </w:p>
        </w:tc>
        <w:tc>
          <w:tcPr>
            <w:tcW w:w="659" w:type="pct"/>
            <w:vAlign w:val="center"/>
          </w:tcPr>
          <w:p w14:paraId="573202F7" w14:textId="75F29FC7"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631 877</w:t>
            </w:r>
          </w:p>
        </w:tc>
        <w:tc>
          <w:tcPr>
            <w:tcW w:w="691" w:type="pct"/>
            <w:vAlign w:val="center"/>
          </w:tcPr>
          <w:p w14:paraId="34A894CC" w14:textId="77E8993D" w:rsidR="00B34047" w:rsidRPr="006E6390" w:rsidRDefault="00B34047" w:rsidP="00B34047">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690 147</w:t>
            </w:r>
          </w:p>
        </w:tc>
      </w:tr>
    </w:tbl>
    <w:p w14:paraId="25DB0A8E" w14:textId="77777777" w:rsidR="00294E0E" w:rsidRPr="006E6390" w:rsidRDefault="00294E0E" w:rsidP="00873CC3">
      <w:pPr>
        <w:rPr>
          <w:rFonts w:cs="Arial"/>
          <w:lang w:eastAsia="es-MX"/>
        </w:rPr>
      </w:pPr>
    </w:p>
    <w:p w14:paraId="5F30A9F3" w14:textId="478045FF" w:rsidR="00873CC3" w:rsidRDefault="00873CC3" w:rsidP="000A1518">
      <w:pPr>
        <w:spacing w:after="0"/>
        <w:rPr>
          <w:rFonts w:cs="Arial"/>
          <w:lang w:eastAsia="es-MX"/>
        </w:rPr>
      </w:pPr>
      <w:r w:rsidRPr="006E6390">
        <w:rPr>
          <w:rFonts w:cs="Arial"/>
          <w:lang w:eastAsia="es-MX"/>
        </w:rPr>
        <w:t xml:space="preserve">En el periodo de análisis, este indicador ha </w:t>
      </w:r>
      <w:r w:rsidR="00932720" w:rsidRPr="006E6390">
        <w:rPr>
          <w:rFonts w:cs="Arial"/>
          <w:lang w:eastAsia="es-MX"/>
        </w:rPr>
        <w:t>mejorado</w:t>
      </w:r>
      <w:r w:rsidRPr="006E6390">
        <w:rPr>
          <w:rFonts w:cs="Arial"/>
          <w:lang w:eastAsia="es-MX"/>
        </w:rPr>
        <w:t xml:space="preserve"> por</w:t>
      </w:r>
      <w:r w:rsidR="00932720" w:rsidRPr="006E6390">
        <w:rPr>
          <w:rFonts w:cs="Arial"/>
          <w:lang w:eastAsia="es-MX"/>
        </w:rPr>
        <w:t xml:space="preserve"> el aumento</w:t>
      </w:r>
      <w:r w:rsidRPr="006E6390">
        <w:rPr>
          <w:rFonts w:cs="Arial"/>
          <w:lang w:eastAsia="es-MX"/>
        </w:rPr>
        <w:t xml:space="preserve"> de la utilidad anual, debido a las razones explicadas en la sección anterior y, en menor medida, por </w:t>
      </w:r>
      <w:r w:rsidR="00932720" w:rsidRPr="006E6390">
        <w:rPr>
          <w:rFonts w:cs="Arial"/>
          <w:lang w:eastAsia="es-MX"/>
        </w:rPr>
        <w:t>e</w:t>
      </w:r>
      <w:r w:rsidR="00034E93" w:rsidRPr="006E6390">
        <w:rPr>
          <w:rFonts w:cs="Arial"/>
          <w:lang w:eastAsia="es-MX"/>
        </w:rPr>
        <w:t>l</w:t>
      </w:r>
      <w:r w:rsidR="00932720" w:rsidRPr="006E6390">
        <w:rPr>
          <w:rFonts w:cs="Arial"/>
          <w:lang w:eastAsia="es-MX"/>
        </w:rPr>
        <w:t xml:space="preserve"> aument</w:t>
      </w:r>
      <w:r w:rsidR="00AA1534">
        <w:rPr>
          <w:rFonts w:cs="Arial"/>
          <w:lang w:eastAsia="es-MX"/>
        </w:rPr>
        <w:t>o</w:t>
      </w:r>
      <w:r w:rsidRPr="006E6390">
        <w:rPr>
          <w:rFonts w:cs="Arial"/>
          <w:lang w:eastAsia="es-MX"/>
        </w:rPr>
        <w:t xml:space="preserve"> en el patrimonio promedio, como resultado del incremento de las utilidades retenidas.</w:t>
      </w:r>
    </w:p>
    <w:p w14:paraId="1F0A2779" w14:textId="77777777" w:rsidR="00FB0B56" w:rsidRPr="006E6390" w:rsidRDefault="00FB0B56" w:rsidP="00873CC3">
      <w:pPr>
        <w:rPr>
          <w:rFonts w:cs="Arial"/>
          <w:lang w:eastAsia="es-MX"/>
        </w:rPr>
      </w:pPr>
    </w:p>
    <w:p w14:paraId="68F4AA3D" w14:textId="77777777" w:rsidR="00873CC3" w:rsidRPr="006E6390" w:rsidRDefault="00873CC3" w:rsidP="00873CC3">
      <w:pPr>
        <w:pStyle w:val="Ttulo3"/>
        <w:rPr>
          <w:rFonts w:cs="Arial"/>
        </w:rPr>
      </w:pPr>
      <w:bookmarkStart w:id="68" w:name="_Toc38630793"/>
      <w:r w:rsidRPr="006E6390">
        <w:rPr>
          <w:rFonts w:cs="Arial"/>
        </w:rPr>
        <w:t>2.3.3. Índices de actividad</w:t>
      </w:r>
      <w:bookmarkEnd w:id="68"/>
    </w:p>
    <w:p w14:paraId="0D33D3A2" w14:textId="77777777" w:rsidR="00873CC3" w:rsidRPr="006E6390" w:rsidRDefault="00873CC3" w:rsidP="00873CC3">
      <w:pPr>
        <w:pStyle w:val="Ttulo4"/>
        <w:rPr>
          <w:rFonts w:cs="Arial"/>
        </w:rPr>
      </w:pPr>
      <w:r w:rsidRPr="006E6390">
        <w:rPr>
          <w:rFonts w:cs="Arial"/>
        </w:rPr>
        <w:t>2.3.3.1. Utilidad neta más gastos financieros a gastos financieros (veces):</w:t>
      </w:r>
    </w:p>
    <w:p w14:paraId="184AAFCB" w14:textId="609FA86F" w:rsidR="007E0828" w:rsidRDefault="007E0828" w:rsidP="000A1518">
      <w:pPr>
        <w:spacing w:after="0"/>
        <w:rPr>
          <w:rFonts w:cs="Arial"/>
          <w:lang w:eastAsia="es-MX"/>
        </w:rPr>
      </w:pPr>
      <w:r w:rsidRPr="006E6390">
        <w:rPr>
          <w:rFonts w:cs="Arial"/>
          <w:lang w:eastAsia="es-MX"/>
        </w:rPr>
        <w:t xml:space="preserve">De acuerdo con la NIC 23, los intereses pagados por las emisiones del Programa A fueron capitalizados como parte del costo de inversión de los proyectos que se encontraban en ejecución. </w:t>
      </w:r>
      <w:r w:rsidR="00AA1534">
        <w:rPr>
          <w:rFonts w:cs="Arial"/>
          <w:lang w:eastAsia="es-MX"/>
        </w:rPr>
        <w:t xml:space="preserve"> </w:t>
      </w:r>
      <w:r w:rsidRPr="006E6390">
        <w:rPr>
          <w:rFonts w:cs="Arial"/>
          <w:lang w:eastAsia="es-MX"/>
        </w:rPr>
        <w:t>En el cuadro 8 puede observarse el pago total de intereses distribuido entre intereses capitalizados y gasto por intereses.</w:t>
      </w:r>
    </w:p>
    <w:p w14:paraId="680DA49B" w14:textId="77777777" w:rsidR="00FB0B56" w:rsidRPr="006E6390" w:rsidRDefault="00FB0B56" w:rsidP="007E0828">
      <w:pPr>
        <w:rPr>
          <w:rFonts w:cs="Arial"/>
          <w:lang w:eastAsia="es-MX"/>
        </w:rPr>
      </w:pPr>
    </w:p>
    <w:p w14:paraId="0446AC3B" w14:textId="77777777" w:rsidR="007E0828" w:rsidRPr="006E6390" w:rsidRDefault="007E0828" w:rsidP="007E0828">
      <w:pPr>
        <w:pStyle w:val="Ttuloscuadros"/>
        <w:tabs>
          <w:tab w:val="left" w:pos="9270"/>
        </w:tabs>
        <w:spacing w:after="120"/>
        <w:rPr>
          <w:rFonts w:cs="Arial"/>
        </w:rPr>
      </w:pPr>
      <w:r w:rsidRPr="006E6390">
        <w:rPr>
          <w:rFonts w:cs="Arial"/>
        </w:rPr>
        <w:t>Cuadro N°8</w:t>
      </w:r>
    </w:p>
    <w:p w14:paraId="264A10BA" w14:textId="216152FC" w:rsidR="007E0828" w:rsidRPr="006E6390" w:rsidRDefault="007E0828" w:rsidP="007E0828">
      <w:pPr>
        <w:pStyle w:val="Ttuloscuadros"/>
        <w:tabs>
          <w:tab w:val="left" w:pos="9270"/>
        </w:tabs>
        <w:spacing w:after="120"/>
        <w:rPr>
          <w:rFonts w:cs="Arial"/>
        </w:rPr>
      </w:pPr>
      <w:r w:rsidRPr="006E6390">
        <w:rPr>
          <w:rFonts w:cs="Arial"/>
        </w:rPr>
        <w:t>Intereses generados por las emisiones de bonos 2013-</w:t>
      </w:r>
      <w:r w:rsidR="00EB1AF2" w:rsidRPr="006E6390">
        <w:rPr>
          <w:rFonts w:cs="Arial"/>
        </w:rPr>
        <w:t>202</w:t>
      </w:r>
      <w:r w:rsidR="00EB1AF2">
        <w:rPr>
          <w:rFonts w:cs="Arial"/>
        </w:rPr>
        <w:t>2</w:t>
      </w:r>
      <w:r w:rsidR="00EB1AF2" w:rsidRPr="006E6390">
        <w:rPr>
          <w:rFonts w:cs="Arial"/>
        </w:rPr>
        <w:t xml:space="preserve"> </w:t>
      </w:r>
      <w:r w:rsidRPr="006E6390">
        <w:rPr>
          <w:rFonts w:cs="Arial"/>
        </w:rPr>
        <w:t>(en millones de colones)</w:t>
      </w:r>
    </w:p>
    <w:tbl>
      <w:tblPr>
        <w:tblStyle w:val="Tablanormal1"/>
        <w:tblW w:w="5000" w:type="pct"/>
        <w:jc w:val="center"/>
        <w:tblLook w:val="04A0" w:firstRow="1" w:lastRow="0" w:firstColumn="1" w:lastColumn="0" w:noHBand="0" w:noVBand="1"/>
      </w:tblPr>
      <w:tblGrid>
        <w:gridCol w:w="1074"/>
        <w:gridCol w:w="2965"/>
        <w:gridCol w:w="2718"/>
        <w:gridCol w:w="2212"/>
      </w:tblGrid>
      <w:tr w:rsidR="007E0828" w:rsidRPr="006E6390" w14:paraId="181C2BC1" w14:textId="77777777" w:rsidTr="009D5E0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02707961" w14:textId="77777777" w:rsidR="007E0828" w:rsidRPr="006E6390" w:rsidRDefault="007E0828" w:rsidP="00CA53B6">
            <w:pPr>
              <w:pStyle w:val="Tablas"/>
              <w:tabs>
                <w:tab w:val="left" w:pos="9270"/>
              </w:tabs>
              <w:rPr>
                <w:rFonts w:cs="Arial"/>
                <w:bCs w:val="0"/>
                <w:sz w:val="20"/>
                <w:szCs w:val="20"/>
              </w:rPr>
            </w:pPr>
            <w:r w:rsidRPr="006E6390">
              <w:rPr>
                <w:rFonts w:cs="Arial"/>
                <w:bCs w:val="0"/>
                <w:sz w:val="20"/>
                <w:szCs w:val="20"/>
              </w:rPr>
              <w:t> Año</w:t>
            </w:r>
          </w:p>
        </w:tc>
        <w:tc>
          <w:tcPr>
            <w:tcW w:w="1653" w:type="pct"/>
          </w:tcPr>
          <w:p w14:paraId="2FED2E7E"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Intereses capitalizados</w:t>
            </w:r>
          </w:p>
        </w:tc>
        <w:tc>
          <w:tcPr>
            <w:tcW w:w="1515" w:type="pct"/>
          </w:tcPr>
          <w:p w14:paraId="391D70B7"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Gastos por intereses</w:t>
            </w:r>
          </w:p>
        </w:tc>
        <w:tc>
          <w:tcPr>
            <w:tcW w:w="1233" w:type="pct"/>
          </w:tcPr>
          <w:p w14:paraId="3979FE43" w14:textId="77777777" w:rsidR="007E0828" w:rsidRPr="006E6390" w:rsidRDefault="007E0828" w:rsidP="00CA53B6">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E6390">
              <w:rPr>
                <w:rFonts w:cs="Arial"/>
                <w:bCs w:val="0"/>
                <w:sz w:val="20"/>
                <w:szCs w:val="20"/>
              </w:rPr>
              <w:t>Intereses totales</w:t>
            </w:r>
          </w:p>
        </w:tc>
      </w:tr>
      <w:tr w:rsidR="007E0828" w:rsidRPr="006E6390" w14:paraId="28132680"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0BC755AC" w14:textId="77777777" w:rsidR="007E0828" w:rsidRPr="000A1518" w:rsidRDefault="007E0828" w:rsidP="00CA53B6">
            <w:pPr>
              <w:pStyle w:val="Tablas"/>
              <w:tabs>
                <w:tab w:val="left" w:pos="9270"/>
              </w:tabs>
              <w:rPr>
                <w:rFonts w:cs="Arial"/>
                <w:sz w:val="20"/>
                <w:szCs w:val="20"/>
              </w:rPr>
            </w:pPr>
            <w:r w:rsidRPr="00C86D71">
              <w:rPr>
                <w:rFonts w:cs="Arial"/>
                <w:sz w:val="20"/>
                <w:szCs w:val="20"/>
              </w:rPr>
              <w:t>2013</w:t>
            </w:r>
          </w:p>
        </w:tc>
        <w:tc>
          <w:tcPr>
            <w:tcW w:w="1653" w:type="pct"/>
          </w:tcPr>
          <w:p w14:paraId="792E50B1"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2 165</w:t>
            </w:r>
          </w:p>
        </w:tc>
        <w:tc>
          <w:tcPr>
            <w:tcW w:w="1515" w:type="pct"/>
          </w:tcPr>
          <w:p w14:paraId="00DA92C3"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512</w:t>
            </w:r>
          </w:p>
        </w:tc>
        <w:tc>
          <w:tcPr>
            <w:tcW w:w="1233" w:type="pct"/>
          </w:tcPr>
          <w:p w14:paraId="5C3CEB13"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2 678</w:t>
            </w:r>
          </w:p>
        </w:tc>
      </w:tr>
      <w:tr w:rsidR="007E0828" w:rsidRPr="006E6390" w14:paraId="15687EBE"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01B8BF57" w14:textId="77777777" w:rsidR="007E0828" w:rsidRPr="000A1518" w:rsidRDefault="007E0828" w:rsidP="00CA53B6">
            <w:pPr>
              <w:pStyle w:val="Tablas"/>
              <w:tabs>
                <w:tab w:val="left" w:pos="9270"/>
              </w:tabs>
              <w:rPr>
                <w:rFonts w:cs="Arial"/>
                <w:sz w:val="20"/>
                <w:szCs w:val="20"/>
              </w:rPr>
            </w:pPr>
            <w:r w:rsidRPr="00C86D71">
              <w:rPr>
                <w:rFonts w:cs="Arial"/>
                <w:sz w:val="20"/>
                <w:szCs w:val="20"/>
              </w:rPr>
              <w:t>2014</w:t>
            </w:r>
          </w:p>
        </w:tc>
        <w:tc>
          <w:tcPr>
            <w:tcW w:w="1653" w:type="pct"/>
          </w:tcPr>
          <w:p w14:paraId="279120FB"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0</w:t>
            </w:r>
          </w:p>
        </w:tc>
        <w:tc>
          <w:tcPr>
            <w:tcW w:w="1515" w:type="pct"/>
          </w:tcPr>
          <w:p w14:paraId="05AB15C1"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4 066</w:t>
            </w:r>
          </w:p>
        </w:tc>
        <w:tc>
          <w:tcPr>
            <w:tcW w:w="1233" w:type="pct"/>
          </w:tcPr>
          <w:p w14:paraId="0F6E4C0E"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4 066</w:t>
            </w:r>
          </w:p>
        </w:tc>
      </w:tr>
      <w:tr w:rsidR="007E0828" w:rsidRPr="006E6390" w14:paraId="33EBDEA0"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64D307B4" w14:textId="77777777" w:rsidR="007E0828" w:rsidRPr="000A1518" w:rsidRDefault="007E0828" w:rsidP="00CA53B6">
            <w:pPr>
              <w:pStyle w:val="Tablas"/>
              <w:tabs>
                <w:tab w:val="left" w:pos="9270"/>
              </w:tabs>
              <w:rPr>
                <w:rFonts w:cs="Arial"/>
                <w:sz w:val="20"/>
                <w:szCs w:val="20"/>
              </w:rPr>
            </w:pPr>
            <w:r w:rsidRPr="00C86D71">
              <w:rPr>
                <w:rFonts w:cs="Arial"/>
                <w:sz w:val="20"/>
                <w:szCs w:val="20"/>
              </w:rPr>
              <w:t>2015</w:t>
            </w:r>
          </w:p>
        </w:tc>
        <w:tc>
          <w:tcPr>
            <w:tcW w:w="1653" w:type="pct"/>
          </w:tcPr>
          <w:p w14:paraId="0EDB6593"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6 101</w:t>
            </w:r>
          </w:p>
        </w:tc>
        <w:tc>
          <w:tcPr>
            <w:tcW w:w="1515" w:type="pct"/>
          </w:tcPr>
          <w:p w14:paraId="11D4826F"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w:t>
            </w:r>
          </w:p>
        </w:tc>
        <w:tc>
          <w:tcPr>
            <w:tcW w:w="1233" w:type="pct"/>
          </w:tcPr>
          <w:p w14:paraId="209CA17C"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6 101</w:t>
            </w:r>
          </w:p>
        </w:tc>
      </w:tr>
      <w:tr w:rsidR="007E0828" w:rsidRPr="006E6390" w14:paraId="1898A7AA"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7AC86C06" w14:textId="77777777" w:rsidR="007E0828" w:rsidRPr="000A1518" w:rsidRDefault="007E0828" w:rsidP="00CA53B6">
            <w:pPr>
              <w:pStyle w:val="Tablas"/>
              <w:tabs>
                <w:tab w:val="left" w:pos="9270"/>
              </w:tabs>
              <w:rPr>
                <w:rFonts w:cs="Arial"/>
                <w:sz w:val="20"/>
                <w:szCs w:val="20"/>
              </w:rPr>
            </w:pPr>
            <w:r w:rsidRPr="00C86D71">
              <w:rPr>
                <w:rFonts w:cs="Arial"/>
                <w:sz w:val="20"/>
                <w:szCs w:val="20"/>
              </w:rPr>
              <w:t>2016</w:t>
            </w:r>
          </w:p>
        </w:tc>
        <w:tc>
          <w:tcPr>
            <w:tcW w:w="1653" w:type="pct"/>
          </w:tcPr>
          <w:p w14:paraId="75E52274"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6 601</w:t>
            </w:r>
          </w:p>
        </w:tc>
        <w:tc>
          <w:tcPr>
            <w:tcW w:w="1515" w:type="pct"/>
          </w:tcPr>
          <w:p w14:paraId="7267BB24"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1 020</w:t>
            </w:r>
          </w:p>
        </w:tc>
        <w:tc>
          <w:tcPr>
            <w:tcW w:w="1233" w:type="pct"/>
          </w:tcPr>
          <w:p w14:paraId="10834FCA"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7 621</w:t>
            </w:r>
          </w:p>
        </w:tc>
      </w:tr>
      <w:tr w:rsidR="007E0828" w:rsidRPr="006E6390" w14:paraId="1611FCEB"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3364EFD6" w14:textId="77777777" w:rsidR="007E0828" w:rsidRPr="000A1518" w:rsidRDefault="007E0828" w:rsidP="00CA53B6">
            <w:pPr>
              <w:pStyle w:val="Tablas"/>
              <w:tabs>
                <w:tab w:val="left" w:pos="9270"/>
              </w:tabs>
              <w:rPr>
                <w:rFonts w:cs="Arial"/>
                <w:sz w:val="20"/>
                <w:szCs w:val="20"/>
              </w:rPr>
            </w:pPr>
            <w:r w:rsidRPr="00C86D71">
              <w:rPr>
                <w:rFonts w:cs="Arial"/>
                <w:sz w:val="20"/>
                <w:szCs w:val="20"/>
              </w:rPr>
              <w:t>2017</w:t>
            </w:r>
          </w:p>
        </w:tc>
        <w:tc>
          <w:tcPr>
            <w:tcW w:w="1653" w:type="pct"/>
          </w:tcPr>
          <w:p w14:paraId="4251BEBB"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3 543</w:t>
            </w:r>
          </w:p>
        </w:tc>
        <w:tc>
          <w:tcPr>
            <w:tcW w:w="1515" w:type="pct"/>
          </w:tcPr>
          <w:p w14:paraId="550EEB8B"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4 553</w:t>
            </w:r>
          </w:p>
        </w:tc>
        <w:tc>
          <w:tcPr>
            <w:tcW w:w="1233" w:type="pct"/>
          </w:tcPr>
          <w:p w14:paraId="386F04A5"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8 096</w:t>
            </w:r>
          </w:p>
        </w:tc>
      </w:tr>
      <w:tr w:rsidR="007E0828" w:rsidRPr="006E6390" w14:paraId="19C823BB"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4B208814" w14:textId="77777777" w:rsidR="007E0828" w:rsidRPr="000A1518" w:rsidRDefault="007E0828" w:rsidP="00CA53B6">
            <w:pPr>
              <w:pStyle w:val="Tablas"/>
              <w:tabs>
                <w:tab w:val="left" w:pos="9270"/>
              </w:tabs>
              <w:rPr>
                <w:rFonts w:cs="Arial"/>
                <w:sz w:val="20"/>
                <w:szCs w:val="20"/>
              </w:rPr>
            </w:pPr>
            <w:r w:rsidRPr="00C86D71">
              <w:rPr>
                <w:rFonts w:cs="Arial"/>
                <w:sz w:val="20"/>
                <w:szCs w:val="20"/>
              </w:rPr>
              <w:t>2018</w:t>
            </w:r>
          </w:p>
        </w:tc>
        <w:tc>
          <w:tcPr>
            <w:tcW w:w="1653" w:type="pct"/>
          </w:tcPr>
          <w:p w14:paraId="3A1156C2"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3 411</w:t>
            </w:r>
          </w:p>
        </w:tc>
        <w:tc>
          <w:tcPr>
            <w:tcW w:w="1515" w:type="pct"/>
          </w:tcPr>
          <w:p w14:paraId="463A351B"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4 767</w:t>
            </w:r>
          </w:p>
        </w:tc>
        <w:tc>
          <w:tcPr>
            <w:tcW w:w="1233" w:type="pct"/>
          </w:tcPr>
          <w:p w14:paraId="4214247A"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8 177</w:t>
            </w:r>
          </w:p>
        </w:tc>
      </w:tr>
      <w:tr w:rsidR="007E0828" w:rsidRPr="006E6390" w14:paraId="6A15E9FA"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2E0F7462" w14:textId="77777777" w:rsidR="007E0828" w:rsidRPr="000A1518" w:rsidRDefault="007E0828" w:rsidP="00CA53B6">
            <w:pPr>
              <w:pStyle w:val="Tablas"/>
              <w:tabs>
                <w:tab w:val="left" w:pos="9270"/>
              </w:tabs>
              <w:rPr>
                <w:rFonts w:cs="Arial"/>
                <w:sz w:val="20"/>
                <w:szCs w:val="20"/>
              </w:rPr>
            </w:pPr>
            <w:r w:rsidRPr="00C86D71">
              <w:rPr>
                <w:rFonts w:cs="Arial"/>
                <w:sz w:val="20"/>
                <w:szCs w:val="20"/>
              </w:rPr>
              <w:t>2019</w:t>
            </w:r>
          </w:p>
        </w:tc>
        <w:tc>
          <w:tcPr>
            <w:tcW w:w="1653" w:type="pct"/>
          </w:tcPr>
          <w:p w14:paraId="21F096F7"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2 374</w:t>
            </w:r>
          </w:p>
        </w:tc>
        <w:tc>
          <w:tcPr>
            <w:tcW w:w="1515" w:type="pct"/>
          </w:tcPr>
          <w:p w14:paraId="25DC4086"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5 793</w:t>
            </w:r>
          </w:p>
        </w:tc>
        <w:tc>
          <w:tcPr>
            <w:tcW w:w="1233" w:type="pct"/>
          </w:tcPr>
          <w:p w14:paraId="0DA41067"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8 167</w:t>
            </w:r>
          </w:p>
        </w:tc>
      </w:tr>
      <w:tr w:rsidR="007E0828" w:rsidRPr="006E6390" w14:paraId="472AE524"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65BDFC40" w14:textId="77777777" w:rsidR="007E0828" w:rsidRPr="000A1518" w:rsidRDefault="007E0828" w:rsidP="00CA53B6">
            <w:pPr>
              <w:pStyle w:val="Tablas"/>
              <w:tabs>
                <w:tab w:val="left" w:pos="9270"/>
              </w:tabs>
              <w:rPr>
                <w:rFonts w:cs="Arial"/>
                <w:sz w:val="20"/>
                <w:szCs w:val="20"/>
              </w:rPr>
            </w:pPr>
            <w:r w:rsidRPr="00C86D71">
              <w:rPr>
                <w:rFonts w:cs="Arial"/>
                <w:sz w:val="20"/>
                <w:szCs w:val="20"/>
              </w:rPr>
              <w:t>2020</w:t>
            </w:r>
          </w:p>
        </w:tc>
        <w:tc>
          <w:tcPr>
            <w:tcW w:w="1653" w:type="pct"/>
          </w:tcPr>
          <w:p w14:paraId="44831AB0"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1 784</w:t>
            </w:r>
          </w:p>
        </w:tc>
        <w:tc>
          <w:tcPr>
            <w:tcW w:w="1515" w:type="pct"/>
          </w:tcPr>
          <w:p w14:paraId="74A399F1"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6 500</w:t>
            </w:r>
          </w:p>
        </w:tc>
        <w:tc>
          <w:tcPr>
            <w:tcW w:w="1233" w:type="pct"/>
          </w:tcPr>
          <w:p w14:paraId="4355A1BF" w14:textId="77777777" w:rsidR="007E0828" w:rsidRPr="006E6390" w:rsidRDefault="007E0828"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8 284</w:t>
            </w:r>
          </w:p>
        </w:tc>
      </w:tr>
      <w:tr w:rsidR="00265B89" w:rsidRPr="006E6390" w14:paraId="674CEA08"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53A57E3A" w14:textId="77777777" w:rsidR="00265B89" w:rsidRPr="000A1518" w:rsidRDefault="00265B89" w:rsidP="00CA53B6">
            <w:pPr>
              <w:pStyle w:val="Tablas"/>
              <w:tabs>
                <w:tab w:val="left" w:pos="9270"/>
              </w:tabs>
              <w:rPr>
                <w:rFonts w:cs="Arial"/>
                <w:sz w:val="20"/>
                <w:szCs w:val="20"/>
              </w:rPr>
            </w:pPr>
            <w:r w:rsidRPr="00C86D71">
              <w:rPr>
                <w:rFonts w:cs="Arial"/>
                <w:sz w:val="20"/>
                <w:szCs w:val="20"/>
              </w:rPr>
              <w:t>2021</w:t>
            </w:r>
          </w:p>
        </w:tc>
        <w:tc>
          <w:tcPr>
            <w:tcW w:w="1653" w:type="pct"/>
          </w:tcPr>
          <w:p w14:paraId="0EE86358" w14:textId="77777777" w:rsidR="00265B89" w:rsidRPr="006E6390" w:rsidRDefault="00DF709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0</w:t>
            </w:r>
          </w:p>
        </w:tc>
        <w:tc>
          <w:tcPr>
            <w:tcW w:w="1515" w:type="pct"/>
          </w:tcPr>
          <w:p w14:paraId="0437EC82" w14:textId="77777777" w:rsidR="00265B89" w:rsidRPr="006E6390" w:rsidRDefault="00C4414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8 572</w:t>
            </w:r>
          </w:p>
        </w:tc>
        <w:tc>
          <w:tcPr>
            <w:tcW w:w="1233" w:type="pct"/>
          </w:tcPr>
          <w:p w14:paraId="7078D9EA" w14:textId="77777777" w:rsidR="00265B89" w:rsidRPr="006E6390" w:rsidRDefault="00DF7095"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8 572</w:t>
            </w:r>
          </w:p>
        </w:tc>
      </w:tr>
      <w:tr w:rsidR="00EB1AF2" w:rsidRPr="006E6390" w14:paraId="20F49FD6" w14:textId="77777777" w:rsidTr="009D5E02">
        <w:trPr>
          <w:trHeight w:val="340"/>
          <w:jc w:val="center"/>
        </w:trPr>
        <w:tc>
          <w:tcPr>
            <w:cnfStyle w:val="001000000000" w:firstRow="0" w:lastRow="0" w:firstColumn="1" w:lastColumn="0" w:oddVBand="0" w:evenVBand="0" w:oddHBand="0" w:evenHBand="0" w:firstRowFirstColumn="0" w:firstRowLastColumn="0" w:lastRowFirstColumn="0" w:lastRowLastColumn="0"/>
            <w:tcW w:w="599" w:type="pct"/>
          </w:tcPr>
          <w:p w14:paraId="0CBB10D9" w14:textId="77777777" w:rsidR="00EB1AF2" w:rsidRPr="000A1518" w:rsidRDefault="00EB1AF2" w:rsidP="00CA53B6">
            <w:pPr>
              <w:pStyle w:val="Tablas"/>
              <w:tabs>
                <w:tab w:val="left" w:pos="9270"/>
              </w:tabs>
              <w:rPr>
                <w:rFonts w:cs="Arial"/>
                <w:b w:val="0"/>
                <w:bCs w:val="0"/>
                <w:sz w:val="20"/>
                <w:szCs w:val="20"/>
              </w:rPr>
            </w:pPr>
            <w:r w:rsidRPr="00EB1AF2">
              <w:rPr>
                <w:rFonts w:cs="Arial"/>
                <w:sz w:val="20"/>
                <w:szCs w:val="20"/>
              </w:rPr>
              <w:t>2022</w:t>
            </w:r>
          </w:p>
        </w:tc>
        <w:tc>
          <w:tcPr>
            <w:tcW w:w="1653" w:type="pct"/>
          </w:tcPr>
          <w:p w14:paraId="7F82036F" w14:textId="77777777" w:rsidR="00EB1AF2" w:rsidRPr="006E6390" w:rsidRDefault="00EB1AF2"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p>
        </w:tc>
        <w:tc>
          <w:tcPr>
            <w:tcW w:w="1515" w:type="pct"/>
          </w:tcPr>
          <w:p w14:paraId="39CAB8C7" w14:textId="77777777" w:rsidR="00EB1AF2" w:rsidRPr="006E6390" w:rsidRDefault="00002C00"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8 688</w:t>
            </w:r>
          </w:p>
        </w:tc>
        <w:tc>
          <w:tcPr>
            <w:tcW w:w="1233" w:type="pct"/>
          </w:tcPr>
          <w:p w14:paraId="311F8316" w14:textId="77777777" w:rsidR="00EB1AF2" w:rsidRPr="006E6390" w:rsidRDefault="00002C00" w:rsidP="00CA53B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8 688</w:t>
            </w:r>
          </w:p>
        </w:tc>
      </w:tr>
      <w:tr w:rsidR="007E0828" w:rsidRPr="006E6390" w14:paraId="15CA0D68" w14:textId="77777777" w:rsidTr="009D5E0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9" w:type="pct"/>
            <w:hideMark/>
          </w:tcPr>
          <w:p w14:paraId="63A49B19" w14:textId="77777777" w:rsidR="007E0828" w:rsidRPr="006E6390" w:rsidRDefault="007E0828" w:rsidP="00CA53B6">
            <w:pPr>
              <w:pStyle w:val="Tablas"/>
              <w:tabs>
                <w:tab w:val="left" w:pos="9270"/>
              </w:tabs>
              <w:rPr>
                <w:rFonts w:cs="Arial"/>
                <w:b w:val="0"/>
                <w:bCs w:val="0"/>
                <w:sz w:val="20"/>
                <w:szCs w:val="20"/>
              </w:rPr>
            </w:pPr>
            <w:r w:rsidRPr="006E6390">
              <w:rPr>
                <w:rFonts w:cs="Arial"/>
                <w:b w:val="0"/>
                <w:bCs w:val="0"/>
                <w:sz w:val="20"/>
                <w:szCs w:val="20"/>
              </w:rPr>
              <w:t>Totales</w:t>
            </w:r>
          </w:p>
        </w:tc>
        <w:tc>
          <w:tcPr>
            <w:tcW w:w="1653" w:type="pct"/>
          </w:tcPr>
          <w:p w14:paraId="3CDEFD6D" w14:textId="77777777" w:rsidR="007E0828" w:rsidRPr="006E6390" w:rsidRDefault="007E0828"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E6390">
              <w:rPr>
                <w:rFonts w:cs="Arial"/>
                <w:b/>
                <w:bCs/>
                <w:sz w:val="20"/>
                <w:szCs w:val="20"/>
              </w:rPr>
              <w:t>25 979</w:t>
            </w:r>
          </w:p>
        </w:tc>
        <w:tc>
          <w:tcPr>
            <w:tcW w:w="1515" w:type="pct"/>
          </w:tcPr>
          <w:p w14:paraId="51AD154A" w14:textId="131073A6" w:rsidR="007E0828" w:rsidRPr="00002C00" w:rsidRDefault="00002C00"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0A1518">
              <w:rPr>
                <w:rFonts w:cs="Arial"/>
                <w:b/>
                <w:bCs/>
                <w:sz w:val="20"/>
                <w:szCs w:val="20"/>
              </w:rPr>
              <w:t>44 471</w:t>
            </w:r>
          </w:p>
        </w:tc>
        <w:tc>
          <w:tcPr>
            <w:tcW w:w="1233" w:type="pct"/>
          </w:tcPr>
          <w:p w14:paraId="781697CA" w14:textId="0A823E42" w:rsidR="007E0828" w:rsidRPr="00002C00" w:rsidRDefault="00002C00" w:rsidP="00CA53B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70 450</w:t>
            </w:r>
          </w:p>
        </w:tc>
      </w:tr>
    </w:tbl>
    <w:p w14:paraId="03710D5A" w14:textId="77777777" w:rsidR="007E0828" w:rsidRPr="006E6390" w:rsidRDefault="007E0828" w:rsidP="007E0828">
      <w:pPr>
        <w:rPr>
          <w:rFonts w:cs="Arial"/>
          <w:lang w:eastAsia="es-MX"/>
        </w:rPr>
      </w:pPr>
    </w:p>
    <w:p w14:paraId="2319DC83" w14:textId="77777777" w:rsidR="00873CC3" w:rsidRPr="006E6390" w:rsidRDefault="007E0828" w:rsidP="00873CC3">
      <w:pPr>
        <w:rPr>
          <w:rFonts w:cs="Arial"/>
          <w:lang w:eastAsia="es-MX"/>
        </w:rPr>
      </w:pPr>
      <w:r w:rsidRPr="006E6390">
        <w:rPr>
          <w:rFonts w:cs="Arial"/>
          <w:lang w:eastAsia="es-MX"/>
        </w:rPr>
        <w:lastRenderedPageBreak/>
        <w:t xml:space="preserve">En relación con el </w:t>
      </w:r>
      <w:r w:rsidR="00873CC3" w:rsidRPr="006E6390">
        <w:rPr>
          <w:rFonts w:cs="Arial"/>
          <w:lang w:eastAsia="es-MX"/>
        </w:rPr>
        <w:t xml:space="preserve">indicador </w:t>
      </w:r>
      <w:r w:rsidRPr="006E6390">
        <w:rPr>
          <w:rFonts w:cs="Arial"/>
          <w:lang w:eastAsia="es-MX"/>
        </w:rPr>
        <w:t>financiero, el mismo indica</w:t>
      </w:r>
      <w:r w:rsidR="00873CC3" w:rsidRPr="006E6390">
        <w:rPr>
          <w:rFonts w:cs="Arial"/>
          <w:lang w:eastAsia="es-MX"/>
        </w:rPr>
        <w:t xml:space="preserve"> el número de veces que las utilidades generadas antes de los gastos financieros, cubren la carga financiera de las deudas adquiridas. </w:t>
      </w:r>
    </w:p>
    <w:p w14:paraId="322D4483" w14:textId="77777777" w:rsidR="00873CC3" w:rsidRPr="006E6390" w:rsidRDefault="00873CC3" w:rsidP="00873CC3">
      <w:pPr>
        <w:pStyle w:val="Ttuloscuadros"/>
        <w:tabs>
          <w:tab w:val="left" w:pos="9270"/>
        </w:tabs>
        <w:spacing w:after="120"/>
        <w:rPr>
          <w:rFonts w:cs="Arial"/>
        </w:rPr>
      </w:pPr>
      <w:r w:rsidRPr="006E6390">
        <w:rPr>
          <w:rFonts w:cs="Arial"/>
        </w:rPr>
        <w:t>Cuadro N°</w:t>
      </w:r>
      <w:r w:rsidR="0053025B" w:rsidRPr="006E6390">
        <w:rPr>
          <w:rFonts w:cs="Arial"/>
        </w:rPr>
        <w:t>9</w:t>
      </w:r>
      <w:r w:rsidR="00F84193">
        <w:rPr>
          <w:rFonts w:cs="Arial"/>
        </w:rPr>
        <w:t xml:space="preserve"> Cobertura de Gastos Financieros</w:t>
      </w:r>
    </w:p>
    <w:tbl>
      <w:tblPr>
        <w:tblStyle w:val="Tablanormal1"/>
        <w:tblW w:w="5000" w:type="pct"/>
        <w:tblLook w:val="04A0" w:firstRow="1" w:lastRow="0" w:firstColumn="1" w:lastColumn="0" w:noHBand="0" w:noVBand="1"/>
      </w:tblPr>
      <w:tblGrid>
        <w:gridCol w:w="5523"/>
        <w:gridCol w:w="1135"/>
        <w:gridCol w:w="1274"/>
        <w:gridCol w:w="1037"/>
      </w:tblGrid>
      <w:tr w:rsidR="009C0025" w:rsidRPr="006E6390" w14:paraId="19F7B371" w14:textId="77777777" w:rsidTr="00CA0B6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0DAA34E7" w14:textId="77777777" w:rsidR="009C0025" w:rsidRPr="006E6390" w:rsidRDefault="009C0025" w:rsidP="009C0025">
            <w:pPr>
              <w:pStyle w:val="Tablas"/>
              <w:tabs>
                <w:tab w:val="left" w:pos="9270"/>
              </w:tabs>
              <w:rPr>
                <w:rFonts w:cs="Arial"/>
                <w:sz w:val="20"/>
                <w:szCs w:val="20"/>
              </w:rPr>
            </w:pPr>
            <w:r w:rsidRPr="006E6390">
              <w:rPr>
                <w:rFonts w:cs="Arial"/>
                <w:sz w:val="20"/>
                <w:szCs w:val="20"/>
              </w:rPr>
              <w:t> </w:t>
            </w:r>
          </w:p>
        </w:tc>
        <w:tc>
          <w:tcPr>
            <w:tcW w:w="633" w:type="pct"/>
          </w:tcPr>
          <w:p w14:paraId="55BC3731" w14:textId="419B1D74" w:rsidR="009C0025" w:rsidRPr="006E6390" w:rsidRDefault="009C0025" w:rsidP="009C002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dic-20</w:t>
            </w:r>
          </w:p>
        </w:tc>
        <w:tc>
          <w:tcPr>
            <w:tcW w:w="710" w:type="pct"/>
          </w:tcPr>
          <w:p w14:paraId="309E3243" w14:textId="76C5BCCF" w:rsidR="009C0025" w:rsidRPr="006E6390" w:rsidRDefault="009C0025" w:rsidP="009C002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dic-21</w:t>
            </w:r>
          </w:p>
        </w:tc>
        <w:tc>
          <w:tcPr>
            <w:tcW w:w="578" w:type="pct"/>
          </w:tcPr>
          <w:p w14:paraId="3FFAF78D" w14:textId="1AE950F4" w:rsidR="009C0025" w:rsidRPr="006E6390" w:rsidRDefault="009C0025" w:rsidP="009C002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dic-2</w:t>
            </w:r>
            <w:r>
              <w:rPr>
                <w:rFonts w:cs="Arial"/>
                <w:sz w:val="20"/>
                <w:szCs w:val="20"/>
              </w:rPr>
              <w:t>2</w:t>
            </w:r>
          </w:p>
        </w:tc>
      </w:tr>
      <w:tr w:rsidR="000C4D91" w:rsidRPr="006E6390" w14:paraId="3A481C18" w14:textId="77777777" w:rsidTr="00CA0B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4EABBA03" w14:textId="77777777" w:rsidR="000C4D91" w:rsidRPr="006E6390" w:rsidRDefault="000C4D91" w:rsidP="000C4D91">
            <w:pPr>
              <w:pStyle w:val="Tablas"/>
              <w:tabs>
                <w:tab w:val="left" w:pos="9270"/>
              </w:tabs>
              <w:rPr>
                <w:rFonts w:cs="Arial"/>
                <w:b w:val="0"/>
                <w:sz w:val="20"/>
                <w:szCs w:val="20"/>
              </w:rPr>
            </w:pPr>
            <w:r w:rsidRPr="006E6390">
              <w:rPr>
                <w:rFonts w:cs="Arial"/>
                <w:b w:val="0"/>
                <w:sz w:val="20"/>
                <w:szCs w:val="20"/>
              </w:rPr>
              <w:t>Utilidad Neta más Gastos Financieros sobre Gastos Financieros(a+b) /b</w:t>
            </w:r>
          </w:p>
        </w:tc>
        <w:tc>
          <w:tcPr>
            <w:tcW w:w="633" w:type="pct"/>
            <w:vAlign w:val="center"/>
          </w:tcPr>
          <w:p w14:paraId="2D0BD544" w14:textId="03D36EF2"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Pr>
                <w:rFonts w:cs="Arial"/>
                <w:b/>
                <w:bCs/>
                <w:color w:val="000000"/>
                <w:sz w:val="20"/>
                <w:szCs w:val="20"/>
              </w:rPr>
              <w:t>-3,05</w:t>
            </w:r>
          </w:p>
        </w:tc>
        <w:tc>
          <w:tcPr>
            <w:tcW w:w="710" w:type="pct"/>
            <w:vAlign w:val="center"/>
          </w:tcPr>
          <w:p w14:paraId="3A0152D1" w14:textId="6153E645"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6,53</w:t>
            </w:r>
          </w:p>
        </w:tc>
        <w:tc>
          <w:tcPr>
            <w:tcW w:w="578" w:type="pct"/>
            <w:vAlign w:val="center"/>
          </w:tcPr>
          <w:p w14:paraId="5FD2EFD8" w14:textId="6AB5D349"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6,25</w:t>
            </w:r>
          </w:p>
        </w:tc>
      </w:tr>
      <w:tr w:rsidR="000C4D91" w:rsidRPr="006E6390" w14:paraId="40CF6613" w14:textId="77777777" w:rsidTr="00CA0B6A">
        <w:trPr>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7B6A8A66" w14:textId="77777777" w:rsidR="000C4D91" w:rsidRPr="006E6390" w:rsidRDefault="000C4D91" w:rsidP="000C4D91">
            <w:pPr>
              <w:pStyle w:val="Tablas"/>
              <w:tabs>
                <w:tab w:val="left" w:pos="9270"/>
              </w:tabs>
              <w:rPr>
                <w:rFonts w:cs="Arial"/>
                <w:sz w:val="20"/>
                <w:szCs w:val="20"/>
              </w:rPr>
            </w:pPr>
            <w:r w:rsidRPr="006E6390">
              <w:rPr>
                <w:rFonts w:cs="Arial"/>
                <w:sz w:val="20"/>
                <w:szCs w:val="20"/>
              </w:rPr>
              <w:t>a)       Utilidad neta (millones de ₡)</w:t>
            </w:r>
          </w:p>
        </w:tc>
        <w:tc>
          <w:tcPr>
            <w:tcW w:w="633" w:type="pct"/>
            <w:vAlign w:val="center"/>
          </w:tcPr>
          <w:p w14:paraId="414C6869" w14:textId="5C7778C6" w:rsidR="000C4D91" w:rsidRPr="006E6390" w:rsidRDefault="000C4D91" w:rsidP="000C4D9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color w:val="000000"/>
                <w:sz w:val="20"/>
                <w:szCs w:val="20"/>
              </w:rPr>
              <w:t>-16 053</w:t>
            </w:r>
          </w:p>
        </w:tc>
        <w:tc>
          <w:tcPr>
            <w:tcW w:w="710" w:type="pct"/>
            <w:vAlign w:val="center"/>
          </w:tcPr>
          <w:p w14:paraId="2B4E59A4" w14:textId="6E613B4A" w:rsidR="000C4D91" w:rsidRPr="006E6390" w:rsidRDefault="000C4D91" w:rsidP="000C4D9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50 545</w:t>
            </w:r>
          </w:p>
        </w:tc>
        <w:tc>
          <w:tcPr>
            <w:tcW w:w="578" w:type="pct"/>
            <w:vAlign w:val="center"/>
          </w:tcPr>
          <w:p w14:paraId="77D1A5B7" w14:textId="232C6D49" w:rsidR="000C4D91" w:rsidRPr="006E6390" w:rsidRDefault="000C4D91" w:rsidP="000C4D9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55 152</w:t>
            </w:r>
          </w:p>
        </w:tc>
      </w:tr>
      <w:tr w:rsidR="000C4D91" w:rsidRPr="006E6390" w14:paraId="51FF24B0" w14:textId="77777777" w:rsidTr="00CA0B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9" w:type="pct"/>
            <w:hideMark/>
          </w:tcPr>
          <w:p w14:paraId="6F8BC5D5" w14:textId="77777777" w:rsidR="000C4D91" w:rsidRPr="006E6390" w:rsidRDefault="000C4D91" w:rsidP="000C4D91">
            <w:pPr>
              <w:pStyle w:val="Tablas"/>
              <w:tabs>
                <w:tab w:val="left" w:pos="9270"/>
              </w:tabs>
              <w:rPr>
                <w:rFonts w:cs="Arial"/>
                <w:sz w:val="20"/>
                <w:szCs w:val="20"/>
              </w:rPr>
            </w:pPr>
            <w:r w:rsidRPr="006E6390">
              <w:rPr>
                <w:rFonts w:cs="Arial"/>
                <w:sz w:val="20"/>
                <w:szCs w:val="20"/>
              </w:rPr>
              <w:t>b)       Gastos Financieros (millones de ₡)</w:t>
            </w:r>
          </w:p>
        </w:tc>
        <w:tc>
          <w:tcPr>
            <w:tcW w:w="633" w:type="pct"/>
            <w:vAlign w:val="center"/>
          </w:tcPr>
          <w:p w14:paraId="603181E6" w14:textId="7A695678"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color w:val="000000"/>
                <w:sz w:val="20"/>
                <w:szCs w:val="20"/>
              </w:rPr>
              <w:t>3 965</w:t>
            </w:r>
          </w:p>
        </w:tc>
        <w:tc>
          <w:tcPr>
            <w:tcW w:w="710" w:type="pct"/>
            <w:vAlign w:val="center"/>
          </w:tcPr>
          <w:p w14:paraId="665148C4" w14:textId="36272857"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9 148</w:t>
            </w:r>
          </w:p>
        </w:tc>
        <w:tc>
          <w:tcPr>
            <w:tcW w:w="578" w:type="pct"/>
            <w:vAlign w:val="center"/>
          </w:tcPr>
          <w:p w14:paraId="57617CD7" w14:textId="17435711" w:rsidR="000C4D91" w:rsidRPr="006E6390" w:rsidRDefault="000C4D91" w:rsidP="000C4D9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10 497</w:t>
            </w:r>
          </w:p>
        </w:tc>
      </w:tr>
    </w:tbl>
    <w:p w14:paraId="442F52F2" w14:textId="77777777" w:rsidR="00FA5E76" w:rsidRPr="006E6390" w:rsidRDefault="00FA5E76" w:rsidP="007E0828">
      <w:pPr>
        <w:rPr>
          <w:rFonts w:cs="Arial"/>
          <w:lang w:eastAsia="es-MX"/>
        </w:rPr>
      </w:pPr>
    </w:p>
    <w:p w14:paraId="668DF40A" w14:textId="7BF8A3EA" w:rsidR="007E0828" w:rsidRPr="00783273" w:rsidRDefault="007E0828" w:rsidP="004F0AF4">
      <w:pPr>
        <w:spacing w:after="0"/>
        <w:rPr>
          <w:rFonts w:cs="Arial"/>
          <w:lang w:eastAsia="es-MX"/>
        </w:rPr>
      </w:pPr>
      <w:r w:rsidRPr="003449E6">
        <w:rPr>
          <w:rFonts w:cs="Arial"/>
          <w:lang w:eastAsia="es-MX"/>
        </w:rPr>
        <w:t xml:space="preserve">Durante el período </w:t>
      </w:r>
      <w:r w:rsidR="004B3E71" w:rsidRPr="003449E6">
        <w:rPr>
          <w:rFonts w:cs="Arial"/>
          <w:lang w:eastAsia="es-MX"/>
        </w:rPr>
        <w:t>20</w:t>
      </w:r>
      <w:r w:rsidR="004B3E71" w:rsidRPr="004F0AF4">
        <w:rPr>
          <w:rFonts w:cs="Arial"/>
          <w:lang w:eastAsia="es-MX"/>
        </w:rPr>
        <w:t>20</w:t>
      </w:r>
      <w:r w:rsidRPr="003449E6">
        <w:rPr>
          <w:rFonts w:cs="Arial"/>
          <w:lang w:eastAsia="es-MX"/>
        </w:rPr>
        <w:t>-</w:t>
      </w:r>
      <w:r w:rsidR="004B3E71" w:rsidRPr="003449E6">
        <w:rPr>
          <w:rFonts w:cs="Arial"/>
          <w:lang w:eastAsia="es-MX"/>
        </w:rPr>
        <w:t>202</w:t>
      </w:r>
      <w:r w:rsidR="004B3E71" w:rsidRPr="004F0AF4">
        <w:rPr>
          <w:rFonts w:cs="Arial"/>
          <w:lang w:eastAsia="es-MX"/>
        </w:rPr>
        <w:t>2</w:t>
      </w:r>
      <w:r w:rsidRPr="003449E6">
        <w:rPr>
          <w:rFonts w:cs="Arial"/>
          <w:lang w:eastAsia="es-MX"/>
        </w:rPr>
        <w:t xml:space="preserve">, el pago de intereses ha </w:t>
      </w:r>
      <w:r w:rsidR="007D6E33" w:rsidRPr="003449E6">
        <w:rPr>
          <w:rFonts w:cs="Arial"/>
          <w:lang w:eastAsia="es-MX"/>
        </w:rPr>
        <w:t xml:space="preserve">venido </w:t>
      </w:r>
      <w:r w:rsidRPr="003449E6">
        <w:rPr>
          <w:rFonts w:cs="Arial"/>
          <w:lang w:eastAsia="es-MX"/>
        </w:rPr>
        <w:t xml:space="preserve">aumentado </w:t>
      </w:r>
      <w:r w:rsidR="007D6E33" w:rsidRPr="003449E6">
        <w:rPr>
          <w:rFonts w:cs="Arial"/>
          <w:lang w:eastAsia="es-MX"/>
        </w:rPr>
        <w:t xml:space="preserve">por los incrementos en el tipo de cambio dado </w:t>
      </w:r>
      <w:r w:rsidR="00897EAC" w:rsidRPr="003449E6">
        <w:rPr>
          <w:rFonts w:cs="Arial"/>
          <w:lang w:eastAsia="es-MX"/>
        </w:rPr>
        <w:t>al</w:t>
      </w:r>
      <w:r w:rsidR="007D6E33" w:rsidRPr="003449E6">
        <w:rPr>
          <w:rFonts w:cs="Arial"/>
          <w:lang w:eastAsia="es-MX"/>
        </w:rPr>
        <w:t xml:space="preserve"> porcentaje de deudas pactadas en dólares</w:t>
      </w:r>
      <w:r w:rsidRPr="003449E6">
        <w:rPr>
          <w:rFonts w:cs="Arial"/>
          <w:lang w:eastAsia="es-MX"/>
        </w:rPr>
        <w:t xml:space="preserve">, </w:t>
      </w:r>
      <w:r w:rsidR="007D6E33" w:rsidRPr="003449E6">
        <w:rPr>
          <w:rFonts w:cs="Arial"/>
          <w:lang w:eastAsia="es-MX"/>
        </w:rPr>
        <w:t>ya</w:t>
      </w:r>
      <w:r w:rsidRPr="003449E6">
        <w:rPr>
          <w:rFonts w:cs="Arial"/>
          <w:lang w:eastAsia="es-MX"/>
        </w:rPr>
        <w:t xml:space="preserve"> que la depreciación del dólar incrementa el valor de las cuotas en colones de los intereses por </w:t>
      </w:r>
      <w:r w:rsidRPr="00783273">
        <w:rPr>
          <w:rFonts w:cs="Arial"/>
          <w:lang w:eastAsia="es-MX"/>
        </w:rPr>
        <w:t>bonos y créditos.</w:t>
      </w:r>
      <w:r w:rsidR="003449E6" w:rsidRPr="00783273">
        <w:rPr>
          <w:rFonts w:cs="Arial"/>
          <w:lang w:eastAsia="es-MX"/>
        </w:rPr>
        <w:t xml:space="preserve">  La mayoría de los pagos de intereses se realizaron en dólares y durante los primeros ocho meses de 2022 cuando el tipo de cambio presentó una fuerte tendencia alcista.</w:t>
      </w:r>
    </w:p>
    <w:p w14:paraId="55F8787E" w14:textId="77777777" w:rsidR="004B3E71" w:rsidRPr="00783273" w:rsidRDefault="004B3E71" w:rsidP="004F0AF4">
      <w:pPr>
        <w:spacing w:after="0"/>
        <w:rPr>
          <w:rFonts w:cs="Arial"/>
          <w:lang w:eastAsia="es-MX"/>
        </w:rPr>
      </w:pPr>
    </w:p>
    <w:p w14:paraId="6ED81393" w14:textId="57851600" w:rsidR="007E0828" w:rsidRDefault="00873CC3" w:rsidP="004F0AF4">
      <w:pPr>
        <w:spacing w:after="0"/>
        <w:rPr>
          <w:rFonts w:cs="Arial"/>
        </w:rPr>
      </w:pPr>
      <w:r w:rsidRPr="00783273">
        <w:rPr>
          <w:rFonts w:cs="Arial"/>
          <w:lang w:eastAsia="es-MX"/>
        </w:rPr>
        <w:t xml:space="preserve">En el cuadro </w:t>
      </w:r>
      <w:r w:rsidR="00641BED" w:rsidRPr="00783273">
        <w:rPr>
          <w:rFonts w:cs="Arial"/>
          <w:lang w:eastAsia="es-MX"/>
        </w:rPr>
        <w:t>N°9</w:t>
      </w:r>
      <w:r w:rsidR="000D3840" w:rsidRPr="00783273">
        <w:rPr>
          <w:rFonts w:cs="Arial"/>
          <w:lang w:eastAsia="es-MX"/>
        </w:rPr>
        <w:t xml:space="preserve"> </w:t>
      </w:r>
      <w:r w:rsidRPr="00783273">
        <w:rPr>
          <w:rFonts w:cs="Arial"/>
          <w:lang w:eastAsia="es-MX"/>
        </w:rPr>
        <w:t xml:space="preserve">se observa el indicador </w:t>
      </w:r>
      <w:r w:rsidR="000D3840" w:rsidRPr="00783273">
        <w:rPr>
          <w:rFonts w:cs="Arial"/>
          <w:lang w:eastAsia="es-MX"/>
        </w:rPr>
        <w:t xml:space="preserve">pasó </w:t>
      </w:r>
      <w:r w:rsidR="00213629" w:rsidRPr="00783273">
        <w:rPr>
          <w:rFonts w:cs="Arial"/>
          <w:lang w:eastAsia="es-MX"/>
        </w:rPr>
        <w:t>fue de</w:t>
      </w:r>
      <w:r w:rsidRPr="00783273">
        <w:rPr>
          <w:rFonts w:cs="Arial"/>
          <w:lang w:eastAsia="es-MX"/>
        </w:rPr>
        <w:t xml:space="preserve"> </w:t>
      </w:r>
      <w:r w:rsidR="000D3840" w:rsidRPr="00783273">
        <w:rPr>
          <w:rFonts w:cs="Arial"/>
          <w:lang w:eastAsia="es-MX"/>
        </w:rPr>
        <w:t xml:space="preserve">una cobertura de </w:t>
      </w:r>
      <w:r w:rsidR="00DC63FA" w:rsidRPr="00783273">
        <w:rPr>
          <w:rFonts w:cs="Arial"/>
          <w:lang w:eastAsia="es-MX"/>
        </w:rPr>
        <w:t>0</w:t>
      </w:r>
      <w:r w:rsidR="00641BED" w:rsidRPr="00783273">
        <w:rPr>
          <w:rFonts w:cs="Arial"/>
          <w:lang w:eastAsia="es-MX"/>
        </w:rPr>
        <w:t>,</w:t>
      </w:r>
      <w:r w:rsidR="00DC63FA" w:rsidRPr="00783273">
        <w:rPr>
          <w:rFonts w:cs="Arial"/>
          <w:lang w:eastAsia="es-MX"/>
        </w:rPr>
        <w:t>7</w:t>
      </w:r>
      <w:r w:rsidRPr="00783273">
        <w:rPr>
          <w:rFonts w:cs="Arial"/>
          <w:lang w:eastAsia="es-MX"/>
        </w:rPr>
        <w:t xml:space="preserve"> </w:t>
      </w:r>
      <w:r w:rsidR="000D3840" w:rsidRPr="00783273">
        <w:rPr>
          <w:rFonts w:cs="Arial"/>
          <w:lang w:eastAsia="es-MX"/>
        </w:rPr>
        <w:t xml:space="preserve">veces </w:t>
      </w:r>
      <w:r w:rsidRPr="00783273">
        <w:rPr>
          <w:rFonts w:cs="Arial"/>
          <w:lang w:eastAsia="es-MX"/>
        </w:rPr>
        <w:t>en 201</w:t>
      </w:r>
      <w:r w:rsidR="00DC63FA" w:rsidRPr="00783273">
        <w:rPr>
          <w:rFonts w:cs="Arial"/>
          <w:lang w:eastAsia="es-MX"/>
        </w:rPr>
        <w:t>9</w:t>
      </w:r>
      <w:r w:rsidRPr="00783273">
        <w:rPr>
          <w:rFonts w:cs="Arial"/>
          <w:lang w:eastAsia="es-MX"/>
        </w:rPr>
        <w:t xml:space="preserve">, </w:t>
      </w:r>
      <w:r w:rsidR="000D3840" w:rsidRPr="00783273">
        <w:rPr>
          <w:rFonts w:cs="Arial"/>
          <w:lang w:eastAsia="es-MX"/>
        </w:rPr>
        <w:t>a cobertura negativa e</w:t>
      </w:r>
      <w:r w:rsidR="00213629" w:rsidRPr="00783273">
        <w:rPr>
          <w:rFonts w:cs="Arial"/>
          <w:lang w:eastAsia="es-MX"/>
        </w:rPr>
        <w:t xml:space="preserve">n 2020 producto de </w:t>
      </w:r>
      <w:r w:rsidR="004F0AF4">
        <w:rPr>
          <w:rFonts w:cs="Arial"/>
          <w:lang w:eastAsia="es-MX"/>
        </w:rPr>
        <w:t xml:space="preserve">la </w:t>
      </w:r>
      <w:r w:rsidR="00DC63FA" w:rsidRPr="00783273">
        <w:rPr>
          <w:rFonts w:cs="Arial"/>
          <w:lang w:eastAsia="es-MX"/>
        </w:rPr>
        <w:t>pérdida neta</w:t>
      </w:r>
      <w:r w:rsidR="007E0828" w:rsidRPr="00783273">
        <w:rPr>
          <w:rFonts w:cs="Arial"/>
          <w:lang w:eastAsia="es-MX"/>
        </w:rPr>
        <w:t xml:space="preserve">. </w:t>
      </w:r>
      <w:r w:rsidR="0018285D" w:rsidRPr="00783273">
        <w:rPr>
          <w:rFonts w:cs="Arial"/>
          <w:lang w:eastAsia="es-MX"/>
        </w:rPr>
        <w:t xml:space="preserve"> </w:t>
      </w:r>
      <w:r w:rsidR="007E0828" w:rsidRPr="00783273">
        <w:rPr>
          <w:rFonts w:cs="Arial"/>
        </w:rPr>
        <w:t>En 20</w:t>
      </w:r>
      <w:r w:rsidR="00113AE3" w:rsidRPr="00783273">
        <w:rPr>
          <w:rFonts w:cs="Arial"/>
        </w:rPr>
        <w:t>20</w:t>
      </w:r>
      <w:r w:rsidR="007E0828" w:rsidRPr="00783273">
        <w:rPr>
          <w:rFonts w:cs="Arial"/>
        </w:rPr>
        <w:t>, e</w:t>
      </w:r>
      <w:r w:rsidRPr="00783273">
        <w:rPr>
          <w:rFonts w:cs="Arial"/>
        </w:rPr>
        <w:t xml:space="preserve">l </w:t>
      </w:r>
      <w:r w:rsidR="007E0828" w:rsidRPr="00783273">
        <w:rPr>
          <w:rFonts w:cs="Arial"/>
        </w:rPr>
        <w:t xml:space="preserve">resultado obedece a </w:t>
      </w:r>
      <w:r w:rsidRPr="00783273">
        <w:rPr>
          <w:rFonts w:cs="Arial"/>
        </w:rPr>
        <w:t>los ajustes contables que se informaron en la sección 2.3.2.1. y que ocasionaron una pérdida neta.</w:t>
      </w:r>
      <w:r w:rsidR="00213629" w:rsidRPr="00783273">
        <w:rPr>
          <w:rFonts w:cs="Arial"/>
        </w:rPr>
        <w:t xml:space="preserve"> </w:t>
      </w:r>
      <w:r w:rsidR="0018285D" w:rsidRPr="00783273">
        <w:rPr>
          <w:rFonts w:cs="Arial"/>
        </w:rPr>
        <w:t xml:space="preserve"> </w:t>
      </w:r>
      <w:r w:rsidR="007E0828" w:rsidRPr="00783273">
        <w:rPr>
          <w:rFonts w:cs="Arial"/>
        </w:rPr>
        <w:t>Por su parte, en 202</w:t>
      </w:r>
      <w:r w:rsidR="00DC63FA" w:rsidRPr="00783273">
        <w:rPr>
          <w:rFonts w:cs="Arial"/>
        </w:rPr>
        <w:t>1</w:t>
      </w:r>
      <w:r w:rsidR="007E0828" w:rsidRPr="00783273">
        <w:rPr>
          <w:rFonts w:cs="Arial"/>
        </w:rPr>
        <w:t xml:space="preserve"> la</w:t>
      </w:r>
      <w:r w:rsidR="00DC63FA" w:rsidRPr="00783273">
        <w:rPr>
          <w:rFonts w:cs="Arial"/>
        </w:rPr>
        <w:t xml:space="preserve"> utilidad</w:t>
      </w:r>
      <w:r w:rsidR="007E0828" w:rsidRPr="00783273">
        <w:rPr>
          <w:rFonts w:cs="Arial"/>
        </w:rPr>
        <w:t xml:space="preserve"> obedece al </w:t>
      </w:r>
      <w:r w:rsidR="00DC63FA" w:rsidRPr="00783273">
        <w:rPr>
          <w:rFonts w:cs="Arial"/>
        </w:rPr>
        <w:t>aumento</w:t>
      </w:r>
      <w:r w:rsidR="007E0828" w:rsidRPr="00783273">
        <w:rPr>
          <w:rFonts w:cs="Arial"/>
        </w:rPr>
        <w:t xml:space="preserve"> del volumen de ventas, que condujo a un </w:t>
      </w:r>
      <w:r w:rsidR="00DC63FA" w:rsidRPr="00783273">
        <w:rPr>
          <w:rFonts w:cs="Arial"/>
        </w:rPr>
        <w:t>aumento</w:t>
      </w:r>
      <w:r w:rsidR="007E0828" w:rsidRPr="00783273">
        <w:rPr>
          <w:rFonts w:cs="Arial"/>
        </w:rPr>
        <w:t xml:space="preserve"> de los ingresos, según se comentó en la sección </w:t>
      </w:r>
      <w:r w:rsidR="0018285D" w:rsidRPr="00783273">
        <w:rPr>
          <w:rFonts w:cs="Arial"/>
        </w:rPr>
        <w:t>2.3.2.1</w:t>
      </w:r>
      <w:r w:rsidR="007E0828" w:rsidRPr="00783273">
        <w:rPr>
          <w:rFonts w:cs="Arial"/>
        </w:rPr>
        <w:t>.</w:t>
      </w:r>
      <w:r w:rsidR="00783273" w:rsidRPr="00783273">
        <w:rPr>
          <w:rFonts w:cs="Arial"/>
        </w:rPr>
        <w:t>, en 2022 se continúa con un comportamiento similar al del año 2021 con un incremento de los gastos financieros marcados por el alza del tipo de cambio indicada arriba.</w:t>
      </w:r>
    </w:p>
    <w:p w14:paraId="527E2CF4" w14:textId="77777777" w:rsidR="004B3E71" w:rsidRPr="006E6390" w:rsidRDefault="004B3E71" w:rsidP="004F0AF4">
      <w:pPr>
        <w:spacing w:after="0"/>
        <w:rPr>
          <w:rFonts w:cs="Arial"/>
        </w:rPr>
      </w:pPr>
    </w:p>
    <w:p w14:paraId="7273D67A" w14:textId="27A9F091" w:rsidR="007E0828" w:rsidRDefault="007E0828" w:rsidP="004B3E71">
      <w:pPr>
        <w:spacing w:after="0"/>
        <w:rPr>
          <w:rFonts w:cs="Arial"/>
          <w:lang w:eastAsia="es-MX"/>
        </w:rPr>
      </w:pPr>
      <w:r w:rsidRPr="00B025CE">
        <w:rPr>
          <w:rFonts w:cs="Arial"/>
          <w:lang w:eastAsia="es-MX"/>
        </w:rPr>
        <w:t xml:space="preserve">A la fecha únicamente se encuentra vigente el </w:t>
      </w:r>
      <w:r w:rsidR="00F9551C">
        <w:rPr>
          <w:rFonts w:cs="Arial"/>
          <w:lang w:eastAsia="es-MX"/>
        </w:rPr>
        <w:t>crédit</w:t>
      </w:r>
      <w:r w:rsidR="00F9551C" w:rsidRPr="00B025CE">
        <w:rPr>
          <w:rFonts w:cs="Arial"/>
          <w:lang w:eastAsia="es-MX"/>
        </w:rPr>
        <w:t xml:space="preserve">o </w:t>
      </w:r>
      <w:r w:rsidRPr="00B025CE">
        <w:rPr>
          <w:rFonts w:cs="Arial"/>
          <w:lang w:eastAsia="es-MX"/>
        </w:rPr>
        <w:t xml:space="preserve">con </w:t>
      </w:r>
      <w:r w:rsidR="00CF7F8C" w:rsidRPr="00B025CE">
        <w:rPr>
          <w:rFonts w:cs="Arial"/>
          <w:lang w:eastAsia="es-MX"/>
        </w:rPr>
        <w:t>BN</w:t>
      </w:r>
      <w:r w:rsidR="00873CC3" w:rsidRPr="00B025CE">
        <w:rPr>
          <w:rFonts w:cs="Arial"/>
          <w:lang w:eastAsia="es-MX"/>
        </w:rPr>
        <w:t>P Paribas &amp; Société Générale</w:t>
      </w:r>
      <w:r w:rsidRPr="00B025CE">
        <w:rPr>
          <w:rFonts w:cs="Arial"/>
          <w:lang w:eastAsia="es-MX"/>
        </w:rPr>
        <w:t>, además de la emisión de valores del Programa A</w:t>
      </w:r>
      <w:r w:rsidR="00783273">
        <w:rPr>
          <w:rFonts w:cs="Arial"/>
          <w:lang w:eastAsia="es-MX"/>
        </w:rPr>
        <w:t xml:space="preserve"> (exceptuando la Serie A1 ya redimida)</w:t>
      </w:r>
      <w:r w:rsidRPr="00B025CE">
        <w:rPr>
          <w:rFonts w:cs="Arial"/>
          <w:lang w:eastAsia="es-MX"/>
        </w:rPr>
        <w:t>.</w:t>
      </w:r>
    </w:p>
    <w:p w14:paraId="524DB7A8" w14:textId="77777777" w:rsidR="004B3E71" w:rsidRPr="006E6390" w:rsidRDefault="004B3E71" w:rsidP="004F0AF4">
      <w:pPr>
        <w:spacing w:after="0"/>
        <w:rPr>
          <w:rFonts w:cs="Arial"/>
          <w:lang w:eastAsia="es-MX"/>
        </w:rPr>
      </w:pPr>
    </w:p>
    <w:p w14:paraId="60F7EBB2" w14:textId="41B63F9A" w:rsidR="00873CC3" w:rsidRDefault="00873CC3" w:rsidP="004F0AF4">
      <w:pPr>
        <w:spacing w:after="0"/>
        <w:rPr>
          <w:rFonts w:cs="Arial"/>
          <w:lang w:eastAsia="es-MX"/>
        </w:rPr>
      </w:pPr>
      <w:r w:rsidRPr="006E6390">
        <w:rPr>
          <w:rFonts w:cs="Arial"/>
          <w:lang w:eastAsia="es-MX"/>
        </w:rPr>
        <w:t>En términos generales, el costo del pasivo es bajo, debido a las condiciones muy favorables de tasa y plazo.</w:t>
      </w:r>
    </w:p>
    <w:p w14:paraId="7750C1BF" w14:textId="77777777" w:rsidR="004B3E71" w:rsidRPr="006E6390" w:rsidRDefault="004B3E71" w:rsidP="00873CC3">
      <w:pPr>
        <w:rPr>
          <w:rFonts w:cs="Arial"/>
          <w:lang w:eastAsia="es-MX"/>
        </w:rPr>
      </w:pPr>
    </w:p>
    <w:p w14:paraId="221A02BA" w14:textId="77777777" w:rsidR="00873CC3" w:rsidRPr="006E6390" w:rsidRDefault="00873CC3" w:rsidP="00873CC3">
      <w:pPr>
        <w:pStyle w:val="Ttulo4"/>
        <w:rPr>
          <w:rFonts w:cs="Arial"/>
        </w:rPr>
      </w:pPr>
      <w:r w:rsidRPr="006E6390">
        <w:rPr>
          <w:rFonts w:cs="Arial"/>
        </w:rPr>
        <w:t>2.3.3.2. Rotación y días inventario (veces y días):</w:t>
      </w:r>
    </w:p>
    <w:p w14:paraId="5AE76519" w14:textId="2363AE92" w:rsidR="00873CC3" w:rsidRDefault="00873CC3" w:rsidP="004F0AF4">
      <w:pPr>
        <w:spacing w:after="0"/>
        <w:rPr>
          <w:rFonts w:cs="Arial"/>
          <w:lang w:eastAsia="es-MX"/>
        </w:rPr>
      </w:pPr>
      <w:r w:rsidRPr="006E6390">
        <w:rPr>
          <w:rFonts w:cs="Arial"/>
          <w:lang w:eastAsia="es-MX"/>
        </w:rPr>
        <w:t>La rotación de inventarios refleja el número de veces que la empresa cambia su stock general de inventarios al año, así mismo permite establecer un valor comparativo del manejo del inventario a través del tiempo.</w:t>
      </w:r>
    </w:p>
    <w:p w14:paraId="422CEDCE" w14:textId="77777777" w:rsidR="00694138" w:rsidRPr="006E6390" w:rsidRDefault="00694138" w:rsidP="004F0AF4">
      <w:pPr>
        <w:spacing w:after="0"/>
        <w:rPr>
          <w:rFonts w:cs="Arial"/>
          <w:lang w:eastAsia="es-MX"/>
        </w:rPr>
      </w:pPr>
    </w:p>
    <w:p w14:paraId="7A1E4D84" w14:textId="24AAADA1" w:rsidR="00873CC3" w:rsidRDefault="00873CC3">
      <w:pPr>
        <w:spacing w:after="0"/>
        <w:rPr>
          <w:rFonts w:cs="Arial"/>
          <w:lang w:eastAsia="es-MX"/>
        </w:rPr>
      </w:pPr>
      <w:r w:rsidRPr="006E6390">
        <w:rPr>
          <w:rFonts w:cs="Arial"/>
          <w:lang w:eastAsia="es-MX"/>
        </w:rPr>
        <w:t>Días de Inventario</w:t>
      </w:r>
      <w:r w:rsidR="002F5C7D">
        <w:rPr>
          <w:rFonts w:cs="Arial"/>
          <w:lang w:eastAsia="es-MX"/>
        </w:rPr>
        <w:t>:</w:t>
      </w:r>
      <w:r w:rsidRPr="006E6390">
        <w:rPr>
          <w:rFonts w:cs="Arial"/>
          <w:lang w:eastAsia="es-MX"/>
        </w:rPr>
        <w:t xml:space="preserve"> indica la duración promedio del inventario al dividir 360 entre la rotación de inventarios.  Este valor también se considera como el número promedio de días en que se vende el inventario.</w:t>
      </w:r>
    </w:p>
    <w:p w14:paraId="193CB2A9" w14:textId="56FC7520" w:rsidR="00694138" w:rsidRDefault="00694138">
      <w:pPr>
        <w:spacing w:after="0" w:line="240" w:lineRule="auto"/>
        <w:jc w:val="left"/>
        <w:rPr>
          <w:rFonts w:cs="Arial"/>
          <w:lang w:eastAsia="es-MX"/>
        </w:rPr>
      </w:pPr>
    </w:p>
    <w:p w14:paraId="5891CD82" w14:textId="77777777" w:rsidR="00694138" w:rsidRPr="006E6390" w:rsidRDefault="00694138" w:rsidP="004F0AF4">
      <w:pPr>
        <w:spacing w:after="0"/>
        <w:rPr>
          <w:rFonts w:cs="Arial"/>
          <w:lang w:eastAsia="es-MX"/>
        </w:rPr>
      </w:pPr>
    </w:p>
    <w:p w14:paraId="7790AE32" w14:textId="77777777" w:rsidR="00873CC3" w:rsidRPr="006E6390" w:rsidRDefault="00873CC3" w:rsidP="00873CC3">
      <w:pPr>
        <w:pStyle w:val="Ttuloscuadros"/>
        <w:tabs>
          <w:tab w:val="left" w:pos="9270"/>
        </w:tabs>
        <w:spacing w:after="120"/>
        <w:rPr>
          <w:rFonts w:cs="Arial"/>
        </w:rPr>
      </w:pPr>
      <w:r w:rsidRPr="006E6390">
        <w:rPr>
          <w:rFonts w:cs="Arial"/>
        </w:rPr>
        <w:t>Cuadro N°</w:t>
      </w:r>
      <w:r w:rsidR="008B1E26" w:rsidRPr="006E6390">
        <w:rPr>
          <w:rFonts w:cs="Arial"/>
        </w:rPr>
        <w:t>10</w:t>
      </w:r>
      <w:r w:rsidR="002F5C7D">
        <w:rPr>
          <w:rFonts w:cs="Arial"/>
        </w:rPr>
        <w:t xml:space="preserve"> Rotación de inventarios</w:t>
      </w:r>
    </w:p>
    <w:tbl>
      <w:tblPr>
        <w:tblStyle w:val="Tablanormal1"/>
        <w:tblW w:w="5000" w:type="pct"/>
        <w:jc w:val="center"/>
        <w:tblLook w:val="04A0" w:firstRow="1" w:lastRow="0" w:firstColumn="1" w:lastColumn="0" w:noHBand="0" w:noVBand="1"/>
      </w:tblPr>
      <w:tblGrid>
        <w:gridCol w:w="4814"/>
        <w:gridCol w:w="1385"/>
        <w:gridCol w:w="1385"/>
        <w:gridCol w:w="1385"/>
      </w:tblGrid>
      <w:tr w:rsidR="00FA009C" w:rsidRPr="006E6390" w14:paraId="50EBC676" w14:textId="77777777" w:rsidTr="004F0AF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84" w:type="pct"/>
            <w:vAlign w:val="center"/>
            <w:hideMark/>
          </w:tcPr>
          <w:p w14:paraId="0477AE14" w14:textId="07B2CDB7" w:rsidR="00FA009C" w:rsidRPr="006E6390" w:rsidRDefault="00FA009C" w:rsidP="00FA009C">
            <w:pPr>
              <w:pStyle w:val="Tablas"/>
              <w:tabs>
                <w:tab w:val="left" w:pos="9270"/>
              </w:tabs>
              <w:rPr>
                <w:rFonts w:cs="Arial"/>
                <w:b w:val="0"/>
                <w:sz w:val="20"/>
                <w:szCs w:val="20"/>
              </w:rPr>
            </w:pPr>
            <w:r>
              <w:rPr>
                <w:rFonts w:cs="Arial"/>
                <w:color w:val="000000"/>
                <w:sz w:val="20"/>
                <w:szCs w:val="20"/>
              </w:rPr>
              <w:t> </w:t>
            </w:r>
          </w:p>
        </w:tc>
        <w:tc>
          <w:tcPr>
            <w:tcW w:w="772" w:type="pct"/>
            <w:vAlign w:val="center"/>
          </w:tcPr>
          <w:p w14:paraId="7E5DD6C1" w14:textId="718AA5FE" w:rsidR="00FA009C" w:rsidRPr="004F0AF4" w:rsidRDefault="00FA009C" w:rsidP="00FA009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91EB6">
              <w:rPr>
                <w:rFonts w:cs="Arial"/>
                <w:color w:val="002060"/>
                <w:sz w:val="20"/>
                <w:szCs w:val="20"/>
              </w:rPr>
              <w:t>dic-20</w:t>
            </w:r>
          </w:p>
        </w:tc>
        <w:tc>
          <w:tcPr>
            <w:tcW w:w="772" w:type="pct"/>
            <w:vAlign w:val="center"/>
          </w:tcPr>
          <w:p w14:paraId="7104B1BB" w14:textId="6F0EEA2C" w:rsidR="00FA009C" w:rsidRPr="004F0AF4" w:rsidRDefault="00FA009C" w:rsidP="00FA009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91EB6">
              <w:rPr>
                <w:rFonts w:cs="Arial"/>
                <w:color w:val="002060"/>
                <w:sz w:val="20"/>
                <w:szCs w:val="20"/>
              </w:rPr>
              <w:t>dic-21</w:t>
            </w:r>
          </w:p>
        </w:tc>
        <w:tc>
          <w:tcPr>
            <w:tcW w:w="772" w:type="pct"/>
            <w:vAlign w:val="center"/>
          </w:tcPr>
          <w:p w14:paraId="5C234A71" w14:textId="2A3A7F37" w:rsidR="00FA009C" w:rsidRPr="004F0AF4" w:rsidRDefault="00FA009C" w:rsidP="00FA009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91EB6">
              <w:rPr>
                <w:rFonts w:cs="Arial"/>
                <w:color w:val="002060"/>
                <w:sz w:val="20"/>
                <w:szCs w:val="20"/>
              </w:rPr>
              <w:t>dic-22</w:t>
            </w:r>
          </w:p>
        </w:tc>
      </w:tr>
      <w:tr w:rsidR="004A52A3" w:rsidRPr="006E6390" w14:paraId="7928AED2" w14:textId="77777777" w:rsidTr="004F0A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84" w:type="pct"/>
            <w:vAlign w:val="center"/>
            <w:hideMark/>
          </w:tcPr>
          <w:p w14:paraId="00298EEA" w14:textId="212F23BE" w:rsidR="004A52A3" w:rsidRPr="006E6390" w:rsidRDefault="004A52A3" w:rsidP="004A52A3">
            <w:pPr>
              <w:pStyle w:val="Tablas"/>
              <w:tabs>
                <w:tab w:val="left" w:pos="9270"/>
              </w:tabs>
              <w:rPr>
                <w:rFonts w:cs="Arial"/>
                <w:b w:val="0"/>
                <w:sz w:val="20"/>
                <w:szCs w:val="20"/>
              </w:rPr>
            </w:pPr>
            <w:r>
              <w:rPr>
                <w:rFonts w:cs="Arial"/>
                <w:color w:val="000000"/>
                <w:sz w:val="20"/>
                <w:szCs w:val="20"/>
              </w:rPr>
              <w:t>(a/b)</w:t>
            </w:r>
          </w:p>
        </w:tc>
        <w:tc>
          <w:tcPr>
            <w:tcW w:w="772" w:type="pct"/>
            <w:vAlign w:val="center"/>
          </w:tcPr>
          <w:p w14:paraId="555C45A7" w14:textId="287B03CC"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0AF4">
              <w:rPr>
                <w:rFonts w:cs="Arial"/>
                <w:b/>
                <w:bCs/>
                <w:sz w:val="20"/>
                <w:szCs w:val="20"/>
              </w:rPr>
              <w:t>7,03</w:t>
            </w:r>
          </w:p>
        </w:tc>
        <w:tc>
          <w:tcPr>
            <w:tcW w:w="772" w:type="pct"/>
            <w:vAlign w:val="center"/>
          </w:tcPr>
          <w:p w14:paraId="4FE8FCAC" w14:textId="124D5F6F"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0AF4">
              <w:rPr>
                <w:rFonts w:cs="Arial"/>
                <w:b/>
                <w:bCs/>
                <w:sz w:val="20"/>
                <w:szCs w:val="20"/>
              </w:rPr>
              <w:t>8,37</w:t>
            </w:r>
          </w:p>
        </w:tc>
        <w:tc>
          <w:tcPr>
            <w:tcW w:w="772" w:type="pct"/>
            <w:vAlign w:val="center"/>
          </w:tcPr>
          <w:p w14:paraId="38323504" w14:textId="3D52F340"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0AF4">
              <w:rPr>
                <w:rFonts w:cs="Arial"/>
                <w:b/>
                <w:bCs/>
                <w:sz w:val="20"/>
                <w:szCs w:val="20"/>
              </w:rPr>
              <w:t>7,85</w:t>
            </w:r>
          </w:p>
        </w:tc>
      </w:tr>
      <w:tr w:rsidR="004A52A3" w:rsidRPr="006E6390" w14:paraId="608F2E78" w14:textId="77777777" w:rsidTr="004F0AF4">
        <w:trPr>
          <w:trHeight w:val="340"/>
          <w:jc w:val="center"/>
        </w:trPr>
        <w:tc>
          <w:tcPr>
            <w:cnfStyle w:val="001000000000" w:firstRow="0" w:lastRow="0" w:firstColumn="1" w:lastColumn="0" w:oddVBand="0" w:evenVBand="0" w:oddHBand="0" w:evenHBand="0" w:firstRowFirstColumn="0" w:firstRowLastColumn="0" w:lastRowFirstColumn="0" w:lastRowLastColumn="0"/>
            <w:tcW w:w="2684" w:type="pct"/>
            <w:vAlign w:val="center"/>
            <w:hideMark/>
          </w:tcPr>
          <w:p w14:paraId="28C79C5C" w14:textId="324AB47E" w:rsidR="004A52A3" w:rsidRPr="006E6390" w:rsidRDefault="004A52A3" w:rsidP="004A52A3">
            <w:pPr>
              <w:pStyle w:val="Tablas"/>
              <w:tabs>
                <w:tab w:val="left" w:pos="9270"/>
              </w:tabs>
              <w:rPr>
                <w:rFonts w:cs="Arial"/>
                <w:sz w:val="20"/>
                <w:szCs w:val="20"/>
              </w:rPr>
            </w:pPr>
            <w:r>
              <w:rPr>
                <w:rFonts w:cs="Arial"/>
                <w:b w:val="0"/>
                <w:bCs w:val="0"/>
                <w:color w:val="000000"/>
                <w:sz w:val="20"/>
                <w:szCs w:val="20"/>
              </w:rPr>
              <w:t>a)  Costo de Ventas (millones de ₡)</w:t>
            </w:r>
          </w:p>
        </w:tc>
        <w:tc>
          <w:tcPr>
            <w:tcW w:w="772" w:type="pct"/>
            <w:vAlign w:val="center"/>
          </w:tcPr>
          <w:p w14:paraId="0CC648D2" w14:textId="76FB223B" w:rsidR="004A52A3" w:rsidRPr="004A52A3" w:rsidRDefault="004A52A3" w:rsidP="004F0AF4">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F0AF4">
              <w:rPr>
                <w:rFonts w:cs="Arial"/>
                <w:sz w:val="20"/>
                <w:szCs w:val="20"/>
              </w:rPr>
              <w:t>983 335</w:t>
            </w:r>
          </w:p>
        </w:tc>
        <w:tc>
          <w:tcPr>
            <w:tcW w:w="772" w:type="pct"/>
            <w:vAlign w:val="center"/>
          </w:tcPr>
          <w:p w14:paraId="2DE45A23" w14:textId="1B5D372F" w:rsidR="004A52A3" w:rsidRPr="004A52A3" w:rsidRDefault="004A52A3" w:rsidP="004A52A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F0AF4">
              <w:rPr>
                <w:rFonts w:cs="Arial"/>
                <w:sz w:val="20"/>
                <w:szCs w:val="20"/>
              </w:rPr>
              <w:t>1 433 022</w:t>
            </w:r>
          </w:p>
        </w:tc>
        <w:tc>
          <w:tcPr>
            <w:tcW w:w="772" w:type="pct"/>
            <w:vAlign w:val="center"/>
          </w:tcPr>
          <w:p w14:paraId="2C62ACE2" w14:textId="621AC264" w:rsidR="004A52A3" w:rsidRPr="004A52A3" w:rsidRDefault="004A52A3" w:rsidP="004A52A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F0AF4">
              <w:rPr>
                <w:rFonts w:cs="Arial"/>
                <w:sz w:val="20"/>
                <w:szCs w:val="20"/>
              </w:rPr>
              <w:t>2 196 549</w:t>
            </w:r>
          </w:p>
        </w:tc>
      </w:tr>
      <w:tr w:rsidR="004A52A3" w:rsidRPr="006E6390" w14:paraId="45B8F2F3" w14:textId="77777777" w:rsidTr="004F0AF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84" w:type="pct"/>
            <w:vAlign w:val="center"/>
            <w:hideMark/>
          </w:tcPr>
          <w:p w14:paraId="6FF69FA9" w14:textId="37A058A3" w:rsidR="004A52A3" w:rsidRPr="006E6390" w:rsidRDefault="004A52A3" w:rsidP="004A52A3">
            <w:pPr>
              <w:pStyle w:val="Tablas"/>
              <w:tabs>
                <w:tab w:val="left" w:pos="9270"/>
              </w:tabs>
              <w:rPr>
                <w:rFonts w:cs="Arial"/>
                <w:sz w:val="20"/>
                <w:szCs w:val="20"/>
              </w:rPr>
            </w:pPr>
            <w:r>
              <w:rPr>
                <w:rFonts w:cs="Arial"/>
                <w:b w:val="0"/>
                <w:bCs w:val="0"/>
                <w:color w:val="000000"/>
                <w:sz w:val="20"/>
                <w:szCs w:val="20"/>
              </w:rPr>
              <w:t>b)  Promedio Mensual Inventario (millones de ₡)</w:t>
            </w:r>
          </w:p>
        </w:tc>
        <w:tc>
          <w:tcPr>
            <w:tcW w:w="772" w:type="pct"/>
            <w:vAlign w:val="center"/>
          </w:tcPr>
          <w:p w14:paraId="63581014" w14:textId="1D7524AE"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F0AF4">
              <w:rPr>
                <w:rFonts w:cs="Arial"/>
                <w:sz w:val="20"/>
                <w:szCs w:val="20"/>
              </w:rPr>
              <w:t>139 925</w:t>
            </w:r>
          </w:p>
        </w:tc>
        <w:tc>
          <w:tcPr>
            <w:tcW w:w="772" w:type="pct"/>
            <w:vAlign w:val="center"/>
          </w:tcPr>
          <w:p w14:paraId="446DA881" w14:textId="320CFB48"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F0AF4">
              <w:rPr>
                <w:rFonts w:cs="Arial"/>
                <w:sz w:val="20"/>
                <w:szCs w:val="20"/>
              </w:rPr>
              <w:t>171 264</w:t>
            </w:r>
          </w:p>
        </w:tc>
        <w:tc>
          <w:tcPr>
            <w:tcW w:w="772" w:type="pct"/>
            <w:vAlign w:val="center"/>
          </w:tcPr>
          <w:p w14:paraId="3DE64384" w14:textId="3710CB5A" w:rsidR="004A52A3" w:rsidRPr="004A52A3" w:rsidRDefault="004A52A3" w:rsidP="004A52A3">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F0AF4">
              <w:rPr>
                <w:rFonts w:cs="Arial"/>
                <w:sz w:val="20"/>
                <w:szCs w:val="20"/>
              </w:rPr>
              <w:t>279 661</w:t>
            </w:r>
          </w:p>
        </w:tc>
      </w:tr>
      <w:tr w:rsidR="004A52A3" w:rsidRPr="00D0349A" w14:paraId="5620FA3C" w14:textId="77777777" w:rsidTr="004F0AF4">
        <w:trPr>
          <w:trHeight w:val="340"/>
          <w:jc w:val="center"/>
        </w:trPr>
        <w:tc>
          <w:tcPr>
            <w:cnfStyle w:val="001000000000" w:firstRow="0" w:lastRow="0" w:firstColumn="1" w:lastColumn="0" w:oddVBand="0" w:evenVBand="0" w:oddHBand="0" w:evenHBand="0" w:firstRowFirstColumn="0" w:firstRowLastColumn="0" w:lastRowFirstColumn="0" w:lastRowLastColumn="0"/>
            <w:tcW w:w="2684" w:type="pct"/>
            <w:vAlign w:val="center"/>
            <w:hideMark/>
          </w:tcPr>
          <w:p w14:paraId="634D1F81" w14:textId="7503493D" w:rsidR="004A52A3" w:rsidRPr="006E6390" w:rsidRDefault="004A52A3" w:rsidP="004A52A3">
            <w:pPr>
              <w:pStyle w:val="Tablas"/>
              <w:tabs>
                <w:tab w:val="left" w:pos="9270"/>
              </w:tabs>
              <w:rPr>
                <w:rFonts w:cs="Arial"/>
                <w:bCs w:val="0"/>
                <w:sz w:val="20"/>
                <w:szCs w:val="20"/>
              </w:rPr>
            </w:pPr>
            <w:r>
              <w:rPr>
                <w:rFonts w:cs="Arial"/>
                <w:b w:val="0"/>
                <w:bCs w:val="0"/>
                <w:color w:val="000000"/>
                <w:sz w:val="20"/>
                <w:szCs w:val="20"/>
              </w:rPr>
              <w:t>Días Inventario</w:t>
            </w:r>
          </w:p>
        </w:tc>
        <w:tc>
          <w:tcPr>
            <w:tcW w:w="772" w:type="pct"/>
            <w:vAlign w:val="center"/>
          </w:tcPr>
          <w:p w14:paraId="20BE7FCB" w14:textId="1A1D9DE7" w:rsidR="004A52A3" w:rsidRPr="004A52A3" w:rsidRDefault="004A52A3" w:rsidP="004A52A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4A52A3">
              <w:rPr>
                <w:rFonts w:cs="Arial"/>
                <w:b/>
                <w:bCs/>
                <w:sz w:val="20"/>
                <w:szCs w:val="20"/>
              </w:rPr>
              <w:t>46</w:t>
            </w:r>
          </w:p>
        </w:tc>
        <w:tc>
          <w:tcPr>
            <w:tcW w:w="772" w:type="pct"/>
            <w:vAlign w:val="center"/>
          </w:tcPr>
          <w:p w14:paraId="47393FC0" w14:textId="7D3F5A64" w:rsidR="004A52A3" w:rsidRPr="004A52A3" w:rsidRDefault="004A52A3" w:rsidP="004A52A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4A52A3">
              <w:rPr>
                <w:rFonts w:cs="Arial"/>
                <w:b/>
                <w:bCs/>
                <w:sz w:val="20"/>
                <w:szCs w:val="20"/>
              </w:rPr>
              <w:t>39</w:t>
            </w:r>
          </w:p>
        </w:tc>
        <w:tc>
          <w:tcPr>
            <w:tcW w:w="772" w:type="pct"/>
            <w:vAlign w:val="center"/>
          </w:tcPr>
          <w:p w14:paraId="7A4F7AA5" w14:textId="027BA65E" w:rsidR="004A52A3" w:rsidRPr="004A52A3" w:rsidRDefault="004A52A3" w:rsidP="004A52A3">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4A52A3">
              <w:rPr>
                <w:rFonts w:cs="Arial"/>
                <w:b/>
                <w:bCs/>
                <w:sz w:val="20"/>
                <w:szCs w:val="20"/>
              </w:rPr>
              <w:t>43</w:t>
            </w:r>
          </w:p>
        </w:tc>
      </w:tr>
    </w:tbl>
    <w:p w14:paraId="4A2CB806" w14:textId="77777777" w:rsidR="00F66F57" w:rsidRPr="006E6390" w:rsidRDefault="00F66F57" w:rsidP="00873CC3">
      <w:pPr>
        <w:rPr>
          <w:rFonts w:cs="Arial"/>
          <w:lang w:eastAsia="es-MX"/>
        </w:rPr>
      </w:pPr>
    </w:p>
    <w:p w14:paraId="008F7FDE" w14:textId="22F64388" w:rsidR="00F4225A" w:rsidRDefault="00F4225A" w:rsidP="004F0AF4">
      <w:pPr>
        <w:spacing w:after="0"/>
        <w:rPr>
          <w:rFonts w:cs="Arial"/>
          <w:lang w:eastAsia="es-MX"/>
        </w:rPr>
      </w:pPr>
      <w:r w:rsidRPr="006E6390">
        <w:rPr>
          <w:rFonts w:cs="Arial"/>
          <w:lang w:eastAsia="es-MX"/>
        </w:rPr>
        <w:t xml:space="preserve">El comportamiento típico de este </w:t>
      </w:r>
      <w:r w:rsidR="00873CC3" w:rsidRPr="006E6390">
        <w:rPr>
          <w:rFonts w:cs="Arial"/>
          <w:lang w:eastAsia="es-MX"/>
        </w:rPr>
        <w:t xml:space="preserve">indicador </w:t>
      </w:r>
      <w:r w:rsidR="00440522" w:rsidRPr="006E6390">
        <w:rPr>
          <w:rFonts w:cs="Arial"/>
          <w:lang w:eastAsia="es-MX"/>
        </w:rPr>
        <w:t xml:space="preserve">cambió en 2020 </w:t>
      </w:r>
      <w:r w:rsidRPr="006E6390">
        <w:rPr>
          <w:rFonts w:cs="Arial"/>
          <w:lang w:eastAsia="es-MX"/>
        </w:rPr>
        <w:t xml:space="preserve">como consecuencia de las medidas de confinamiento para prevenir </w:t>
      </w:r>
      <w:r w:rsidR="00440522" w:rsidRPr="006E6390">
        <w:rPr>
          <w:rFonts w:cs="Arial"/>
          <w:lang w:eastAsia="es-MX"/>
        </w:rPr>
        <w:t xml:space="preserve">la pandemia de </w:t>
      </w:r>
      <w:r w:rsidRPr="006E6390">
        <w:rPr>
          <w:rFonts w:cs="Arial"/>
          <w:lang w:eastAsia="es-MX"/>
        </w:rPr>
        <w:t xml:space="preserve">la </w:t>
      </w:r>
      <w:r w:rsidR="00440522" w:rsidRPr="006E6390">
        <w:rPr>
          <w:rFonts w:cs="Arial"/>
          <w:lang w:eastAsia="es-MX"/>
        </w:rPr>
        <w:t>Covid-1</w:t>
      </w:r>
      <w:r w:rsidR="00812972" w:rsidRPr="006E6390">
        <w:rPr>
          <w:rFonts w:cs="Arial"/>
          <w:lang w:eastAsia="es-MX"/>
        </w:rPr>
        <w:t>9</w:t>
      </w:r>
      <w:r w:rsidRPr="006E6390">
        <w:rPr>
          <w:rFonts w:cs="Arial"/>
          <w:lang w:eastAsia="es-MX"/>
        </w:rPr>
        <w:t xml:space="preserve">. </w:t>
      </w:r>
      <w:r w:rsidR="005040A5">
        <w:rPr>
          <w:rFonts w:cs="Arial"/>
          <w:lang w:eastAsia="es-MX"/>
        </w:rPr>
        <w:t xml:space="preserve"> </w:t>
      </w:r>
      <w:r w:rsidRPr="006E6390">
        <w:rPr>
          <w:rFonts w:cs="Arial"/>
          <w:lang w:eastAsia="es-MX"/>
        </w:rPr>
        <w:t>L</w:t>
      </w:r>
      <w:r w:rsidR="00812972" w:rsidRPr="006E6390">
        <w:rPr>
          <w:rFonts w:cs="Arial"/>
          <w:lang w:eastAsia="es-MX"/>
        </w:rPr>
        <w:t>as restricciones a la movilidad</w:t>
      </w:r>
      <w:r w:rsidRPr="006E6390">
        <w:rPr>
          <w:rFonts w:cs="Arial"/>
          <w:lang w:eastAsia="es-MX"/>
        </w:rPr>
        <w:t xml:space="preserve">, </w:t>
      </w:r>
      <w:r w:rsidR="00812972" w:rsidRPr="006E6390">
        <w:rPr>
          <w:rFonts w:cs="Arial"/>
          <w:lang w:eastAsia="es-MX"/>
        </w:rPr>
        <w:t>el cierre de fronteras</w:t>
      </w:r>
      <w:r w:rsidRPr="006E6390">
        <w:rPr>
          <w:rFonts w:cs="Arial"/>
          <w:lang w:eastAsia="es-MX"/>
        </w:rPr>
        <w:t>, el teletrabajo, entre otras,</w:t>
      </w:r>
      <w:r w:rsidR="00812972" w:rsidRPr="006E6390">
        <w:rPr>
          <w:rFonts w:cs="Arial"/>
          <w:lang w:eastAsia="es-MX"/>
        </w:rPr>
        <w:t xml:space="preserve"> </w:t>
      </w:r>
      <w:r w:rsidRPr="006E6390">
        <w:rPr>
          <w:rFonts w:cs="Arial"/>
          <w:lang w:eastAsia="es-MX"/>
        </w:rPr>
        <w:t>reduj</w:t>
      </w:r>
      <w:r w:rsidR="005040A5">
        <w:rPr>
          <w:rFonts w:cs="Arial"/>
          <w:lang w:eastAsia="es-MX"/>
        </w:rPr>
        <w:t>er</w:t>
      </w:r>
      <w:r w:rsidRPr="006E6390">
        <w:rPr>
          <w:rFonts w:cs="Arial"/>
          <w:lang w:eastAsia="es-MX"/>
        </w:rPr>
        <w:t>o</w:t>
      </w:r>
      <w:r w:rsidR="005040A5">
        <w:rPr>
          <w:rFonts w:cs="Arial"/>
          <w:lang w:eastAsia="es-MX"/>
        </w:rPr>
        <w:t>n</w:t>
      </w:r>
      <w:r w:rsidRPr="006E6390">
        <w:rPr>
          <w:rFonts w:cs="Arial"/>
          <w:lang w:eastAsia="es-MX"/>
        </w:rPr>
        <w:t xml:space="preserve"> el volumen de ventas y la rotación de los inventarios.</w:t>
      </w:r>
      <w:r w:rsidR="003B3008">
        <w:rPr>
          <w:rFonts w:cs="Arial"/>
          <w:lang w:eastAsia="es-MX"/>
        </w:rPr>
        <w:t xml:space="preserve">  </w:t>
      </w:r>
      <w:r w:rsidRPr="006E6390">
        <w:rPr>
          <w:rFonts w:cs="Arial"/>
          <w:lang w:eastAsia="es-MX"/>
        </w:rPr>
        <w:t>L</w:t>
      </w:r>
      <w:r w:rsidR="00B207D0" w:rsidRPr="006E6390">
        <w:rPr>
          <w:rFonts w:cs="Arial"/>
          <w:lang w:eastAsia="es-MX"/>
        </w:rPr>
        <w:t>o</w:t>
      </w:r>
      <w:r w:rsidRPr="006E6390">
        <w:rPr>
          <w:rFonts w:cs="Arial"/>
          <w:lang w:eastAsia="es-MX"/>
        </w:rPr>
        <w:t xml:space="preserve">s </w:t>
      </w:r>
      <w:r w:rsidR="00B207D0" w:rsidRPr="006E6390">
        <w:rPr>
          <w:rFonts w:cs="Arial"/>
          <w:lang w:eastAsia="es-MX"/>
        </w:rPr>
        <w:t xml:space="preserve">ingresos por </w:t>
      </w:r>
      <w:r w:rsidRPr="006E6390">
        <w:rPr>
          <w:rFonts w:cs="Arial"/>
          <w:lang w:eastAsia="es-MX"/>
        </w:rPr>
        <w:t xml:space="preserve">ventas de la empresa se </w:t>
      </w:r>
      <w:r w:rsidR="004700A0">
        <w:rPr>
          <w:rFonts w:cs="Arial"/>
          <w:lang w:eastAsia="es-MX"/>
        </w:rPr>
        <w:t>disminuye</w:t>
      </w:r>
      <w:r w:rsidRPr="006E6390">
        <w:rPr>
          <w:rFonts w:cs="Arial"/>
          <w:lang w:eastAsia="es-MX"/>
        </w:rPr>
        <w:t xml:space="preserve">ron en </w:t>
      </w:r>
      <w:r w:rsidR="00B207D0" w:rsidRPr="006E6390">
        <w:rPr>
          <w:rFonts w:cs="Arial"/>
          <w:lang w:eastAsia="es-MX"/>
        </w:rPr>
        <w:t>30,1</w:t>
      </w:r>
      <w:r w:rsidRPr="006E6390">
        <w:rPr>
          <w:rFonts w:cs="Arial"/>
          <w:lang w:eastAsia="es-MX"/>
        </w:rPr>
        <w:t xml:space="preserve">% con respecto a 2019. </w:t>
      </w:r>
      <w:r w:rsidR="004700A0">
        <w:rPr>
          <w:rFonts w:cs="Arial"/>
          <w:lang w:eastAsia="es-MX"/>
        </w:rPr>
        <w:t xml:space="preserve"> </w:t>
      </w:r>
    </w:p>
    <w:p w14:paraId="4CE22793" w14:textId="77777777" w:rsidR="00694138" w:rsidRPr="006E6390" w:rsidRDefault="00694138" w:rsidP="004F0AF4">
      <w:pPr>
        <w:spacing w:after="0"/>
        <w:rPr>
          <w:rFonts w:cs="Arial"/>
          <w:lang w:eastAsia="es-MX"/>
        </w:rPr>
      </w:pPr>
    </w:p>
    <w:p w14:paraId="1C290AB8" w14:textId="4B2C3461" w:rsidR="00873CC3" w:rsidRDefault="00812972" w:rsidP="004F0AF4">
      <w:pPr>
        <w:spacing w:after="0"/>
        <w:rPr>
          <w:rFonts w:cs="Arial"/>
          <w:lang w:eastAsia="es-MX"/>
        </w:rPr>
      </w:pPr>
      <w:r w:rsidRPr="006E6390">
        <w:rPr>
          <w:rFonts w:cs="Arial"/>
          <w:lang w:eastAsia="es-MX"/>
        </w:rPr>
        <w:t xml:space="preserve">Tanto el </w:t>
      </w:r>
      <w:r w:rsidR="008B3983" w:rsidRPr="006E6390">
        <w:rPr>
          <w:rFonts w:cs="Arial"/>
          <w:lang w:eastAsia="es-MX"/>
        </w:rPr>
        <w:t>c</w:t>
      </w:r>
      <w:r w:rsidRPr="006E6390">
        <w:rPr>
          <w:rFonts w:cs="Arial"/>
          <w:lang w:eastAsia="es-MX"/>
        </w:rPr>
        <w:t xml:space="preserve">osto de </w:t>
      </w:r>
      <w:r w:rsidR="008B3983" w:rsidRPr="006E6390">
        <w:rPr>
          <w:rFonts w:cs="Arial"/>
          <w:lang w:eastAsia="es-MX"/>
        </w:rPr>
        <w:t>v</w:t>
      </w:r>
      <w:r w:rsidRPr="006E6390">
        <w:rPr>
          <w:rFonts w:cs="Arial"/>
          <w:lang w:eastAsia="es-MX"/>
        </w:rPr>
        <w:t xml:space="preserve">entas como el </w:t>
      </w:r>
      <w:r w:rsidR="008B3983" w:rsidRPr="006E6390">
        <w:rPr>
          <w:rFonts w:cs="Arial"/>
          <w:lang w:eastAsia="es-MX"/>
        </w:rPr>
        <w:t>p</w:t>
      </w:r>
      <w:r w:rsidRPr="006E6390">
        <w:rPr>
          <w:rFonts w:cs="Arial"/>
          <w:lang w:eastAsia="es-MX"/>
        </w:rPr>
        <w:t xml:space="preserve">romedio </w:t>
      </w:r>
      <w:r w:rsidR="008B3983" w:rsidRPr="006E6390">
        <w:rPr>
          <w:rFonts w:cs="Arial"/>
          <w:lang w:eastAsia="es-MX"/>
        </w:rPr>
        <w:t>m</w:t>
      </w:r>
      <w:r w:rsidRPr="006E6390">
        <w:rPr>
          <w:rFonts w:cs="Arial"/>
          <w:lang w:eastAsia="es-MX"/>
        </w:rPr>
        <w:t xml:space="preserve">ensual del </w:t>
      </w:r>
      <w:r w:rsidR="008B3983" w:rsidRPr="006E6390">
        <w:rPr>
          <w:rFonts w:cs="Arial"/>
          <w:lang w:eastAsia="es-MX"/>
        </w:rPr>
        <w:t>i</w:t>
      </w:r>
      <w:r w:rsidRPr="006E6390">
        <w:rPr>
          <w:rFonts w:cs="Arial"/>
          <w:lang w:eastAsia="es-MX"/>
        </w:rPr>
        <w:t>nventario</w:t>
      </w:r>
      <w:r w:rsidR="00873CC3" w:rsidRPr="006E6390">
        <w:rPr>
          <w:rFonts w:cs="Arial"/>
          <w:lang w:eastAsia="es-MX"/>
        </w:rPr>
        <w:t xml:space="preserve"> están determinados por el precio internacional de los combustibles, que afecta el costo de importación de los </w:t>
      </w:r>
      <w:r w:rsidR="008B3983" w:rsidRPr="006E6390">
        <w:rPr>
          <w:rFonts w:cs="Arial"/>
          <w:lang w:eastAsia="es-MX"/>
        </w:rPr>
        <w:t>productos</w:t>
      </w:r>
      <w:r w:rsidR="00873CC3" w:rsidRPr="006E6390">
        <w:rPr>
          <w:rFonts w:cs="Arial"/>
          <w:lang w:eastAsia="es-MX"/>
        </w:rPr>
        <w:t xml:space="preserve">. </w:t>
      </w:r>
      <w:r w:rsidR="004700A0">
        <w:rPr>
          <w:rFonts w:cs="Arial"/>
          <w:lang w:eastAsia="es-MX"/>
        </w:rPr>
        <w:t xml:space="preserve"> </w:t>
      </w:r>
      <w:r w:rsidR="00873CC3" w:rsidRPr="006E6390">
        <w:rPr>
          <w:rFonts w:cs="Arial"/>
          <w:lang w:eastAsia="es-MX"/>
        </w:rPr>
        <w:t>Adicionalmente, casi la totalidad del</w:t>
      </w:r>
      <w:r w:rsidR="008B3983" w:rsidRPr="006E6390">
        <w:rPr>
          <w:rFonts w:cs="Arial"/>
          <w:lang w:eastAsia="es-MX"/>
        </w:rPr>
        <w:t xml:space="preserve"> c</w:t>
      </w:r>
      <w:r w:rsidR="00873CC3" w:rsidRPr="006E6390">
        <w:rPr>
          <w:rFonts w:cs="Arial"/>
          <w:lang w:eastAsia="es-MX"/>
        </w:rPr>
        <w:t xml:space="preserve">osto de </w:t>
      </w:r>
      <w:r w:rsidR="008B3983" w:rsidRPr="006E6390">
        <w:rPr>
          <w:rFonts w:cs="Arial"/>
          <w:lang w:eastAsia="es-MX"/>
        </w:rPr>
        <w:t>v</w:t>
      </w:r>
      <w:r w:rsidR="00873CC3" w:rsidRPr="006E6390">
        <w:rPr>
          <w:rFonts w:cs="Arial"/>
          <w:lang w:eastAsia="es-MX"/>
        </w:rPr>
        <w:t>entas está compuesto por el costo del inventario de producto terminado, ya que la planta de refinación salió de operación en 2011.</w:t>
      </w:r>
    </w:p>
    <w:p w14:paraId="79E246A0" w14:textId="77777777" w:rsidR="00694138" w:rsidRPr="006E6390" w:rsidRDefault="00694138" w:rsidP="004F0AF4">
      <w:pPr>
        <w:spacing w:after="0"/>
        <w:rPr>
          <w:rFonts w:cs="Arial"/>
          <w:lang w:eastAsia="es-MX"/>
        </w:rPr>
      </w:pPr>
    </w:p>
    <w:p w14:paraId="6D8CE89E" w14:textId="7303AE87" w:rsidR="00873CC3" w:rsidRDefault="00873CC3" w:rsidP="004F0AF4">
      <w:pPr>
        <w:spacing w:after="0"/>
        <w:rPr>
          <w:rFonts w:cs="Arial"/>
          <w:lang w:eastAsia="es-MX"/>
        </w:rPr>
      </w:pPr>
      <w:r w:rsidRPr="006E6390">
        <w:rPr>
          <w:rFonts w:cs="Arial"/>
          <w:lang w:eastAsia="es-MX"/>
        </w:rPr>
        <w:t xml:space="preserve">En </w:t>
      </w:r>
      <w:r w:rsidR="009D1A30" w:rsidRPr="006E6390">
        <w:rPr>
          <w:rFonts w:cs="Arial"/>
          <w:lang w:eastAsia="es-MX"/>
        </w:rPr>
        <w:t>20</w:t>
      </w:r>
      <w:r w:rsidR="009D1A30">
        <w:rPr>
          <w:rFonts w:cs="Arial"/>
          <w:lang w:eastAsia="es-MX"/>
        </w:rPr>
        <w:t>20</w:t>
      </w:r>
      <w:r w:rsidRPr="006E6390">
        <w:rPr>
          <w:rFonts w:cs="Arial"/>
          <w:lang w:eastAsia="es-MX"/>
        </w:rPr>
        <w:t xml:space="preserve">, el costo de ventas unitario fue de </w:t>
      </w:r>
      <w:r w:rsidR="00E52ECD" w:rsidRPr="006E6390">
        <w:rPr>
          <w:rFonts w:cs="Arial"/>
          <w:lang w:eastAsia="es-MX"/>
        </w:rPr>
        <w:t>₡</w:t>
      </w:r>
      <w:r w:rsidR="000D3D7B" w:rsidRPr="006E6390">
        <w:rPr>
          <w:rFonts w:cs="Arial"/>
          <w:lang w:eastAsia="es-MX"/>
        </w:rPr>
        <w:t>350,78</w:t>
      </w:r>
      <w:r w:rsidR="00E52ECD" w:rsidRPr="006E6390">
        <w:rPr>
          <w:rFonts w:cs="Arial"/>
          <w:lang w:eastAsia="es-MX"/>
        </w:rPr>
        <w:t xml:space="preserve"> /l</w:t>
      </w:r>
      <w:r w:rsidR="004700A0">
        <w:rPr>
          <w:rFonts w:cs="Arial"/>
          <w:lang w:eastAsia="es-MX"/>
        </w:rPr>
        <w:t>itro</w:t>
      </w:r>
      <w:r w:rsidR="00E52ECD" w:rsidRPr="006E6390">
        <w:rPr>
          <w:rFonts w:cs="Arial"/>
          <w:lang w:eastAsia="es-MX"/>
        </w:rPr>
        <w:t xml:space="preserve"> </w:t>
      </w:r>
      <w:r w:rsidRPr="006E6390">
        <w:rPr>
          <w:rFonts w:cs="Arial"/>
          <w:lang w:eastAsia="es-MX"/>
        </w:rPr>
        <w:t xml:space="preserve">en </w:t>
      </w:r>
      <w:r w:rsidR="00E52ECD" w:rsidRPr="006E6390">
        <w:rPr>
          <w:rFonts w:cs="Arial"/>
          <w:lang w:eastAsia="es-MX"/>
        </w:rPr>
        <w:t>20</w:t>
      </w:r>
      <w:r w:rsidR="000D3D7B" w:rsidRPr="006E6390">
        <w:rPr>
          <w:rFonts w:cs="Arial"/>
          <w:lang w:eastAsia="es-MX"/>
        </w:rPr>
        <w:t>20</w:t>
      </w:r>
      <w:r w:rsidR="009D1A30">
        <w:rPr>
          <w:rFonts w:cs="Arial"/>
          <w:lang w:eastAsia="es-MX"/>
        </w:rPr>
        <w:t>,</w:t>
      </w:r>
      <w:r w:rsidR="00E52ECD" w:rsidRPr="006E6390">
        <w:rPr>
          <w:rFonts w:cs="Arial"/>
          <w:lang w:eastAsia="es-MX"/>
        </w:rPr>
        <w:t xml:space="preserve"> </w:t>
      </w:r>
      <w:r w:rsidR="000D3D7B" w:rsidRPr="006E6390">
        <w:rPr>
          <w:rFonts w:cs="Arial"/>
          <w:lang w:eastAsia="es-MX"/>
        </w:rPr>
        <w:t>aumenta</w:t>
      </w:r>
      <w:r w:rsidR="00E52ECD" w:rsidRPr="006E6390">
        <w:rPr>
          <w:rFonts w:cs="Arial"/>
          <w:lang w:eastAsia="es-MX"/>
        </w:rPr>
        <w:t xml:space="preserve"> en 202</w:t>
      </w:r>
      <w:r w:rsidR="000D3D7B" w:rsidRPr="006E6390">
        <w:rPr>
          <w:rFonts w:cs="Arial"/>
          <w:lang w:eastAsia="es-MX"/>
        </w:rPr>
        <w:t>1 en 441</w:t>
      </w:r>
      <w:r w:rsidR="003716DE" w:rsidRPr="006E6390">
        <w:rPr>
          <w:rFonts w:cs="Arial"/>
          <w:lang w:eastAsia="es-MX"/>
        </w:rPr>
        <w:t>,</w:t>
      </w:r>
      <w:r w:rsidR="007C5B11">
        <w:rPr>
          <w:rFonts w:cs="Arial"/>
          <w:lang w:eastAsia="es-MX"/>
        </w:rPr>
        <w:t>6</w:t>
      </w:r>
      <w:r w:rsidR="000D3D7B" w:rsidRPr="006E6390">
        <w:rPr>
          <w:rFonts w:cs="Arial"/>
          <w:lang w:eastAsia="es-MX"/>
        </w:rPr>
        <w:t>2</w:t>
      </w:r>
      <w:r w:rsidR="003716DE" w:rsidRPr="006E6390">
        <w:rPr>
          <w:rFonts w:cs="Arial"/>
          <w:lang w:eastAsia="es-MX"/>
        </w:rPr>
        <w:t>/l</w:t>
      </w:r>
      <w:r w:rsidR="004700A0">
        <w:rPr>
          <w:rFonts w:cs="Arial"/>
          <w:lang w:eastAsia="es-MX"/>
        </w:rPr>
        <w:t>itro</w:t>
      </w:r>
      <w:r w:rsidR="009D1A30">
        <w:rPr>
          <w:rFonts w:cs="Arial"/>
          <w:lang w:eastAsia="es-MX"/>
        </w:rPr>
        <w:t xml:space="preserve"> y continúa al alza en 2022 hasta </w:t>
      </w:r>
      <w:r w:rsidR="009D1A30" w:rsidRPr="006E6390">
        <w:rPr>
          <w:rFonts w:cs="Arial"/>
          <w:lang w:eastAsia="es-MX"/>
        </w:rPr>
        <w:t>₡</w:t>
      </w:r>
      <w:r w:rsidR="007C5B11">
        <w:rPr>
          <w:rFonts w:cs="Arial"/>
          <w:lang w:eastAsia="es-MX"/>
        </w:rPr>
        <w:t>636,91</w:t>
      </w:r>
      <w:r w:rsidR="009D1A30">
        <w:rPr>
          <w:rFonts w:cs="Arial"/>
          <w:lang w:eastAsia="es-MX"/>
        </w:rPr>
        <w:t>/litro</w:t>
      </w:r>
      <w:r w:rsidRPr="006E6390">
        <w:rPr>
          <w:rFonts w:cs="Arial"/>
          <w:lang w:eastAsia="es-MX"/>
        </w:rPr>
        <w:t xml:space="preserve">, como resultado del </w:t>
      </w:r>
      <w:r w:rsidR="009D1A30">
        <w:rPr>
          <w:rFonts w:cs="Arial"/>
          <w:lang w:eastAsia="es-MX"/>
        </w:rPr>
        <w:t>alza acelerada</w:t>
      </w:r>
      <w:r w:rsidR="009D1A30" w:rsidRPr="006E6390">
        <w:rPr>
          <w:rFonts w:cs="Arial"/>
          <w:lang w:eastAsia="es-MX"/>
        </w:rPr>
        <w:t xml:space="preserve"> </w:t>
      </w:r>
      <w:r w:rsidRPr="006E6390">
        <w:rPr>
          <w:rFonts w:cs="Arial"/>
          <w:lang w:eastAsia="es-MX"/>
        </w:rPr>
        <w:t>en el precio internacional.</w:t>
      </w:r>
      <w:r w:rsidR="007A5245" w:rsidRPr="006E6390">
        <w:rPr>
          <w:rFonts w:cs="Arial"/>
          <w:lang w:eastAsia="es-MX"/>
        </w:rPr>
        <w:t xml:space="preserve"> </w:t>
      </w:r>
      <w:r w:rsidR="009D1A30">
        <w:rPr>
          <w:rFonts w:cs="Arial"/>
          <w:lang w:eastAsia="es-MX"/>
        </w:rPr>
        <w:t xml:space="preserve"> </w:t>
      </w:r>
      <w:r w:rsidRPr="006E6390">
        <w:rPr>
          <w:rFonts w:cs="Arial"/>
          <w:lang w:eastAsia="es-MX"/>
        </w:rPr>
        <w:t>En 20</w:t>
      </w:r>
      <w:r w:rsidR="00A35FD1" w:rsidRPr="006E6390">
        <w:rPr>
          <w:rFonts w:cs="Arial"/>
          <w:lang w:eastAsia="es-MX"/>
        </w:rPr>
        <w:t>20</w:t>
      </w:r>
      <w:r w:rsidRPr="006E6390">
        <w:rPr>
          <w:rFonts w:cs="Arial"/>
          <w:lang w:eastAsia="es-MX"/>
        </w:rPr>
        <w:t>, el costo de ventas unitario tuvo una variación anual de -</w:t>
      </w:r>
      <w:r w:rsidR="00A35FD1" w:rsidRPr="006E6390">
        <w:rPr>
          <w:rFonts w:cs="Arial"/>
          <w:lang w:eastAsia="es-MX"/>
        </w:rPr>
        <w:t>16</w:t>
      </w:r>
      <w:r w:rsidRPr="006E6390">
        <w:rPr>
          <w:rFonts w:cs="Arial"/>
          <w:lang w:eastAsia="es-MX"/>
        </w:rPr>
        <w:t>,</w:t>
      </w:r>
      <w:r w:rsidR="00A35FD1" w:rsidRPr="006E6390">
        <w:rPr>
          <w:rFonts w:cs="Arial"/>
          <w:lang w:eastAsia="es-MX"/>
        </w:rPr>
        <w:t>3</w:t>
      </w:r>
      <w:r w:rsidRPr="006E6390">
        <w:rPr>
          <w:rFonts w:cs="Arial"/>
          <w:lang w:eastAsia="es-MX"/>
        </w:rPr>
        <w:t>%</w:t>
      </w:r>
      <w:r w:rsidR="003716DE" w:rsidRPr="006E6390">
        <w:rPr>
          <w:rFonts w:cs="Arial"/>
          <w:lang w:eastAsia="es-MX"/>
        </w:rPr>
        <w:t>, en tanto en 202</w:t>
      </w:r>
      <w:r w:rsidR="00A35FD1" w:rsidRPr="006E6390">
        <w:rPr>
          <w:rFonts w:cs="Arial"/>
          <w:lang w:eastAsia="es-MX"/>
        </w:rPr>
        <w:t>1</w:t>
      </w:r>
      <w:r w:rsidR="003716DE" w:rsidRPr="006E6390">
        <w:rPr>
          <w:rFonts w:cs="Arial"/>
          <w:lang w:eastAsia="es-MX"/>
        </w:rPr>
        <w:t xml:space="preserve">, </w:t>
      </w:r>
      <w:r w:rsidR="00A35FD1" w:rsidRPr="006E6390">
        <w:rPr>
          <w:rFonts w:cs="Arial"/>
          <w:lang w:eastAsia="es-MX"/>
        </w:rPr>
        <w:t>el aumento</w:t>
      </w:r>
      <w:r w:rsidR="003716DE" w:rsidRPr="006E6390">
        <w:rPr>
          <w:rFonts w:cs="Arial"/>
          <w:lang w:eastAsia="es-MX"/>
        </w:rPr>
        <w:t xml:space="preserve"> fue d</w:t>
      </w:r>
      <w:r w:rsidR="009E734E" w:rsidRPr="006E6390">
        <w:rPr>
          <w:rFonts w:cs="Arial"/>
          <w:lang w:eastAsia="es-MX"/>
        </w:rPr>
        <w:t xml:space="preserve">e </w:t>
      </w:r>
      <w:r w:rsidR="00A35FD1" w:rsidRPr="006E6390">
        <w:rPr>
          <w:rFonts w:cs="Arial"/>
          <w:lang w:eastAsia="es-MX"/>
        </w:rPr>
        <w:t>25</w:t>
      </w:r>
      <w:r w:rsidR="009E734E" w:rsidRPr="006E6390">
        <w:rPr>
          <w:rFonts w:cs="Arial"/>
          <w:lang w:eastAsia="es-MX"/>
        </w:rPr>
        <w:t>,</w:t>
      </w:r>
      <w:r w:rsidR="00A35FD1" w:rsidRPr="006E6390">
        <w:rPr>
          <w:rFonts w:cs="Arial"/>
          <w:lang w:eastAsia="es-MX"/>
        </w:rPr>
        <w:t>9</w:t>
      </w:r>
      <w:r w:rsidR="009E734E" w:rsidRPr="007C5B11">
        <w:rPr>
          <w:rFonts w:cs="Arial"/>
          <w:lang w:eastAsia="es-MX"/>
        </w:rPr>
        <w:t>%</w:t>
      </w:r>
      <w:r w:rsidR="009D1A30" w:rsidRPr="007C5B11">
        <w:rPr>
          <w:rFonts w:cs="Arial"/>
          <w:lang w:eastAsia="es-MX"/>
        </w:rPr>
        <w:t xml:space="preserve">, para 2022 sube un </w:t>
      </w:r>
      <w:r w:rsidR="007C5B11" w:rsidRPr="007C5B11">
        <w:rPr>
          <w:rFonts w:cs="Arial"/>
          <w:lang w:eastAsia="es-MX"/>
        </w:rPr>
        <w:t>44,2</w:t>
      </w:r>
      <w:r w:rsidR="009D1A30" w:rsidRPr="007C5B11">
        <w:rPr>
          <w:rFonts w:cs="Arial"/>
          <w:lang w:eastAsia="es-MX"/>
        </w:rPr>
        <w:t>%.</w:t>
      </w:r>
      <w:r w:rsidRPr="006E6390">
        <w:rPr>
          <w:rFonts w:cs="Arial"/>
          <w:lang w:eastAsia="es-MX"/>
        </w:rPr>
        <w:t xml:space="preserve"> </w:t>
      </w:r>
    </w:p>
    <w:p w14:paraId="583A1744" w14:textId="77777777" w:rsidR="00694138" w:rsidRPr="006E6390" w:rsidRDefault="00694138" w:rsidP="004F0AF4">
      <w:pPr>
        <w:spacing w:after="0"/>
        <w:rPr>
          <w:rFonts w:cs="Arial"/>
          <w:lang w:eastAsia="es-MX"/>
        </w:rPr>
      </w:pPr>
    </w:p>
    <w:p w14:paraId="51C4EE72" w14:textId="6A214FE8" w:rsidR="001E3372" w:rsidRDefault="00873CC3" w:rsidP="004F0AF4">
      <w:pPr>
        <w:spacing w:after="0"/>
        <w:rPr>
          <w:rFonts w:cs="Arial"/>
          <w:lang w:eastAsia="es-MX"/>
        </w:rPr>
      </w:pPr>
      <w:r w:rsidRPr="006E6390">
        <w:rPr>
          <w:rFonts w:cs="Arial"/>
          <w:lang w:eastAsia="es-MX"/>
        </w:rPr>
        <w:t xml:space="preserve">En </w:t>
      </w:r>
      <w:r w:rsidR="009D1A30" w:rsidRPr="006E6390">
        <w:rPr>
          <w:rFonts w:cs="Arial"/>
          <w:lang w:eastAsia="es-MX"/>
        </w:rPr>
        <w:t>20</w:t>
      </w:r>
      <w:r w:rsidR="009D1A30">
        <w:rPr>
          <w:rFonts w:cs="Arial"/>
          <w:lang w:eastAsia="es-MX"/>
        </w:rPr>
        <w:t>20</w:t>
      </w:r>
      <w:r w:rsidR="009D1A30" w:rsidRPr="006E6390">
        <w:rPr>
          <w:rFonts w:cs="Arial"/>
          <w:lang w:eastAsia="es-MX"/>
        </w:rPr>
        <w:t xml:space="preserve"> </w:t>
      </w:r>
      <w:r w:rsidRPr="006E6390">
        <w:rPr>
          <w:rFonts w:cs="Arial"/>
          <w:lang w:eastAsia="es-MX"/>
        </w:rPr>
        <w:t xml:space="preserve">el inventario </w:t>
      </w:r>
      <w:r w:rsidR="00400821">
        <w:rPr>
          <w:rFonts w:cs="Arial"/>
          <w:lang w:eastAsia="es-MX"/>
        </w:rPr>
        <w:t>promedio fue de</w:t>
      </w:r>
      <w:r w:rsidR="009E734E" w:rsidRPr="006E6390">
        <w:rPr>
          <w:rFonts w:cs="Arial"/>
          <w:lang w:eastAsia="es-MX"/>
        </w:rPr>
        <w:t xml:space="preserve"> </w:t>
      </w:r>
      <w:r w:rsidR="000F1A5D">
        <w:rPr>
          <w:rFonts w:cs="Arial"/>
          <w:lang w:eastAsia="es-MX"/>
        </w:rPr>
        <w:t>38</w:t>
      </w:r>
      <w:r w:rsidR="00400821">
        <w:rPr>
          <w:rFonts w:cs="Arial"/>
          <w:lang w:eastAsia="es-MX"/>
        </w:rPr>
        <w:t>6</w:t>
      </w:r>
      <w:r w:rsidR="000F1A5D">
        <w:rPr>
          <w:rFonts w:cs="Arial"/>
          <w:lang w:eastAsia="es-MX"/>
        </w:rPr>
        <w:t xml:space="preserve"> </w:t>
      </w:r>
      <w:r w:rsidR="00400821">
        <w:rPr>
          <w:rFonts w:cs="Arial"/>
          <w:lang w:eastAsia="es-MX"/>
        </w:rPr>
        <w:t>968</w:t>
      </w:r>
      <w:r w:rsidR="009D1A30" w:rsidRPr="006E6390">
        <w:rPr>
          <w:rFonts w:cs="Arial"/>
          <w:lang w:eastAsia="es-MX"/>
        </w:rPr>
        <w:t xml:space="preserve"> </w:t>
      </w:r>
      <w:r w:rsidRPr="006E6390">
        <w:rPr>
          <w:rFonts w:cs="Arial"/>
          <w:lang w:eastAsia="es-MX"/>
        </w:rPr>
        <w:t>m³</w:t>
      </w:r>
      <w:r w:rsidR="00E30E1C" w:rsidRPr="006E6390">
        <w:rPr>
          <w:rFonts w:cs="Arial"/>
          <w:lang w:eastAsia="es-MX"/>
        </w:rPr>
        <w:t xml:space="preserve"> (un</w:t>
      </w:r>
      <w:r w:rsidR="000F1A5D">
        <w:rPr>
          <w:rFonts w:cs="Arial"/>
          <w:lang w:eastAsia="es-MX"/>
        </w:rPr>
        <w:t xml:space="preserve"> alza </w:t>
      </w:r>
      <w:r w:rsidR="000F1A5D" w:rsidRPr="00582B7C">
        <w:rPr>
          <w:rFonts w:cs="Arial"/>
          <w:lang w:eastAsia="es-MX"/>
        </w:rPr>
        <w:t>de</w:t>
      </w:r>
      <w:r w:rsidR="009D1A30" w:rsidRPr="00582B7C">
        <w:rPr>
          <w:rFonts w:cs="Arial"/>
          <w:lang w:eastAsia="es-MX"/>
        </w:rPr>
        <w:t xml:space="preserve"> </w:t>
      </w:r>
      <w:r w:rsidR="00582B7C" w:rsidRPr="004F0AF4">
        <w:rPr>
          <w:rFonts w:cs="Arial"/>
          <w:lang w:eastAsia="es-MX"/>
        </w:rPr>
        <w:t>8,7</w:t>
      </w:r>
      <w:r w:rsidR="009D1A30" w:rsidRPr="00582B7C">
        <w:rPr>
          <w:rFonts w:cs="Arial"/>
          <w:lang w:eastAsia="es-MX"/>
        </w:rPr>
        <w:t>%</w:t>
      </w:r>
      <w:r w:rsidR="009D1A30">
        <w:rPr>
          <w:rFonts w:cs="Arial"/>
          <w:lang w:eastAsia="es-MX"/>
        </w:rPr>
        <w:t xml:space="preserve"> frente al año previo),</w:t>
      </w:r>
      <w:r w:rsidR="00E30E1C" w:rsidRPr="006E6390">
        <w:rPr>
          <w:rFonts w:cs="Arial"/>
          <w:lang w:eastAsia="es-MX"/>
        </w:rPr>
        <w:t xml:space="preserve"> </w:t>
      </w:r>
      <w:r w:rsidRPr="006E6390">
        <w:rPr>
          <w:rFonts w:cs="Arial"/>
          <w:lang w:eastAsia="es-MX"/>
        </w:rPr>
        <w:t xml:space="preserve">no obstante, </w:t>
      </w:r>
      <w:r w:rsidR="00400821">
        <w:rPr>
          <w:rFonts w:cs="Arial"/>
          <w:lang w:eastAsia="es-MX"/>
        </w:rPr>
        <w:t>en</w:t>
      </w:r>
      <w:r w:rsidR="00E30E1C" w:rsidRPr="006E6390">
        <w:rPr>
          <w:rFonts w:cs="Arial"/>
          <w:lang w:eastAsia="es-MX"/>
        </w:rPr>
        <w:t xml:space="preserve"> </w:t>
      </w:r>
      <w:r w:rsidR="000F1A5D" w:rsidRPr="006E6390">
        <w:rPr>
          <w:rFonts w:cs="Arial"/>
          <w:lang w:eastAsia="es-MX"/>
        </w:rPr>
        <w:t>202</w:t>
      </w:r>
      <w:r w:rsidR="000F1A5D">
        <w:rPr>
          <w:rFonts w:cs="Arial"/>
          <w:lang w:eastAsia="es-MX"/>
        </w:rPr>
        <w:t>1</w:t>
      </w:r>
      <w:r w:rsidR="000F1A5D" w:rsidRPr="006E6390">
        <w:rPr>
          <w:rFonts w:cs="Arial"/>
          <w:lang w:eastAsia="es-MX"/>
        </w:rPr>
        <w:t xml:space="preserve"> </w:t>
      </w:r>
      <w:r w:rsidR="00400821">
        <w:rPr>
          <w:rFonts w:cs="Arial"/>
          <w:lang w:eastAsia="es-MX"/>
        </w:rPr>
        <w:t>baj</w:t>
      </w:r>
      <w:r w:rsidR="000F1A5D">
        <w:rPr>
          <w:rFonts w:cs="Arial"/>
          <w:lang w:eastAsia="es-MX"/>
        </w:rPr>
        <w:t>ó</w:t>
      </w:r>
      <w:r w:rsidR="000F1A5D" w:rsidRPr="006E6390">
        <w:rPr>
          <w:rFonts w:cs="Arial"/>
          <w:lang w:eastAsia="es-MX"/>
        </w:rPr>
        <w:t xml:space="preserve"> </w:t>
      </w:r>
      <w:r w:rsidR="00400821">
        <w:rPr>
          <w:rFonts w:cs="Arial"/>
          <w:lang w:eastAsia="es-MX"/>
        </w:rPr>
        <w:t>a 356 081</w:t>
      </w:r>
      <w:r w:rsidR="000F1A5D">
        <w:rPr>
          <w:rFonts w:cs="Arial"/>
          <w:lang w:eastAsia="es-MX"/>
        </w:rPr>
        <w:t xml:space="preserve"> </w:t>
      </w:r>
      <w:r w:rsidRPr="006E6390">
        <w:rPr>
          <w:rFonts w:cs="Arial"/>
          <w:lang w:eastAsia="es-MX"/>
        </w:rPr>
        <w:t xml:space="preserve">m³, equivalente a </w:t>
      </w:r>
      <w:r w:rsidR="00894D58" w:rsidRPr="006E6390">
        <w:rPr>
          <w:rFonts w:cs="Arial"/>
          <w:lang w:eastAsia="es-MX"/>
        </w:rPr>
        <w:t>-</w:t>
      </w:r>
      <w:r w:rsidR="00400821">
        <w:rPr>
          <w:rFonts w:cs="Arial"/>
          <w:lang w:eastAsia="es-MX"/>
        </w:rPr>
        <w:t>8,0</w:t>
      </w:r>
      <w:r w:rsidRPr="006E6390">
        <w:rPr>
          <w:rFonts w:cs="Arial"/>
          <w:lang w:eastAsia="es-MX"/>
        </w:rPr>
        <w:t>%</w:t>
      </w:r>
      <w:r w:rsidR="009D1627">
        <w:rPr>
          <w:rFonts w:cs="Arial"/>
          <w:lang w:eastAsia="es-MX"/>
        </w:rPr>
        <w:t>, aunque el inventario final fue de 441 458</w:t>
      </w:r>
      <w:r w:rsidR="009D1627" w:rsidRPr="009D1627">
        <w:rPr>
          <w:rFonts w:cs="Arial"/>
          <w:lang w:eastAsia="es-MX"/>
        </w:rPr>
        <w:t xml:space="preserve"> </w:t>
      </w:r>
      <w:r w:rsidR="009D1627" w:rsidRPr="006E6390">
        <w:rPr>
          <w:rFonts w:cs="Arial"/>
          <w:lang w:eastAsia="es-MX"/>
        </w:rPr>
        <w:t>m³</w:t>
      </w:r>
      <w:r w:rsidR="001E3372" w:rsidRPr="006E6390">
        <w:rPr>
          <w:rFonts w:cs="Arial"/>
          <w:lang w:eastAsia="es-MX"/>
        </w:rPr>
        <w:t>.</w:t>
      </w:r>
      <w:r w:rsidR="009D1627">
        <w:rPr>
          <w:rFonts w:cs="Arial"/>
          <w:lang w:eastAsia="es-MX"/>
        </w:rPr>
        <w:t xml:space="preserve"> </w:t>
      </w:r>
      <w:r w:rsidR="001E3372" w:rsidRPr="006E6390">
        <w:rPr>
          <w:rFonts w:cs="Arial"/>
          <w:lang w:eastAsia="es-MX"/>
        </w:rPr>
        <w:t xml:space="preserve"> El inventario final de </w:t>
      </w:r>
      <w:r w:rsidR="00526EE2" w:rsidRPr="006E6390">
        <w:rPr>
          <w:rFonts w:cs="Arial"/>
          <w:lang w:eastAsia="es-MX"/>
        </w:rPr>
        <w:t>202</w:t>
      </w:r>
      <w:r w:rsidR="00526EE2">
        <w:rPr>
          <w:rFonts w:cs="Arial"/>
          <w:lang w:eastAsia="es-MX"/>
        </w:rPr>
        <w:t>2</w:t>
      </w:r>
      <w:r w:rsidR="00526EE2" w:rsidRPr="006E6390">
        <w:rPr>
          <w:rFonts w:cs="Arial"/>
          <w:lang w:eastAsia="es-MX"/>
        </w:rPr>
        <w:t xml:space="preserve"> </w:t>
      </w:r>
      <w:r w:rsidR="00526EE2">
        <w:rPr>
          <w:rFonts w:cs="Arial"/>
          <w:lang w:eastAsia="es-MX"/>
        </w:rPr>
        <w:t xml:space="preserve">en cambio </w:t>
      </w:r>
      <w:r w:rsidR="001E3372" w:rsidRPr="006E6390">
        <w:rPr>
          <w:rFonts w:cs="Arial"/>
          <w:lang w:eastAsia="es-MX"/>
        </w:rPr>
        <w:t xml:space="preserve">fue </w:t>
      </w:r>
      <w:r w:rsidR="008D34CA">
        <w:rPr>
          <w:rFonts w:cs="Arial"/>
          <w:lang w:eastAsia="es-MX"/>
        </w:rPr>
        <w:t>366</w:t>
      </w:r>
      <w:r w:rsidR="008D34CA" w:rsidRPr="006E6390">
        <w:rPr>
          <w:rFonts w:cs="Arial"/>
          <w:lang w:eastAsia="es-MX"/>
        </w:rPr>
        <w:t> </w:t>
      </w:r>
      <w:r w:rsidR="008D34CA">
        <w:rPr>
          <w:rFonts w:cs="Arial"/>
          <w:lang w:eastAsia="es-MX"/>
        </w:rPr>
        <w:t>14</w:t>
      </w:r>
      <w:r w:rsidR="00526EE2">
        <w:rPr>
          <w:rFonts w:cs="Arial"/>
          <w:lang w:eastAsia="es-MX"/>
        </w:rPr>
        <w:t>9</w:t>
      </w:r>
      <w:r w:rsidR="001E3372" w:rsidRPr="006E6390">
        <w:rPr>
          <w:rFonts w:cs="Arial"/>
          <w:lang w:eastAsia="es-MX"/>
        </w:rPr>
        <w:t xml:space="preserve"> m³, </w:t>
      </w:r>
      <w:r w:rsidR="00526EE2">
        <w:rPr>
          <w:rFonts w:cs="Arial"/>
          <w:lang w:eastAsia="es-MX"/>
        </w:rPr>
        <w:t xml:space="preserve">pero el inventario promedio tuvo un repunte de </w:t>
      </w:r>
      <w:r w:rsidR="008D34CA">
        <w:rPr>
          <w:rFonts w:cs="Arial"/>
          <w:lang w:eastAsia="es-MX"/>
        </w:rPr>
        <w:t>1</w:t>
      </w:r>
      <w:r w:rsidR="00526EE2">
        <w:rPr>
          <w:rFonts w:cs="Arial"/>
          <w:lang w:eastAsia="es-MX"/>
        </w:rPr>
        <w:t>1</w:t>
      </w:r>
      <w:r w:rsidR="001E3372" w:rsidRPr="006E6390">
        <w:rPr>
          <w:rFonts w:cs="Arial"/>
          <w:lang w:eastAsia="es-MX"/>
        </w:rPr>
        <w:t>,</w:t>
      </w:r>
      <w:r w:rsidR="00526EE2">
        <w:rPr>
          <w:rFonts w:cs="Arial"/>
          <w:lang w:eastAsia="es-MX"/>
        </w:rPr>
        <w:t>8</w:t>
      </w:r>
      <w:r w:rsidR="001E3372" w:rsidRPr="006E6390">
        <w:rPr>
          <w:rFonts w:cs="Arial"/>
          <w:lang w:eastAsia="es-MX"/>
        </w:rPr>
        <w:t>%</w:t>
      </w:r>
      <w:r w:rsidR="00526EE2">
        <w:rPr>
          <w:rFonts w:cs="Arial"/>
          <w:lang w:eastAsia="es-MX"/>
        </w:rPr>
        <w:t xml:space="preserve"> (398 252 </w:t>
      </w:r>
      <w:r w:rsidR="00526EE2" w:rsidRPr="006E6390">
        <w:rPr>
          <w:rFonts w:cs="Arial"/>
          <w:lang w:eastAsia="es-MX"/>
        </w:rPr>
        <w:t>m³</w:t>
      </w:r>
      <w:r w:rsidR="00526EE2">
        <w:rPr>
          <w:rFonts w:cs="Arial"/>
          <w:lang w:eastAsia="es-MX"/>
        </w:rPr>
        <w:t>)</w:t>
      </w:r>
      <w:r w:rsidR="001E3372" w:rsidRPr="006E6390">
        <w:rPr>
          <w:rFonts w:cs="Arial"/>
          <w:lang w:eastAsia="es-MX"/>
        </w:rPr>
        <w:t>.</w:t>
      </w:r>
      <w:r w:rsidR="00DE3445">
        <w:rPr>
          <w:rFonts w:cs="Arial"/>
          <w:lang w:eastAsia="es-MX"/>
        </w:rPr>
        <w:t xml:space="preserve"> </w:t>
      </w:r>
      <w:r w:rsidR="00EA17AD" w:rsidRPr="006E6390">
        <w:rPr>
          <w:rFonts w:cs="Arial"/>
          <w:lang w:eastAsia="es-MX"/>
        </w:rPr>
        <w:t xml:space="preserve"> E</w:t>
      </w:r>
      <w:r w:rsidR="00280B09" w:rsidRPr="006E6390">
        <w:rPr>
          <w:rFonts w:cs="Arial"/>
          <w:lang w:eastAsia="es-MX"/>
        </w:rPr>
        <w:t xml:space="preserve">l resultado </w:t>
      </w:r>
      <w:r w:rsidR="00526EE2">
        <w:rPr>
          <w:rFonts w:cs="Arial"/>
          <w:lang w:eastAsia="es-MX"/>
        </w:rPr>
        <w:t>a final de año puede no ser el dato más confiable en esta variable, ya que depende de múltiples factores</w:t>
      </w:r>
      <w:r w:rsidR="00EA17AD" w:rsidRPr="006E6390">
        <w:rPr>
          <w:rFonts w:cs="Arial"/>
          <w:lang w:eastAsia="es-MX"/>
        </w:rPr>
        <w:t>.</w:t>
      </w:r>
    </w:p>
    <w:p w14:paraId="5DB028D5" w14:textId="77777777" w:rsidR="00694138" w:rsidRPr="006E6390" w:rsidRDefault="00694138" w:rsidP="004F0AF4">
      <w:pPr>
        <w:spacing w:after="0"/>
        <w:rPr>
          <w:rFonts w:cs="Arial"/>
          <w:lang w:eastAsia="es-MX"/>
        </w:rPr>
      </w:pPr>
    </w:p>
    <w:p w14:paraId="0AFC6302" w14:textId="03A7DA73" w:rsidR="00873CC3" w:rsidRDefault="00A76942" w:rsidP="004F0AF4">
      <w:pPr>
        <w:spacing w:after="0"/>
        <w:rPr>
          <w:rFonts w:cs="Arial"/>
          <w:lang w:eastAsia="es-MX"/>
        </w:rPr>
      </w:pPr>
      <w:r>
        <w:rPr>
          <w:rFonts w:cs="Arial"/>
          <w:lang w:eastAsia="es-MX"/>
        </w:rPr>
        <w:t xml:space="preserve">Es </w:t>
      </w:r>
      <w:r w:rsidR="00873CC3" w:rsidRPr="006E6390">
        <w:rPr>
          <w:rFonts w:cs="Arial"/>
          <w:lang w:eastAsia="es-MX"/>
        </w:rPr>
        <w:t xml:space="preserve">Importante señalar que el valor del promedio mensual de inventarios es distinto al valor del cierre de cada año, </w:t>
      </w:r>
      <w:r w:rsidR="00321951">
        <w:rPr>
          <w:rFonts w:cs="Arial"/>
          <w:lang w:eastAsia="es-MX"/>
        </w:rPr>
        <w:t>q</w:t>
      </w:r>
      <w:r w:rsidR="00873CC3" w:rsidRPr="006E6390">
        <w:rPr>
          <w:rFonts w:cs="Arial"/>
          <w:lang w:eastAsia="es-MX"/>
        </w:rPr>
        <w:t xml:space="preserve">ue obedece a la estacionalidad del precio internacional de los combustibles, que incide en el costo de importación y al volumen de inventario, que se ve afectado al finalizar el año por condiciones climáticas que, en oportunidades, impiden el atraque de productos. </w:t>
      </w:r>
      <w:r w:rsidR="00214922" w:rsidRPr="006E6390">
        <w:rPr>
          <w:rFonts w:cs="Arial"/>
          <w:lang w:eastAsia="es-MX"/>
        </w:rPr>
        <w:t xml:space="preserve"> </w:t>
      </w:r>
      <w:r w:rsidR="00873CC3" w:rsidRPr="006E6390">
        <w:rPr>
          <w:rFonts w:cs="Arial"/>
          <w:lang w:eastAsia="es-MX"/>
        </w:rPr>
        <w:t xml:space="preserve">En </w:t>
      </w:r>
      <w:r w:rsidRPr="006E6390">
        <w:rPr>
          <w:rFonts w:cs="Arial"/>
          <w:lang w:eastAsia="es-MX"/>
        </w:rPr>
        <w:t>20</w:t>
      </w:r>
      <w:r>
        <w:rPr>
          <w:rFonts w:cs="Arial"/>
          <w:lang w:eastAsia="es-MX"/>
        </w:rPr>
        <w:t>20</w:t>
      </w:r>
      <w:r w:rsidR="00873CC3" w:rsidRPr="006E6390">
        <w:rPr>
          <w:rFonts w:cs="Arial"/>
          <w:lang w:eastAsia="es-MX"/>
        </w:rPr>
        <w:t xml:space="preserve">, el </w:t>
      </w:r>
      <w:r w:rsidR="006810F8" w:rsidRPr="006E6390">
        <w:rPr>
          <w:rFonts w:cs="Arial"/>
          <w:lang w:eastAsia="es-MX"/>
        </w:rPr>
        <w:t xml:space="preserve">valor </w:t>
      </w:r>
      <w:r w:rsidR="00873CC3" w:rsidRPr="006E6390">
        <w:rPr>
          <w:rFonts w:cs="Arial"/>
          <w:lang w:eastAsia="es-MX"/>
        </w:rPr>
        <w:t>promedio</w:t>
      </w:r>
      <w:r w:rsidR="006810F8" w:rsidRPr="006E6390">
        <w:rPr>
          <w:rFonts w:cs="Arial"/>
          <w:lang w:eastAsia="es-MX"/>
        </w:rPr>
        <w:t xml:space="preserve"> del inventario en tanque</w:t>
      </w:r>
      <w:r w:rsidR="00873CC3" w:rsidRPr="006E6390">
        <w:rPr>
          <w:rFonts w:cs="Arial"/>
          <w:lang w:eastAsia="es-MX"/>
        </w:rPr>
        <w:t xml:space="preserve"> fue </w:t>
      </w:r>
      <w:r w:rsidRPr="006E6390">
        <w:rPr>
          <w:rFonts w:cs="Arial"/>
          <w:lang w:eastAsia="es-MX"/>
        </w:rPr>
        <w:t>₡161 153 millones</w:t>
      </w:r>
      <w:r>
        <w:rPr>
          <w:rFonts w:cs="Arial"/>
          <w:lang w:eastAsia="es-MX"/>
        </w:rPr>
        <w:t xml:space="preserve">, </w:t>
      </w:r>
      <w:r w:rsidR="007C5875" w:rsidRPr="006E6390">
        <w:rPr>
          <w:rFonts w:cs="Arial"/>
          <w:lang w:eastAsia="es-MX"/>
        </w:rPr>
        <w:t>con un valor al cierre de ₡</w:t>
      </w:r>
      <w:r w:rsidR="00502D53" w:rsidRPr="006E6390">
        <w:rPr>
          <w:rFonts w:cs="Arial"/>
          <w:lang w:eastAsia="es-MX"/>
        </w:rPr>
        <w:t>113 400</w:t>
      </w:r>
      <w:r w:rsidR="007C5875" w:rsidRPr="006E6390">
        <w:rPr>
          <w:rFonts w:cs="Arial"/>
          <w:lang w:eastAsia="es-MX"/>
        </w:rPr>
        <w:t xml:space="preserve"> millones</w:t>
      </w:r>
      <w:r>
        <w:rPr>
          <w:rFonts w:cs="Arial"/>
          <w:lang w:eastAsia="es-MX"/>
        </w:rPr>
        <w:t>, p</w:t>
      </w:r>
      <w:r w:rsidR="007C5875" w:rsidRPr="006E6390">
        <w:rPr>
          <w:rFonts w:cs="Arial"/>
          <w:lang w:eastAsia="es-MX"/>
        </w:rPr>
        <w:t>ara 202</w:t>
      </w:r>
      <w:r w:rsidR="00502D53" w:rsidRPr="006E6390">
        <w:rPr>
          <w:rFonts w:cs="Arial"/>
          <w:lang w:eastAsia="es-MX"/>
        </w:rPr>
        <w:t>1</w:t>
      </w:r>
      <w:r w:rsidR="00F0788B" w:rsidRPr="006E6390">
        <w:rPr>
          <w:rFonts w:cs="Arial"/>
          <w:lang w:eastAsia="es-MX"/>
        </w:rPr>
        <w:t xml:space="preserve"> </w:t>
      </w:r>
      <w:r w:rsidR="00873CC3" w:rsidRPr="006E6390">
        <w:rPr>
          <w:rFonts w:cs="Arial"/>
          <w:lang w:eastAsia="es-MX"/>
        </w:rPr>
        <w:t xml:space="preserve">el inventario </w:t>
      </w:r>
      <w:r w:rsidR="00F0788B" w:rsidRPr="006E6390">
        <w:rPr>
          <w:rFonts w:cs="Arial"/>
          <w:lang w:eastAsia="es-MX"/>
        </w:rPr>
        <w:t>promedio fue ₡</w:t>
      </w:r>
      <w:r w:rsidR="00B94874" w:rsidRPr="006E6390">
        <w:rPr>
          <w:rFonts w:cs="Arial"/>
          <w:lang w:eastAsia="es-MX"/>
        </w:rPr>
        <w:t>1</w:t>
      </w:r>
      <w:r w:rsidR="00502D53" w:rsidRPr="006E6390">
        <w:rPr>
          <w:rFonts w:cs="Arial"/>
          <w:lang w:eastAsia="es-MX"/>
        </w:rPr>
        <w:t>62 </w:t>
      </w:r>
      <w:r w:rsidR="00B94874" w:rsidRPr="006E6390">
        <w:rPr>
          <w:rFonts w:cs="Arial"/>
          <w:lang w:eastAsia="es-MX"/>
        </w:rPr>
        <w:t>1</w:t>
      </w:r>
      <w:r w:rsidR="00502D53" w:rsidRPr="006E6390">
        <w:rPr>
          <w:rFonts w:cs="Arial"/>
          <w:lang w:eastAsia="es-MX"/>
        </w:rPr>
        <w:t xml:space="preserve">68 </w:t>
      </w:r>
      <w:r w:rsidR="00F0788B" w:rsidRPr="006E6390">
        <w:rPr>
          <w:rFonts w:cs="Arial"/>
          <w:lang w:eastAsia="es-MX"/>
        </w:rPr>
        <w:t>millones con un valor al</w:t>
      </w:r>
      <w:r w:rsidR="00873CC3" w:rsidRPr="006E6390">
        <w:rPr>
          <w:rFonts w:cs="Arial"/>
          <w:lang w:eastAsia="es-MX"/>
        </w:rPr>
        <w:t xml:space="preserve"> cierre d</w:t>
      </w:r>
      <w:r w:rsidR="00F0788B" w:rsidRPr="006E6390">
        <w:rPr>
          <w:rFonts w:cs="Arial"/>
          <w:lang w:eastAsia="es-MX"/>
        </w:rPr>
        <w:t xml:space="preserve">e </w:t>
      </w:r>
      <w:r w:rsidR="00873CC3" w:rsidRPr="006E6390">
        <w:rPr>
          <w:rFonts w:cs="Arial"/>
          <w:lang w:eastAsia="es-MX"/>
        </w:rPr>
        <w:t>₡</w:t>
      </w:r>
      <w:r w:rsidR="00502D53" w:rsidRPr="006E6390">
        <w:rPr>
          <w:rFonts w:cs="Arial"/>
          <w:lang w:eastAsia="es-MX"/>
        </w:rPr>
        <w:t>224</w:t>
      </w:r>
      <w:r w:rsidR="00B94874" w:rsidRPr="006E6390">
        <w:rPr>
          <w:rFonts w:cs="Arial"/>
          <w:lang w:eastAsia="es-MX"/>
        </w:rPr>
        <w:t xml:space="preserve"> 4</w:t>
      </w:r>
      <w:r w:rsidR="00502D53" w:rsidRPr="006E6390">
        <w:rPr>
          <w:rFonts w:cs="Arial"/>
          <w:lang w:eastAsia="es-MX"/>
        </w:rPr>
        <w:t>47</w:t>
      </w:r>
      <w:r w:rsidR="00873CC3" w:rsidRPr="006E6390">
        <w:rPr>
          <w:rFonts w:cs="Arial"/>
          <w:lang w:eastAsia="es-MX"/>
        </w:rPr>
        <w:t xml:space="preserve"> millones.</w:t>
      </w:r>
      <w:r>
        <w:rPr>
          <w:rFonts w:cs="Arial"/>
          <w:lang w:eastAsia="es-MX"/>
        </w:rPr>
        <w:t xml:space="preserve"> </w:t>
      </w:r>
      <w:r w:rsidR="003B3628">
        <w:rPr>
          <w:rFonts w:cs="Arial"/>
          <w:lang w:eastAsia="es-MX"/>
        </w:rPr>
        <w:t xml:space="preserve"> </w:t>
      </w:r>
      <w:r>
        <w:rPr>
          <w:rFonts w:cs="Arial"/>
          <w:lang w:eastAsia="es-MX"/>
        </w:rPr>
        <w:t xml:space="preserve">Y para 2022, el promedio del stock fue de </w:t>
      </w:r>
      <w:r w:rsidRPr="006E6390">
        <w:rPr>
          <w:rFonts w:cs="Arial"/>
          <w:lang w:eastAsia="es-MX"/>
        </w:rPr>
        <w:t>₡</w:t>
      </w:r>
      <w:r w:rsidR="00271E10">
        <w:rPr>
          <w:rFonts w:cs="Arial"/>
          <w:lang w:eastAsia="es-MX"/>
        </w:rPr>
        <w:t>267 817</w:t>
      </w:r>
      <w:r>
        <w:rPr>
          <w:rFonts w:cs="Arial"/>
          <w:lang w:eastAsia="es-MX"/>
        </w:rPr>
        <w:t xml:space="preserve"> millones</w:t>
      </w:r>
      <w:r w:rsidR="00271E10">
        <w:rPr>
          <w:rFonts w:cs="Arial"/>
          <w:lang w:eastAsia="es-MX"/>
        </w:rPr>
        <w:t xml:space="preserve"> (+19,3%)</w:t>
      </w:r>
      <w:r>
        <w:rPr>
          <w:rFonts w:cs="Arial"/>
          <w:lang w:eastAsia="es-MX"/>
        </w:rPr>
        <w:t xml:space="preserve">, con un valor al final del año de </w:t>
      </w:r>
      <w:r w:rsidRPr="006E6390">
        <w:rPr>
          <w:rFonts w:cs="Arial"/>
          <w:lang w:eastAsia="es-MX"/>
        </w:rPr>
        <w:t>₡</w:t>
      </w:r>
      <w:r w:rsidR="00271E10">
        <w:rPr>
          <w:rFonts w:cs="Arial"/>
          <w:lang w:eastAsia="es-MX"/>
        </w:rPr>
        <w:t>215 616</w:t>
      </w:r>
      <w:r>
        <w:rPr>
          <w:rFonts w:cs="Arial"/>
          <w:lang w:eastAsia="es-MX"/>
        </w:rPr>
        <w:t xml:space="preserve"> millones</w:t>
      </w:r>
      <w:r w:rsidR="00271E10">
        <w:rPr>
          <w:rFonts w:cs="Arial"/>
          <w:lang w:eastAsia="es-MX"/>
        </w:rPr>
        <w:t xml:space="preserve">, </w:t>
      </w:r>
      <w:r w:rsidR="00417E58">
        <w:rPr>
          <w:rFonts w:cs="Arial"/>
          <w:lang w:eastAsia="es-MX"/>
        </w:rPr>
        <w:t xml:space="preserve">especialmente, </w:t>
      </w:r>
      <w:r w:rsidR="00271E10">
        <w:rPr>
          <w:rFonts w:cs="Arial"/>
          <w:lang w:eastAsia="es-MX"/>
        </w:rPr>
        <w:t>por la baja de precios internacionales en el segundo semestre de 2022</w:t>
      </w:r>
      <w:r>
        <w:rPr>
          <w:rFonts w:cs="Arial"/>
          <w:lang w:eastAsia="es-MX"/>
        </w:rPr>
        <w:t>.</w:t>
      </w:r>
    </w:p>
    <w:p w14:paraId="2CBE203D" w14:textId="77777777" w:rsidR="00694138" w:rsidRPr="006E6390" w:rsidRDefault="00694138" w:rsidP="00873CC3">
      <w:pPr>
        <w:rPr>
          <w:rFonts w:cs="Arial"/>
          <w:lang w:eastAsia="es-MX"/>
        </w:rPr>
      </w:pPr>
    </w:p>
    <w:p w14:paraId="0F6F042B" w14:textId="77777777" w:rsidR="00873CC3" w:rsidRPr="006E6390" w:rsidRDefault="00873CC3" w:rsidP="00873CC3">
      <w:pPr>
        <w:pStyle w:val="Ttulo4"/>
        <w:rPr>
          <w:rFonts w:cs="Arial"/>
        </w:rPr>
      </w:pPr>
      <w:r w:rsidRPr="006E6390">
        <w:rPr>
          <w:rFonts w:cs="Arial"/>
        </w:rPr>
        <w:lastRenderedPageBreak/>
        <w:t>2.3.3.3. Rotación de activo fijo (veces)</w:t>
      </w:r>
    </w:p>
    <w:p w14:paraId="30FFA131" w14:textId="77777777" w:rsidR="00873CC3" w:rsidRDefault="00873CC3" w:rsidP="004F0AF4">
      <w:pPr>
        <w:spacing w:after="0"/>
        <w:rPr>
          <w:rFonts w:cs="Arial"/>
          <w:lang w:eastAsia="es-MX"/>
        </w:rPr>
      </w:pPr>
      <w:r w:rsidRPr="006E6390">
        <w:rPr>
          <w:rFonts w:cs="Arial"/>
          <w:lang w:eastAsia="es-MX"/>
        </w:rPr>
        <w:t xml:space="preserve">Esta razón indica la efectividad de la empresa para utilizar su base total de activos y traducirlo en desempeño comercial a través de las ventas. </w:t>
      </w:r>
    </w:p>
    <w:p w14:paraId="3EE6E2B2" w14:textId="77777777" w:rsidR="00216500" w:rsidRPr="006E6390" w:rsidRDefault="00216500" w:rsidP="00873CC3">
      <w:pPr>
        <w:rPr>
          <w:rFonts w:cs="Arial"/>
          <w:lang w:eastAsia="es-MX"/>
        </w:rPr>
      </w:pPr>
    </w:p>
    <w:p w14:paraId="3A9396FD" w14:textId="77777777" w:rsidR="00873CC3" w:rsidRPr="006E6390" w:rsidRDefault="00873CC3" w:rsidP="00873CC3">
      <w:pPr>
        <w:pStyle w:val="Ttuloscuadros"/>
        <w:tabs>
          <w:tab w:val="left" w:pos="9270"/>
        </w:tabs>
        <w:spacing w:after="120"/>
        <w:rPr>
          <w:rFonts w:cs="Arial"/>
        </w:rPr>
      </w:pPr>
      <w:r w:rsidRPr="006E6390">
        <w:rPr>
          <w:rFonts w:cs="Arial"/>
        </w:rPr>
        <w:t>Cuadro N°</w:t>
      </w:r>
      <w:r w:rsidR="00440522" w:rsidRPr="006E6390">
        <w:rPr>
          <w:rFonts w:cs="Arial"/>
        </w:rPr>
        <w:t>1</w:t>
      </w:r>
      <w:r w:rsidR="008B1E26" w:rsidRPr="006E6390">
        <w:rPr>
          <w:rFonts w:cs="Arial"/>
        </w:rPr>
        <w:t>1</w:t>
      </w:r>
    </w:p>
    <w:tbl>
      <w:tblPr>
        <w:tblStyle w:val="Tablanormal1"/>
        <w:tblW w:w="5133" w:type="pct"/>
        <w:jc w:val="center"/>
        <w:tblLook w:val="04A0" w:firstRow="1" w:lastRow="0" w:firstColumn="1" w:lastColumn="0" w:noHBand="0" w:noVBand="1"/>
      </w:tblPr>
      <w:tblGrid>
        <w:gridCol w:w="5384"/>
        <w:gridCol w:w="1276"/>
        <w:gridCol w:w="1228"/>
        <w:gridCol w:w="1320"/>
      </w:tblGrid>
      <w:tr w:rsidR="00817A9C" w:rsidRPr="006E6390" w14:paraId="6FD9174F" w14:textId="77777777" w:rsidTr="00817A9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22" w:type="pct"/>
            <w:vAlign w:val="center"/>
            <w:hideMark/>
          </w:tcPr>
          <w:p w14:paraId="4B1436F6" w14:textId="59743316" w:rsidR="00FA009C" w:rsidRPr="006E6390" w:rsidRDefault="00FA009C" w:rsidP="00FA009C">
            <w:pPr>
              <w:pStyle w:val="Tablas"/>
              <w:tabs>
                <w:tab w:val="left" w:pos="9270"/>
              </w:tabs>
              <w:rPr>
                <w:rFonts w:cs="Arial"/>
                <w:b w:val="0"/>
                <w:sz w:val="20"/>
                <w:szCs w:val="20"/>
              </w:rPr>
            </w:pPr>
            <w:r>
              <w:rPr>
                <w:rFonts w:cs="Arial"/>
                <w:color w:val="000000"/>
                <w:sz w:val="20"/>
                <w:szCs w:val="20"/>
              </w:rPr>
              <w:t> </w:t>
            </w:r>
          </w:p>
        </w:tc>
        <w:tc>
          <w:tcPr>
            <w:tcW w:w="693" w:type="pct"/>
            <w:vAlign w:val="center"/>
          </w:tcPr>
          <w:p w14:paraId="618D470B" w14:textId="59D8AD81" w:rsidR="00FA009C" w:rsidRPr="004F0AF4" w:rsidRDefault="00FA009C" w:rsidP="00FA009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4F0AF4">
              <w:rPr>
                <w:rFonts w:cs="Arial"/>
                <w:color w:val="002060"/>
                <w:sz w:val="20"/>
                <w:szCs w:val="20"/>
              </w:rPr>
              <w:t>dic-20</w:t>
            </w:r>
          </w:p>
        </w:tc>
        <w:tc>
          <w:tcPr>
            <w:tcW w:w="667" w:type="pct"/>
            <w:vAlign w:val="center"/>
          </w:tcPr>
          <w:p w14:paraId="03EB5C5F" w14:textId="688517E2" w:rsidR="00FA009C" w:rsidRPr="004F0AF4" w:rsidRDefault="00FA009C" w:rsidP="00FA009C">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4F0AF4">
              <w:rPr>
                <w:rFonts w:cs="Arial"/>
                <w:color w:val="002060"/>
                <w:sz w:val="20"/>
                <w:szCs w:val="20"/>
              </w:rPr>
              <w:t>dic-21</w:t>
            </w:r>
          </w:p>
        </w:tc>
        <w:tc>
          <w:tcPr>
            <w:tcW w:w="717" w:type="pct"/>
            <w:vAlign w:val="center"/>
          </w:tcPr>
          <w:p w14:paraId="77436726" w14:textId="54F23A21" w:rsidR="00FA009C" w:rsidRPr="004F0AF4" w:rsidRDefault="00FA009C" w:rsidP="00FA009C">
            <w:pPr>
              <w:pStyle w:val="Tablas"/>
              <w:tabs>
                <w:tab w:val="left" w:pos="9270"/>
              </w:tabs>
              <w:ind w:left="78" w:hanging="21"/>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4F0AF4">
              <w:rPr>
                <w:rFonts w:cs="Arial"/>
                <w:color w:val="002060"/>
                <w:sz w:val="20"/>
                <w:szCs w:val="20"/>
              </w:rPr>
              <w:t>dic-22</w:t>
            </w:r>
          </w:p>
        </w:tc>
      </w:tr>
      <w:tr w:rsidR="00817A9C" w:rsidRPr="006E6390" w14:paraId="0DDCFC6F" w14:textId="77777777" w:rsidTr="00817A9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22" w:type="pct"/>
            <w:vAlign w:val="center"/>
            <w:hideMark/>
          </w:tcPr>
          <w:p w14:paraId="7660314D" w14:textId="6BACD595" w:rsidR="00894D6D" w:rsidRPr="006E6390" w:rsidRDefault="00894D6D" w:rsidP="00894D6D">
            <w:pPr>
              <w:pStyle w:val="Tablas"/>
              <w:tabs>
                <w:tab w:val="left" w:pos="9270"/>
              </w:tabs>
              <w:rPr>
                <w:rFonts w:cs="Arial"/>
                <w:b w:val="0"/>
                <w:sz w:val="20"/>
                <w:szCs w:val="20"/>
              </w:rPr>
            </w:pPr>
            <w:r>
              <w:rPr>
                <w:rFonts w:cs="Arial"/>
                <w:color w:val="000000"/>
                <w:sz w:val="20"/>
                <w:szCs w:val="20"/>
              </w:rPr>
              <w:t>Rotación Activos Fijos (a/b)</w:t>
            </w:r>
          </w:p>
        </w:tc>
        <w:tc>
          <w:tcPr>
            <w:tcW w:w="693" w:type="pct"/>
            <w:vAlign w:val="center"/>
          </w:tcPr>
          <w:p w14:paraId="63503DB3" w14:textId="608AADE9"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1,7</w:t>
            </w:r>
          </w:p>
        </w:tc>
        <w:tc>
          <w:tcPr>
            <w:tcW w:w="667" w:type="pct"/>
            <w:vAlign w:val="center"/>
          </w:tcPr>
          <w:p w14:paraId="185BD711" w14:textId="433EBC5B"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highlight w:val="yellow"/>
              </w:rPr>
            </w:pPr>
            <w:r>
              <w:rPr>
                <w:rFonts w:cs="Arial"/>
                <w:b/>
                <w:bCs/>
                <w:color w:val="000000"/>
                <w:sz w:val="20"/>
                <w:szCs w:val="20"/>
              </w:rPr>
              <w:t>2,6</w:t>
            </w:r>
          </w:p>
        </w:tc>
        <w:tc>
          <w:tcPr>
            <w:tcW w:w="717" w:type="pct"/>
            <w:vAlign w:val="center"/>
          </w:tcPr>
          <w:p w14:paraId="16567541" w14:textId="58CCBA6F"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3,8</w:t>
            </w:r>
          </w:p>
        </w:tc>
      </w:tr>
      <w:tr w:rsidR="00817A9C" w:rsidRPr="006E6390" w14:paraId="4CB97347" w14:textId="77777777" w:rsidTr="00817A9C">
        <w:trPr>
          <w:trHeight w:val="340"/>
          <w:jc w:val="center"/>
        </w:trPr>
        <w:tc>
          <w:tcPr>
            <w:cnfStyle w:val="001000000000" w:firstRow="0" w:lastRow="0" w:firstColumn="1" w:lastColumn="0" w:oddVBand="0" w:evenVBand="0" w:oddHBand="0" w:evenHBand="0" w:firstRowFirstColumn="0" w:firstRowLastColumn="0" w:lastRowFirstColumn="0" w:lastRowLastColumn="0"/>
            <w:tcW w:w="2922" w:type="pct"/>
            <w:vAlign w:val="center"/>
            <w:hideMark/>
          </w:tcPr>
          <w:p w14:paraId="71CCDC2D" w14:textId="41192A30" w:rsidR="00894D6D" w:rsidRPr="006E6390" w:rsidRDefault="00894D6D" w:rsidP="00894D6D">
            <w:pPr>
              <w:pStyle w:val="Tablas"/>
              <w:tabs>
                <w:tab w:val="left" w:pos="9270"/>
              </w:tabs>
              <w:rPr>
                <w:rFonts w:cs="Arial"/>
                <w:sz w:val="20"/>
                <w:szCs w:val="20"/>
              </w:rPr>
            </w:pPr>
            <w:r>
              <w:rPr>
                <w:rFonts w:cs="Arial"/>
                <w:b w:val="0"/>
                <w:bCs w:val="0"/>
                <w:color w:val="000000"/>
                <w:sz w:val="20"/>
                <w:szCs w:val="20"/>
              </w:rPr>
              <w:t>a)  Ingresos Totales (millones de ₡)</w:t>
            </w:r>
          </w:p>
        </w:tc>
        <w:tc>
          <w:tcPr>
            <w:tcW w:w="693" w:type="pct"/>
            <w:vAlign w:val="center"/>
          </w:tcPr>
          <w:p w14:paraId="5B27B0D8" w14:textId="7D74428F" w:rsidR="00894D6D" w:rsidRPr="006E6390" w:rsidRDefault="00894D6D" w:rsidP="00894D6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1 109 668</w:t>
            </w:r>
          </w:p>
        </w:tc>
        <w:tc>
          <w:tcPr>
            <w:tcW w:w="667" w:type="pct"/>
            <w:vAlign w:val="center"/>
          </w:tcPr>
          <w:p w14:paraId="1CB82A1C" w14:textId="702A60F5" w:rsidR="00894D6D" w:rsidRPr="006E6390" w:rsidRDefault="00894D6D" w:rsidP="00894D6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1 610 654</w:t>
            </w:r>
          </w:p>
        </w:tc>
        <w:tc>
          <w:tcPr>
            <w:tcW w:w="717" w:type="pct"/>
            <w:vAlign w:val="center"/>
          </w:tcPr>
          <w:p w14:paraId="60342D44" w14:textId="24D67E55" w:rsidR="00894D6D" w:rsidRPr="006E6390" w:rsidRDefault="00894D6D" w:rsidP="00894D6D">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2 365 169</w:t>
            </w:r>
          </w:p>
        </w:tc>
      </w:tr>
      <w:tr w:rsidR="00817A9C" w:rsidRPr="006E6390" w14:paraId="632BDF67" w14:textId="77777777" w:rsidTr="00817A9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922" w:type="pct"/>
            <w:vAlign w:val="center"/>
            <w:hideMark/>
          </w:tcPr>
          <w:p w14:paraId="01884203" w14:textId="53B948F0" w:rsidR="00894D6D" w:rsidRPr="006E6390" w:rsidRDefault="00894D6D" w:rsidP="00894D6D">
            <w:pPr>
              <w:pStyle w:val="Tablas"/>
              <w:tabs>
                <w:tab w:val="left" w:pos="9270"/>
              </w:tabs>
              <w:rPr>
                <w:rFonts w:cs="Arial"/>
                <w:sz w:val="20"/>
                <w:szCs w:val="20"/>
              </w:rPr>
            </w:pPr>
            <w:r>
              <w:rPr>
                <w:rFonts w:cs="Arial"/>
                <w:b w:val="0"/>
                <w:bCs w:val="0"/>
                <w:color w:val="000000"/>
                <w:sz w:val="20"/>
                <w:szCs w:val="20"/>
              </w:rPr>
              <w:t>b)  Promedio Activos Fijos Totales Netos (millones de ₡)</w:t>
            </w:r>
          </w:p>
        </w:tc>
        <w:tc>
          <w:tcPr>
            <w:tcW w:w="693" w:type="pct"/>
            <w:vAlign w:val="center"/>
          </w:tcPr>
          <w:p w14:paraId="6359310C" w14:textId="787CFE34"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634 852</w:t>
            </w:r>
          </w:p>
        </w:tc>
        <w:tc>
          <w:tcPr>
            <w:tcW w:w="667" w:type="pct"/>
            <w:vAlign w:val="center"/>
          </w:tcPr>
          <w:p w14:paraId="6FBB8FE5" w14:textId="6E3115A9"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624 503</w:t>
            </w:r>
          </w:p>
        </w:tc>
        <w:tc>
          <w:tcPr>
            <w:tcW w:w="717" w:type="pct"/>
            <w:vAlign w:val="center"/>
          </w:tcPr>
          <w:p w14:paraId="098C3723" w14:textId="6C18EF80" w:rsidR="00894D6D" w:rsidRPr="006E6390" w:rsidRDefault="00894D6D" w:rsidP="00894D6D">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629 180</w:t>
            </w:r>
          </w:p>
        </w:tc>
      </w:tr>
    </w:tbl>
    <w:p w14:paraId="25265A45" w14:textId="77777777" w:rsidR="003D776F" w:rsidRPr="006E6390" w:rsidRDefault="003D776F" w:rsidP="00873CC3">
      <w:pPr>
        <w:rPr>
          <w:rFonts w:cs="Arial"/>
          <w:lang w:eastAsia="es-MX"/>
        </w:rPr>
      </w:pPr>
    </w:p>
    <w:p w14:paraId="4B61D977" w14:textId="2ADC5080" w:rsidR="00873CC3" w:rsidRDefault="00873CC3" w:rsidP="004F0AF4">
      <w:pPr>
        <w:spacing w:after="0"/>
        <w:rPr>
          <w:rFonts w:cs="Arial"/>
          <w:lang w:eastAsia="es-MX"/>
        </w:rPr>
      </w:pPr>
      <w:r w:rsidRPr="006E6390">
        <w:rPr>
          <w:rFonts w:cs="Arial"/>
          <w:lang w:eastAsia="es-MX"/>
        </w:rPr>
        <w:t>Por su naturaleza, RECOPE opera en una industria altamente intensiva en activo fijo, por lo que la Administración debe mantener una perspectiva de largo plazo, en relación con el nivel de activos fijos e inversiones realizadas, a efectos de que éstos sean acordes a las necesidades de energía, actuales y futuras del país.</w:t>
      </w:r>
    </w:p>
    <w:p w14:paraId="61090E86" w14:textId="77777777" w:rsidR="00694138" w:rsidRPr="006E6390" w:rsidRDefault="00694138" w:rsidP="004F0AF4">
      <w:pPr>
        <w:spacing w:after="0"/>
        <w:rPr>
          <w:rFonts w:cs="Arial"/>
          <w:lang w:eastAsia="es-MX"/>
        </w:rPr>
      </w:pPr>
    </w:p>
    <w:p w14:paraId="03E08041" w14:textId="4CCD7DB2" w:rsidR="00873CC3" w:rsidRDefault="00873CC3" w:rsidP="004F0AF4">
      <w:pPr>
        <w:spacing w:after="0"/>
        <w:rPr>
          <w:rFonts w:cs="Arial"/>
        </w:rPr>
      </w:pPr>
      <w:r w:rsidRPr="006E6390">
        <w:rPr>
          <w:rFonts w:cs="Arial"/>
          <w:lang w:eastAsia="es-MX"/>
        </w:rPr>
        <w:t xml:space="preserve">Este indicador tiende a presentar una mayor variabilidad en el tiempo, por el comportamiento de los ingresos por ventas de la empresa, debido a la variación del precio de venta local, que se encuentra indexado al precio internacional. </w:t>
      </w:r>
      <w:r w:rsidR="008B1E26" w:rsidRPr="006E6390">
        <w:rPr>
          <w:rFonts w:cs="Arial"/>
          <w:lang w:eastAsia="es-MX"/>
        </w:rPr>
        <w:t xml:space="preserve"> </w:t>
      </w:r>
      <w:r w:rsidRPr="00AC0BB7">
        <w:rPr>
          <w:rFonts w:cs="Arial"/>
          <w:lang w:eastAsia="es-MX"/>
        </w:rPr>
        <w:t xml:space="preserve">En la sección </w:t>
      </w:r>
      <w:r w:rsidRPr="00AC0BB7">
        <w:rPr>
          <w:rFonts w:cs="Arial"/>
        </w:rPr>
        <w:t xml:space="preserve">2.3.1.1., se explicaron los principales eventos que marcaron la tendencia en los precios internacionales y que afectaron el valor del inventario. </w:t>
      </w:r>
      <w:r w:rsidR="006E6A0F" w:rsidRPr="00AC0BB7">
        <w:rPr>
          <w:rFonts w:cs="Arial"/>
        </w:rPr>
        <w:t xml:space="preserve"> </w:t>
      </w:r>
      <w:r w:rsidRPr="00AC0BB7">
        <w:rPr>
          <w:rFonts w:cs="Arial"/>
        </w:rPr>
        <w:t>Esos mismos eventos incidieron en los ingresos totales.</w:t>
      </w:r>
    </w:p>
    <w:p w14:paraId="025BE8EA" w14:textId="77777777" w:rsidR="00694138" w:rsidRPr="00AC0BB7" w:rsidRDefault="00694138" w:rsidP="004F0AF4">
      <w:pPr>
        <w:spacing w:after="0"/>
        <w:rPr>
          <w:rFonts w:cs="Arial"/>
        </w:rPr>
      </w:pPr>
    </w:p>
    <w:p w14:paraId="56A4DECE" w14:textId="32BE4EE5" w:rsidR="00873CC3" w:rsidRDefault="00C67D43" w:rsidP="004F0AF4">
      <w:pPr>
        <w:spacing w:after="0"/>
        <w:rPr>
          <w:rFonts w:cs="Arial"/>
          <w:lang w:eastAsia="es-MX"/>
        </w:rPr>
      </w:pPr>
      <w:r w:rsidRPr="00AC0BB7">
        <w:rPr>
          <w:rFonts w:cs="Arial"/>
          <w:lang w:eastAsia="es-MX"/>
        </w:rPr>
        <w:t>E</w:t>
      </w:r>
      <w:r w:rsidR="00873CC3" w:rsidRPr="00AC0BB7">
        <w:rPr>
          <w:rFonts w:cs="Arial"/>
          <w:lang w:eastAsia="es-MX"/>
        </w:rPr>
        <w:t>l</w:t>
      </w:r>
      <w:r w:rsidR="00895393" w:rsidRPr="00AC0BB7">
        <w:rPr>
          <w:rFonts w:cs="Arial"/>
          <w:lang w:eastAsia="es-MX"/>
        </w:rPr>
        <w:t xml:space="preserve"> </w:t>
      </w:r>
      <w:r w:rsidR="00873CC3" w:rsidRPr="00AC0BB7">
        <w:rPr>
          <w:rFonts w:cs="Arial"/>
          <w:lang w:eastAsia="es-MX"/>
        </w:rPr>
        <w:t xml:space="preserve">volumen </w:t>
      </w:r>
      <w:r w:rsidR="00895393" w:rsidRPr="00AC0BB7">
        <w:rPr>
          <w:rFonts w:cs="Arial"/>
          <w:lang w:eastAsia="es-MX"/>
        </w:rPr>
        <w:t xml:space="preserve">promedio mensual </w:t>
      </w:r>
      <w:r w:rsidR="00873CC3" w:rsidRPr="00AC0BB7">
        <w:rPr>
          <w:rFonts w:cs="Arial"/>
          <w:lang w:eastAsia="es-MX"/>
        </w:rPr>
        <w:t>de ventas</w:t>
      </w:r>
      <w:r w:rsidR="00895393" w:rsidRPr="00AC0BB7">
        <w:rPr>
          <w:rFonts w:cs="Arial"/>
          <w:lang w:eastAsia="es-MX"/>
        </w:rPr>
        <w:t xml:space="preserve"> en el año </w:t>
      </w:r>
      <w:r w:rsidR="00927BB1" w:rsidRPr="00AC0BB7">
        <w:rPr>
          <w:rFonts w:cs="Arial"/>
          <w:lang w:eastAsia="es-MX"/>
        </w:rPr>
        <w:t>20</w:t>
      </w:r>
      <w:r w:rsidR="00927BB1">
        <w:rPr>
          <w:rFonts w:cs="Arial"/>
          <w:lang w:eastAsia="es-MX"/>
        </w:rPr>
        <w:t>20</w:t>
      </w:r>
      <w:r w:rsidR="00927BB1" w:rsidRPr="00AC0BB7">
        <w:rPr>
          <w:rFonts w:cs="Arial"/>
          <w:lang w:eastAsia="es-MX"/>
        </w:rPr>
        <w:t xml:space="preserve"> </w:t>
      </w:r>
      <w:r w:rsidR="00895393" w:rsidRPr="00AC0BB7">
        <w:rPr>
          <w:rFonts w:cs="Arial"/>
          <w:lang w:eastAsia="es-MX"/>
        </w:rPr>
        <w:t>fue</w:t>
      </w:r>
      <w:r w:rsidR="00895393" w:rsidRPr="006E6390">
        <w:rPr>
          <w:rFonts w:cs="Arial"/>
          <w:lang w:eastAsia="es-MX"/>
        </w:rPr>
        <w:t xml:space="preserve"> de</w:t>
      </w:r>
      <w:r w:rsidR="00873CC3" w:rsidRPr="006E6390">
        <w:rPr>
          <w:rFonts w:cs="Arial"/>
          <w:lang w:eastAsia="es-MX"/>
        </w:rPr>
        <w:t xml:space="preserve"> </w:t>
      </w:r>
      <w:r w:rsidR="00927BB1" w:rsidRPr="006E6390">
        <w:rPr>
          <w:rFonts w:cs="Arial"/>
          <w:lang w:eastAsia="es-MX"/>
        </w:rPr>
        <w:t>233</w:t>
      </w:r>
      <w:r w:rsidR="00927BB1">
        <w:rPr>
          <w:rFonts w:cs="Arial"/>
          <w:lang w:eastAsia="es-MX"/>
        </w:rPr>
        <w:t> </w:t>
      </w:r>
      <w:r w:rsidR="00927BB1" w:rsidRPr="006E6390">
        <w:rPr>
          <w:rFonts w:cs="Arial"/>
          <w:lang w:eastAsia="es-MX"/>
        </w:rPr>
        <w:t>608</w:t>
      </w:r>
      <w:r w:rsidR="00927BB1">
        <w:rPr>
          <w:rFonts w:cs="Arial"/>
          <w:lang w:eastAsia="es-MX"/>
        </w:rPr>
        <w:t xml:space="preserve"> </w:t>
      </w:r>
      <w:r w:rsidR="00873CC3" w:rsidRPr="006E6390">
        <w:rPr>
          <w:rFonts w:cs="Arial"/>
          <w:lang w:eastAsia="es-MX"/>
        </w:rPr>
        <w:t>m³</w:t>
      </w:r>
      <w:r w:rsidR="00895393" w:rsidRPr="006E6390">
        <w:rPr>
          <w:rFonts w:cs="Arial"/>
          <w:lang w:eastAsia="es-MX"/>
        </w:rPr>
        <w:t>,</w:t>
      </w:r>
      <w:r w:rsidR="0020151A" w:rsidRPr="006E6390">
        <w:rPr>
          <w:rFonts w:cs="Arial"/>
          <w:lang w:eastAsia="es-MX"/>
        </w:rPr>
        <w:t xml:space="preserve"> </w:t>
      </w:r>
      <w:r w:rsidR="007902E8">
        <w:rPr>
          <w:rFonts w:cs="Arial"/>
          <w:lang w:eastAsia="es-MX"/>
        </w:rPr>
        <w:t xml:space="preserve">dado que </w:t>
      </w:r>
      <w:r w:rsidR="0020151A" w:rsidRPr="006E6390">
        <w:rPr>
          <w:rFonts w:cs="Arial"/>
          <w:lang w:eastAsia="es-MX"/>
        </w:rPr>
        <w:t xml:space="preserve">los efectos de la pandemia </w:t>
      </w:r>
      <w:r w:rsidR="007902E8">
        <w:rPr>
          <w:rFonts w:cs="Arial"/>
          <w:lang w:eastAsia="es-MX"/>
        </w:rPr>
        <w:t>fueron</w:t>
      </w:r>
      <w:r w:rsidR="0020151A" w:rsidRPr="006E6390">
        <w:rPr>
          <w:rFonts w:cs="Arial"/>
          <w:lang w:eastAsia="es-MX"/>
        </w:rPr>
        <w:t xml:space="preserve"> severos con muchos sectores </w:t>
      </w:r>
      <w:r w:rsidR="007902E8">
        <w:rPr>
          <w:rFonts w:cs="Arial"/>
          <w:lang w:eastAsia="es-MX"/>
        </w:rPr>
        <w:t xml:space="preserve">sacrificados </w:t>
      </w:r>
      <w:r w:rsidR="0020151A" w:rsidRPr="006E6390">
        <w:rPr>
          <w:rFonts w:cs="Arial"/>
          <w:lang w:eastAsia="es-MX"/>
        </w:rPr>
        <w:t>como el turismo, el comercio o la construcción</w:t>
      </w:r>
      <w:r w:rsidR="007902E8">
        <w:rPr>
          <w:rFonts w:cs="Arial"/>
          <w:lang w:eastAsia="es-MX"/>
        </w:rPr>
        <w:t xml:space="preserve">. </w:t>
      </w:r>
      <w:r w:rsidR="0020151A" w:rsidRPr="006E6390">
        <w:rPr>
          <w:rFonts w:cs="Arial"/>
          <w:lang w:eastAsia="es-MX"/>
        </w:rPr>
        <w:t xml:space="preserve"> </w:t>
      </w:r>
      <w:r w:rsidR="00767A0C" w:rsidRPr="006E6390">
        <w:rPr>
          <w:rFonts w:cs="Arial"/>
          <w:lang w:eastAsia="es-MX"/>
        </w:rPr>
        <w:t xml:space="preserve">En 2021 el volumen promedio mensual fue de 269 663 m³, un aumento del 13% con respecto al </w:t>
      </w:r>
      <w:r w:rsidR="00767A0C" w:rsidRPr="00AC0BB7">
        <w:rPr>
          <w:rFonts w:cs="Arial"/>
          <w:lang w:eastAsia="es-MX"/>
        </w:rPr>
        <w:t>año 2020 por la reapertura en las actividades económicas del país</w:t>
      </w:r>
      <w:r w:rsidR="00E66919">
        <w:rPr>
          <w:rFonts w:cs="Arial"/>
          <w:lang w:eastAsia="es-MX"/>
        </w:rPr>
        <w:t xml:space="preserve"> que continuó en 2022 bajo un contexto económico más complicado, por lo que el volumen promedio fue de </w:t>
      </w:r>
      <w:r w:rsidR="00594D6A" w:rsidRPr="004F0AF4">
        <w:rPr>
          <w:rFonts w:cs="Arial"/>
          <w:lang w:eastAsia="es-MX"/>
        </w:rPr>
        <w:t>287 396</w:t>
      </w:r>
      <w:r w:rsidR="00E66919" w:rsidRPr="00594D6A">
        <w:rPr>
          <w:rFonts w:cs="Arial"/>
          <w:lang w:eastAsia="es-MX"/>
        </w:rPr>
        <w:t xml:space="preserve"> m³</w:t>
      </w:r>
      <w:r w:rsidR="00594D6A">
        <w:rPr>
          <w:rFonts w:cs="Arial"/>
          <w:lang w:eastAsia="es-MX"/>
        </w:rPr>
        <w:t xml:space="preserve"> (un alza de 6,6%).</w:t>
      </w:r>
    </w:p>
    <w:p w14:paraId="2DA202CD" w14:textId="77777777" w:rsidR="00694138" w:rsidRPr="00AC0BB7" w:rsidRDefault="00694138" w:rsidP="004F0AF4">
      <w:pPr>
        <w:spacing w:after="0"/>
        <w:rPr>
          <w:rFonts w:cs="Arial"/>
        </w:rPr>
      </w:pPr>
    </w:p>
    <w:p w14:paraId="0E047096" w14:textId="781F5E11" w:rsidR="00873CC3" w:rsidRDefault="00873CC3" w:rsidP="004F0AF4">
      <w:pPr>
        <w:spacing w:after="0"/>
        <w:rPr>
          <w:rFonts w:cs="Arial"/>
          <w:lang w:eastAsia="es-MX"/>
        </w:rPr>
      </w:pPr>
      <w:r w:rsidRPr="00AC0BB7">
        <w:rPr>
          <w:rFonts w:cs="Arial"/>
        </w:rPr>
        <w:t>Por su parte, los Activos Fijos Totales Netos se encuentran determinados por dos variables principales: la depreciación y la ejecución de proyectos de inversión.</w:t>
      </w:r>
      <w:r w:rsidRPr="006E6390">
        <w:rPr>
          <w:rFonts w:cs="Arial"/>
        </w:rPr>
        <w:t xml:space="preserve"> </w:t>
      </w:r>
      <w:r w:rsidR="006E6A0F">
        <w:rPr>
          <w:rFonts w:cs="Arial"/>
        </w:rPr>
        <w:t xml:space="preserve"> </w:t>
      </w:r>
      <w:r w:rsidRPr="006E6390">
        <w:rPr>
          <w:rFonts w:cs="Arial"/>
        </w:rPr>
        <w:t>Según se observa, el efecto neto de esta</w:t>
      </w:r>
      <w:r w:rsidR="006B5CEA" w:rsidRPr="006E6390">
        <w:rPr>
          <w:rFonts w:cs="Arial"/>
        </w:rPr>
        <w:t>s</w:t>
      </w:r>
      <w:r w:rsidRPr="006E6390">
        <w:rPr>
          <w:rFonts w:cs="Arial"/>
        </w:rPr>
        <w:t xml:space="preserve"> dos variables ha ocasionado una reducción del activo fijo, lo que significa que la tasa de depreciación es mayor </w:t>
      </w:r>
      <w:r w:rsidR="006B5CEA" w:rsidRPr="006E6390">
        <w:rPr>
          <w:rFonts w:cs="Arial"/>
        </w:rPr>
        <w:t xml:space="preserve">que las </w:t>
      </w:r>
      <w:r w:rsidRPr="006E6390">
        <w:rPr>
          <w:rFonts w:cs="Arial"/>
        </w:rPr>
        <w:t>inversiones en ejecución</w:t>
      </w:r>
      <w:r w:rsidR="00655A6F">
        <w:rPr>
          <w:rFonts w:cs="Arial"/>
        </w:rPr>
        <w:t xml:space="preserve">, situación que se ha visto afectada por la </w:t>
      </w:r>
      <w:r w:rsidR="006F12F0">
        <w:rPr>
          <w:rFonts w:cs="Arial"/>
          <w:lang w:eastAsia="es-MX"/>
        </w:rPr>
        <w:t>Regla Fiscal</w:t>
      </w:r>
    </w:p>
    <w:p w14:paraId="0EFC631F" w14:textId="77777777" w:rsidR="00694138" w:rsidRPr="006E6390" w:rsidRDefault="00694138" w:rsidP="00655A6F">
      <w:pPr>
        <w:spacing w:after="0"/>
        <w:rPr>
          <w:rFonts w:cs="Arial"/>
        </w:rPr>
      </w:pPr>
    </w:p>
    <w:p w14:paraId="5B5FE59C" w14:textId="57A726D4" w:rsidR="0039195A" w:rsidRDefault="00873CC3" w:rsidP="00655A6F">
      <w:pPr>
        <w:spacing w:after="0"/>
        <w:rPr>
          <w:rFonts w:cs="Arial"/>
          <w:lang w:eastAsia="es-MX"/>
        </w:rPr>
      </w:pPr>
      <w:r w:rsidRPr="006E6390">
        <w:rPr>
          <w:rFonts w:cs="Arial"/>
          <w:lang w:eastAsia="es-MX"/>
        </w:rPr>
        <w:t xml:space="preserve">Durante los periodos </w:t>
      </w:r>
      <w:r w:rsidR="0064753F" w:rsidRPr="006E6390">
        <w:rPr>
          <w:rFonts w:cs="Arial"/>
          <w:lang w:eastAsia="es-MX"/>
        </w:rPr>
        <w:t>20</w:t>
      </w:r>
      <w:r w:rsidR="0064753F">
        <w:rPr>
          <w:rFonts w:cs="Arial"/>
          <w:lang w:eastAsia="es-MX"/>
        </w:rPr>
        <w:t>20</w:t>
      </w:r>
      <w:r w:rsidR="005800D0" w:rsidRPr="006E6390">
        <w:rPr>
          <w:rFonts w:cs="Arial"/>
          <w:lang w:eastAsia="es-MX"/>
        </w:rPr>
        <w:t xml:space="preserve">, </w:t>
      </w:r>
      <w:r w:rsidR="0064753F" w:rsidRPr="006E6390">
        <w:rPr>
          <w:rFonts w:cs="Arial"/>
          <w:lang w:eastAsia="es-MX"/>
        </w:rPr>
        <w:t>202</w:t>
      </w:r>
      <w:r w:rsidR="0064753F">
        <w:rPr>
          <w:rFonts w:cs="Arial"/>
          <w:lang w:eastAsia="es-MX"/>
        </w:rPr>
        <w:t>1</w:t>
      </w:r>
      <w:r w:rsidR="0064753F" w:rsidRPr="006E6390">
        <w:rPr>
          <w:rFonts w:cs="Arial"/>
          <w:lang w:eastAsia="es-MX"/>
        </w:rPr>
        <w:t xml:space="preserve"> </w:t>
      </w:r>
      <w:r w:rsidRPr="006E6390">
        <w:rPr>
          <w:rFonts w:cs="Arial"/>
          <w:lang w:eastAsia="es-MX"/>
        </w:rPr>
        <w:t xml:space="preserve">y </w:t>
      </w:r>
      <w:r w:rsidR="0064753F" w:rsidRPr="006E6390">
        <w:rPr>
          <w:rFonts w:cs="Arial"/>
          <w:lang w:eastAsia="es-MX"/>
        </w:rPr>
        <w:t>202</w:t>
      </w:r>
      <w:r w:rsidR="0064753F">
        <w:rPr>
          <w:rFonts w:cs="Arial"/>
          <w:lang w:eastAsia="es-MX"/>
        </w:rPr>
        <w:t>2</w:t>
      </w:r>
      <w:r w:rsidRPr="006E6390">
        <w:rPr>
          <w:rFonts w:cs="Arial"/>
          <w:lang w:eastAsia="es-MX"/>
        </w:rPr>
        <w:t xml:space="preserve">, la depreciación anual fue de </w:t>
      </w:r>
      <w:r w:rsidR="0064753F" w:rsidRPr="006E6390">
        <w:rPr>
          <w:rFonts w:cs="Arial"/>
          <w:lang w:eastAsia="es-MX"/>
        </w:rPr>
        <w:t>₡28 231 millones</w:t>
      </w:r>
      <w:r w:rsidR="005800D0" w:rsidRPr="006E6390">
        <w:rPr>
          <w:rFonts w:cs="Arial"/>
          <w:lang w:eastAsia="es-MX"/>
        </w:rPr>
        <w:t>,</w:t>
      </w:r>
      <w:r w:rsidRPr="006E6390">
        <w:rPr>
          <w:rFonts w:cs="Arial"/>
          <w:lang w:eastAsia="es-MX"/>
        </w:rPr>
        <w:t xml:space="preserve"> </w:t>
      </w:r>
      <w:r w:rsidR="0064753F" w:rsidRPr="006E6390">
        <w:rPr>
          <w:rFonts w:cs="Arial"/>
          <w:lang w:eastAsia="es-MX"/>
        </w:rPr>
        <w:t>₡30 625 millones</w:t>
      </w:r>
      <w:r w:rsidR="0064753F" w:rsidRPr="006E6390" w:rsidDel="0064753F">
        <w:rPr>
          <w:rFonts w:cs="Arial"/>
          <w:lang w:eastAsia="es-MX"/>
        </w:rPr>
        <w:t xml:space="preserve"> </w:t>
      </w:r>
      <w:r w:rsidR="005800D0" w:rsidRPr="006E6390">
        <w:rPr>
          <w:rFonts w:cs="Arial"/>
          <w:lang w:eastAsia="es-MX"/>
        </w:rPr>
        <w:t>y ₡</w:t>
      </w:r>
      <w:r w:rsidR="00CE6248">
        <w:rPr>
          <w:rFonts w:cs="Arial"/>
          <w:lang w:eastAsia="es-MX"/>
        </w:rPr>
        <w:t>30 875</w:t>
      </w:r>
      <w:r w:rsidR="005800D0" w:rsidRPr="006E6390">
        <w:rPr>
          <w:rFonts w:cs="Arial"/>
          <w:lang w:eastAsia="es-MX"/>
        </w:rPr>
        <w:t xml:space="preserve"> millones</w:t>
      </w:r>
      <w:r w:rsidRPr="006E6390">
        <w:rPr>
          <w:rFonts w:cs="Arial"/>
          <w:lang w:eastAsia="es-MX"/>
        </w:rPr>
        <w:t>, respectivamente.</w:t>
      </w:r>
      <w:r w:rsidR="0057243F" w:rsidRPr="006E6390">
        <w:rPr>
          <w:rFonts w:cs="Arial"/>
          <w:lang w:eastAsia="es-MX"/>
        </w:rPr>
        <w:t xml:space="preserve"> </w:t>
      </w:r>
      <w:r w:rsidR="006E6A0F">
        <w:rPr>
          <w:rFonts w:cs="Arial"/>
          <w:lang w:eastAsia="es-MX"/>
        </w:rPr>
        <w:t xml:space="preserve"> </w:t>
      </w:r>
      <w:r w:rsidR="00132EE3">
        <w:rPr>
          <w:rFonts w:cs="Arial"/>
          <w:lang w:eastAsia="es-MX"/>
        </w:rPr>
        <w:t>En</w:t>
      </w:r>
      <w:r w:rsidR="0057243F" w:rsidRPr="006E6390">
        <w:rPr>
          <w:rFonts w:cs="Arial"/>
          <w:lang w:eastAsia="es-MX"/>
        </w:rPr>
        <w:t xml:space="preserve"> 2021 </w:t>
      </w:r>
      <w:r w:rsidR="0039195A" w:rsidRPr="006E6390">
        <w:rPr>
          <w:rFonts w:cs="Arial"/>
          <w:lang w:eastAsia="es-MX"/>
        </w:rPr>
        <w:t>de activos de acuerdo con las NIIF se realizó el avalúo para los Activos Fijos, este incluyó la realización del inventario físico de acuerdo con la desagregación de activos y con el nivel de detalle que permitió una adecuada conciliación entre la dimensión física y la dimensión contable, además se efectuó la conciliación contable del resultado del inventario físico.</w:t>
      </w:r>
    </w:p>
    <w:p w14:paraId="1A0DE3AD" w14:textId="77777777" w:rsidR="00D360E8" w:rsidRPr="006E6390" w:rsidRDefault="00D360E8" w:rsidP="00655A6F">
      <w:pPr>
        <w:spacing w:after="0"/>
        <w:rPr>
          <w:rFonts w:cs="Arial"/>
          <w:lang w:eastAsia="es-MX"/>
        </w:rPr>
      </w:pPr>
    </w:p>
    <w:p w14:paraId="08F87794" w14:textId="62992F3E" w:rsidR="0076644D" w:rsidRDefault="0039195A" w:rsidP="00655A6F">
      <w:pPr>
        <w:spacing w:after="0"/>
        <w:rPr>
          <w:rFonts w:cs="Arial"/>
          <w:lang w:eastAsia="es-MX"/>
        </w:rPr>
      </w:pPr>
      <w:r w:rsidRPr="006E6390">
        <w:rPr>
          <w:rFonts w:cs="Arial"/>
          <w:lang w:eastAsia="es-MX"/>
        </w:rPr>
        <w:lastRenderedPageBreak/>
        <w:t xml:space="preserve">Las valoraciones de RECOPE se enfocaron en un análisis macro de costos de inversión para la diversidad de equipos de acuerdo con su tecnología, capacidad y características técnicas. </w:t>
      </w:r>
      <w:r w:rsidR="006E6A0F">
        <w:rPr>
          <w:rFonts w:cs="Arial"/>
          <w:lang w:eastAsia="es-MX"/>
        </w:rPr>
        <w:t xml:space="preserve"> </w:t>
      </w:r>
      <w:r w:rsidRPr="006E6390">
        <w:rPr>
          <w:rFonts w:cs="Arial"/>
          <w:lang w:eastAsia="es-MX"/>
        </w:rPr>
        <w:t xml:space="preserve">Se analizó además la información de contratos de construcción recientes de </w:t>
      </w:r>
      <w:r w:rsidR="00230251">
        <w:rPr>
          <w:rFonts w:cs="Arial"/>
          <w:lang w:eastAsia="es-MX"/>
        </w:rPr>
        <w:t>terminal</w:t>
      </w:r>
      <w:r w:rsidRPr="006E6390">
        <w:rPr>
          <w:rFonts w:cs="Arial"/>
          <w:lang w:eastAsia="es-MX"/>
        </w:rPr>
        <w:t xml:space="preserve">es, tanques de almacenamiento, esferas de GLP, cargaderos de camiones, así como información de presupuestos, cotizaciones y facturas de proyectos de inversión realizados con anterioridad y el avalúo fue realizado por el contratista </w:t>
      </w:r>
      <w:r w:rsidRPr="00230251">
        <w:rPr>
          <w:rFonts w:cs="Arial"/>
          <w:i/>
          <w:iCs/>
          <w:lang w:eastAsia="es-MX"/>
        </w:rPr>
        <w:t>Pricewaterhouse &amp; Coopers</w:t>
      </w:r>
      <w:r w:rsidRPr="006E6390">
        <w:rPr>
          <w:rFonts w:cs="Arial"/>
          <w:lang w:eastAsia="es-MX"/>
        </w:rPr>
        <w:t xml:space="preserve"> (PwC).</w:t>
      </w:r>
    </w:p>
    <w:p w14:paraId="29B65350" w14:textId="77777777" w:rsidR="00D360E8" w:rsidRPr="006E6390" w:rsidRDefault="00D360E8" w:rsidP="005B64AF">
      <w:pPr>
        <w:spacing w:after="0"/>
        <w:rPr>
          <w:rFonts w:cs="Arial"/>
          <w:lang w:eastAsia="es-MX"/>
        </w:rPr>
      </w:pPr>
    </w:p>
    <w:p w14:paraId="3F101D71" w14:textId="364F2095" w:rsidR="00D174E9" w:rsidRDefault="0076644D" w:rsidP="00655A6F">
      <w:pPr>
        <w:spacing w:after="0"/>
        <w:rPr>
          <w:rFonts w:cs="Arial"/>
          <w:lang w:eastAsia="es-MX"/>
        </w:rPr>
      </w:pPr>
      <w:r w:rsidRPr="00AC0BB7">
        <w:rPr>
          <w:rFonts w:cs="Arial"/>
          <w:lang w:eastAsia="es-MX"/>
        </w:rPr>
        <w:t>Las</w:t>
      </w:r>
      <w:r w:rsidR="00873CC3" w:rsidRPr="00AC0BB7">
        <w:rPr>
          <w:rFonts w:cs="Arial"/>
          <w:lang w:eastAsia="es-MX"/>
        </w:rPr>
        <w:t xml:space="preserve"> capitalizaciones </w:t>
      </w:r>
      <w:r w:rsidR="00D174E9" w:rsidRPr="00AC0BB7">
        <w:rPr>
          <w:rFonts w:cs="Arial"/>
          <w:lang w:eastAsia="es-MX"/>
        </w:rPr>
        <w:t xml:space="preserve">de obras </w:t>
      </w:r>
      <w:r w:rsidR="00873CC3" w:rsidRPr="00AC0BB7">
        <w:rPr>
          <w:rFonts w:cs="Arial"/>
          <w:lang w:eastAsia="es-MX"/>
        </w:rPr>
        <w:t xml:space="preserve">fueron de </w:t>
      </w:r>
      <w:r w:rsidR="002F7254" w:rsidRPr="00AC0BB7">
        <w:rPr>
          <w:rFonts w:cs="Arial"/>
          <w:lang w:eastAsia="es-MX"/>
        </w:rPr>
        <w:t>₡69 595,8 millones</w:t>
      </w:r>
      <w:r w:rsidR="00597963" w:rsidRPr="00AC0BB7">
        <w:rPr>
          <w:rFonts w:cs="Arial"/>
          <w:lang w:eastAsia="es-MX"/>
        </w:rPr>
        <w:t>,</w:t>
      </w:r>
      <w:r w:rsidR="00873CC3" w:rsidRPr="00AC0BB7">
        <w:rPr>
          <w:rFonts w:cs="Arial"/>
          <w:lang w:eastAsia="es-MX"/>
        </w:rPr>
        <w:t xml:space="preserve"> </w:t>
      </w:r>
      <w:r w:rsidR="002F7254" w:rsidRPr="00AC0BB7">
        <w:rPr>
          <w:rFonts w:cs="Arial"/>
          <w:lang w:eastAsia="es-MX"/>
        </w:rPr>
        <w:t xml:space="preserve">₡561,3 </w:t>
      </w:r>
      <w:r w:rsidR="002F7254" w:rsidRPr="003664F6">
        <w:rPr>
          <w:rFonts w:cs="Arial"/>
          <w:lang w:eastAsia="es-MX"/>
        </w:rPr>
        <w:t>millones</w:t>
      </w:r>
      <w:r w:rsidR="00597963" w:rsidRPr="003664F6">
        <w:rPr>
          <w:rFonts w:cs="Arial"/>
          <w:lang w:eastAsia="es-MX"/>
        </w:rPr>
        <w:t xml:space="preserve"> y ₡</w:t>
      </w:r>
      <w:r w:rsidR="003664F6" w:rsidRPr="005B64AF">
        <w:rPr>
          <w:rFonts w:cs="Arial"/>
          <w:lang w:eastAsia="es-MX"/>
        </w:rPr>
        <w:t>21 339</w:t>
      </w:r>
      <w:r w:rsidR="00597963" w:rsidRPr="003664F6">
        <w:rPr>
          <w:rFonts w:cs="Arial"/>
          <w:lang w:eastAsia="es-MX"/>
        </w:rPr>
        <w:t xml:space="preserve"> millones</w:t>
      </w:r>
      <w:r w:rsidR="00D174E9" w:rsidRPr="003664F6">
        <w:rPr>
          <w:rFonts w:cs="Arial"/>
          <w:lang w:eastAsia="es-MX"/>
        </w:rPr>
        <w:t xml:space="preserve">, en </w:t>
      </w:r>
      <w:r w:rsidR="002F7254" w:rsidRPr="003664F6">
        <w:rPr>
          <w:rFonts w:cs="Arial"/>
          <w:lang w:eastAsia="es-MX"/>
        </w:rPr>
        <w:t>2020</w:t>
      </w:r>
      <w:r w:rsidR="005800D0" w:rsidRPr="003664F6">
        <w:rPr>
          <w:rFonts w:cs="Arial"/>
          <w:lang w:eastAsia="es-MX"/>
        </w:rPr>
        <w:t>,</w:t>
      </w:r>
      <w:r w:rsidR="00D174E9" w:rsidRPr="003664F6">
        <w:rPr>
          <w:rFonts w:cs="Arial"/>
          <w:lang w:eastAsia="es-MX"/>
        </w:rPr>
        <w:t xml:space="preserve"> </w:t>
      </w:r>
      <w:r w:rsidR="002F7254" w:rsidRPr="003664F6">
        <w:rPr>
          <w:rFonts w:cs="Arial"/>
          <w:lang w:eastAsia="es-MX"/>
        </w:rPr>
        <w:t xml:space="preserve">2021 </w:t>
      </w:r>
      <w:r w:rsidR="005800D0" w:rsidRPr="003664F6">
        <w:rPr>
          <w:rFonts w:cs="Arial"/>
          <w:lang w:eastAsia="es-MX"/>
        </w:rPr>
        <w:t xml:space="preserve">y </w:t>
      </w:r>
      <w:r w:rsidR="002F7254" w:rsidRPr="003664F6">
        <w:rPr>
          <w:rFonts w:cs="Arial"/>
          <w:lang w:eastAsia="es-MX"/>
        </w:rPr>
        <w:t>2022</w:t>
      </w:r>
      <w:r w:rsidR="00D174E9" w:rsidRPr="003664F6">
        <w:rPr>
          <w:rFonts w:cs="Arial"/>
          <w:lang w:eastAsia="es-MX"/>
        </w:rPr>
        <w:t>, respectivamente.  A</w:t>
      </w:r>
      <w:r w:rsidR="00060353" w:rsidRPr="003664F6">
        <w:rPr>
          <w:rFonts w:cs="Arial"/>
          <w:lang w:eastAsia="es-MX"/>
        </w:rPr>
        <w:t>dicional</w:t>
      </w:r>
      <w:r w:rsidR="00655A6F">
        <w:rPr>
          <w:rFonts w:cs="Arial"/>
          <w:lang w:eastAsia="es-MX"/>
        </w:rPr>
        <w:t>mente</w:t>
      </w:r>
      <w:r w:rsidR="00D174E9" w:rsidRPr="003664F6">
        <w:rPr>
          <w:rFonts w:cs="Arial"/>
          <w:lang w:eastAsia="es-MX"/>
        </w:rPr>
        <w:t>, se hicieron</w:t>
      </w:r>
      <w:r w:rsidR="00682C95" w:rsidRPr="003664F6">
        <w:rPr>
          <w:rFonts w:cs="Arial"/>
          <w:lang w:eastAsia="es-MX"/>
        </w:rPr>
        <w:t xml:space="preserve"> en el año 2020</w:t>
      </w:r>
      <w:r w:rsidR="00D174E9" w:rsidRPr="006E6390">
        <w:rPr>
          <w:rFonts w:cs="Arial"/>
          <w:lang w:eastAsia="es-MX"/>
        </w:rPr>
        <w:t xml:space="preserve"> traslados de activos incorporados por ₡689</w:t>
      </w:r>
      <w:r w:rsidR="004442A5" w:rsidRPr="006E6390">
        <w:rPr>
          <w:rFonts w:cs="Arial"/>
          <w:lang w:eastAsia="es-MX"/>
        </w:rPr>
        <w:t>,0</w:t>
      </w:r>
      <w:r w:rsidR="00D174E9" w:rsidRPr="006E6390">
        <w:rPr>
          <w:rFonts w:cs="Arial"/>
          <w:lang w:eastAsia="es-MX"/>
        </w:rPr>
        <w:t xml:space="preserve"> millones</w:t>
      </w:r>
      <w:r w:rsidR="00060353" w:rsidRPr="006E6390">
        <w:rPr>
          <w:rFonts w:cs="Arial"/>
          <w:lang w:eastAsia="es-MX"/>
        </w:rPr>
        <w:t>,</w:t>
      </w:r>
      <w:r w:rsidR="00682C95" w:rsidRPr="006E6390">
        <w:rPr>
          <w:rFonts w:cs="Arial"/>
          <w:lang w:eastAsia="es-MX"/>
        </w:rPr>
        <w:t xml:space="preserve"> e</w:t>
      </w:r>
      <w:r w:rsidR="00060353" w:rsidRPr="006E6390">
        <w:rPr>
          <w:rFonts w:cs="Arial"/>
          <w:lang w:eastAsia="es-MX"/>
        </w:rPr>
        <w:t xml:space="preserve">n el año 2021 por ₡10 027,8 </w:t>
      </w:r>
      <w:r w:rsidR="00EF494B" w:rsidRPr="006E6390">
        <w:rPr>
          <w:rFonts w:cs="Arial"/>
          <w:lang w:eastAsia="es-MX"/>
        </w:rPr>
        <w:t xml:space="preserve">millones, </w:t>
      </w:r>
      <w:r w:rsidR="004C417F">
        <w:rPr>
          <w:rFonts w:cs="Arial"/>
          <w:lang w:eastAsia="es-MX"/>
        </w:rPr>
        <w:t xml:space="preserve">así como </w:t>
      </w:r>
      <w:r w:rsidR="004442A5" w:rsidRPr="006E6390">
        <w:rPr>
          <w:rFonts w:cs="Arial"/>
          <w:lang w:eastAsia="es-MX"/>
        </w:rPr>
        <w:t>₡</w:t>
      </w:r>
      <w:r w:rsidR="003664F6">
        <w:rPr>
          <w:rFonts w:cs="Arial"/>
          <w:lang w:eastAsia="es-MX"/>
        </w:rPr>
        <w:t>882,1</w:t>
      </w:r>
      <w:r w:rsidR="004442A5" w:rsidRPr="006E6390">
        <w:rPr>
          <w:rFonts w:cs="Arial"/>
          <w:lang w:eastAsia="es-MX"/>
        </w:rPr>
        <w:t xml:space="preserve"> millones en </w:t>
      </w:r>
      <w:r w:rsidR="004C417F" w:rsidRPr="006E6390">
        <w:rPr>
          <w:rFonts w:cs="Arial"/>
          <w:lang w:eastAsia="es-MX"/>
        </w:rPr>
        <w:t>202</w:t>
      </w:r>
      <w:r w:rsidR="004C417F">
        <w:rPr>
          <w:rFonts w:cs="Arial"/>
          <w:lang w:eastAsia="es-MX"/>
        </w:rPr>
        <w:t>2</w:t>
      </w:r>
      <w:r w:rsidR="004442A5" w:rsidRPr="006E6390">
        <w:rPr>
          <w:rFonts w:cs="Arial"/>
          <w:lang w:eastAsia="es-MX"/>
        </w:rPr>
        <w:t>.</w:t>
      </w:r>
    </w:p>
    <w:p w14:paraId="6A37236F" w14:textId="77777777" w:rsidR="00D360E8" w:rsidRPr="006E6390" w:rsidRDefault="00D360E8" w:rsidP="005B64AF">
      <w:pPr>
        <w:spacing w:after="0"/>
        <w:rPr>
          <w:rFonts w:cs="Arial"/>
          <w:lang w:eastAsia="es-MX"/>
        </w:rPr>
      </w:pPr>
    </w:p>
    <w:p w14:paraId="68464620" w14:textId="4B9DFD9D" w:rsidR="00873CC3" w:rsidRDefault="00DB0B92" w:rsidP="005B64AF">
      <w:pPr>
        <w:spacing w:after="0"/>
        <w:rPr>
          <w:rFonts w:cs="Arial"/>
          <w:lang w:eastAsia="es-MX"/>
        </w:rPr>
      </w:pPr>
      <w:r w:rsidRPr="006E6390">
        <w:rPr>
          <w:rFonts w:cs="Arial"/>
          <w:lang w:eastAsia="es-MX"/>
        </w:rPr>
        <w:t>El aumento</w:t>
      </w:r>
      <w:r w:rsidR="00873CC3" w:rsidRPr="006E6390">
        <w:rPr>
          <w:rFonts w:cs="Arial"/>
          <w:lang w:eastAsia="es-MX"/>
        </w:rPr>
        <w:t xml:space="preserve"> de los ingresos en </w:t>
      </w:r>
      <w:r w:rsidR="004C417F" w:rsidRPr="006E6390">
        <w:rPr>
          <w:rFonts w:cs="Arial"/>
          <w:lang w:eastAsia="es-MX"/>
        </w:rPr>
        <w:t>202</w:t>
      </w:r>
      <w:r w:rsidR="004C417F">
        <w:rPr>
          <w:rFonts w:cs="Arial"/>
          <w:lang w:eastAsia="es-MX"/>
        </w:rPr>
        <w:t>2</w:t>
      </w:r>
      <w:r w:rsidR="00873CC3" w:rsidRPr="006E6390">
        <w:rPr>
          <w:rFonts w:cs="Arial"/>
          <w:lang w:eastAsia="es-MX"/>
        </w:rPr>
        <w:t xml:space="preserve">, por las razones explicadas, condujo a un </w:t>
      </w:r>
      <w:r w:rsidRPr="006E6390">
        <w:rPr>
          <w:rFonts w:cs="Arial"/>
          <w:lang w:eastAsia="es-MX"/>
        </w:rPr>
        <w:t>aumento</w:t>
      </w:r>
      <w:r w:rsidR="00E4747D" w:rsidRPr="006E6390">
        <w:rPr>
          <w:rFonts w:cs="Arial"/>
          <w:lang w:eastAsia="es-MX"/>
        </w:rPr>
        <w:t xml:space="preserve"> </w:t>
      </w:r>
      <w:r w:rsidR="00873CC3" w:rsidRPr="006E6390">
        <w:rPr>
          <w:rFonts w:cs="Arial"/>
          <w:lang w:eastAsia="es-MX"/>
        </w:rPr>
        <w:t>en la rotación de activos</w:t>
      </w:r>
      <w:r w:rsidR="00E4747D" w:rsidRPr="006E6390">
        <w:rPr>
          <w:rFonts w:cs="Arial"/>
          <w:lang w:eastAsia="es-MX"/>
        </w:rPr>
        <w:t xml:space="preserve"> fijos</w:t>
      </w:r>
      <w:r w:rsidR="00873CC3" w:rsidRPr="006E6390">
        <w:rPr>
          <w:rFonts w:cs="Arial"/>
          <w:lang w:eastAsia="es-MX"/>
        </w:rPr>
        <w:t>.</w:t>
      </w:r>
    </w:p>
    <w:p w14:paraId="35C7254F" w14:textId="77777777" w:rsidR="00D360E8" w:rsidRPr="006E6390" w:rsidRDefault="00D360E8" w:rsidP="00873CC3">
      <w:pPr>
        <w:rPr>
          <w:rFonts w:cs="Arial"/>
          <w:lang w:eastAsia="es-MX"/>
        </w:rPr>
      </w:pPr>
    </w:p>
    <w:p w14:paraId="6AFD1DCD" w14:textId="77777777" w:rsidR="00873CC3" w:rsidRPr="006E6390" w:rsidRDefault="00873CC3" w:rsidP="00873CC3">
      <w:pPr>
        <w:pStyle w:val="Ttulo4"/>
        <w:rPr>
          <w:rFonts w:cs="Arial"/>
        </w:rPr>
      </w:pPr>
      <w:r w:rsidRPr="006E6390">
        <w:rPr>
          <w:rFonts w:cs="Arial"/>
        </w:rPr>
        <w:t>2.3.3.4. Período medio de cobro y medio de pago (días)</w:t>
      </w:r>
    </w:p>
    <w:p w14:paraId="0B6D3C0F" w14:textId="6CB4FF46" w:rsidR="00873CC3" w:rsidRDefault="00873CC3" w:rsidP="005B64AF">
      <w:pPr>
        <w:spacing w:after="0"/>
        <w:rPr>
          <w:rFonts w:cs="Arial"/>
          <w:lang w:eastAsia="es-MX"/>
        </w:rPr>
      </w:pPr>
      <w:r w:rsidRPr="006E6390">
        <w:rPr>
          <w:rFonts w:cs="Arial"/>
          <w:lang w:eastAsia="es-MX"/>
        </w:rPr>
        <w:t>El periodo medio de cobro se calcula dividiendo las Cuentas por Cobrar (comerciales netas) entre las Ventas Netas y se multiplica por 360.  El resultado obtenido representa el número de días de ventas invertidos en cuentas por cobrar, o en su defecto el plazo promedio de recuperación de las cuentas por cobrar.</w:t>
      </w:r>
    </w:p>
    <w:p w14:paraId="76B20FFF" w14:textId="77777777" w:rsidR="00D360E8" w:rsidRPr="006E6390" w:rsidRDefault="00D360E8" w:rsidP="00873CC3">
      <w:pPr>
        <w:rPr>
          <w:rFonts w:cs="Arial"/>
          <w:lang w:eastAsia="es-MX"/>
        </w:rPr>
      </w:pPr>
    </w:p>
    <w:p w14:paraId="78A5C537" w14:textId="77777777" w:rsidR="00873CC3" w:rsidRPr="006E6390" w:rsidRDefault="00873CC3" w:rsidP="00873CC3">
      <w:pPr>
        <w:pStyle w:val="Ttuloscuadros"/>
        <w:tabs>
          <w:tab w:val="left" w:pos="9270"/>
        </w:tabs>
        <w:spacing w:after="120"/>
        <w:rPr>
          <w:rFonts w:cs="Arial"/>
        </w:rPr>
      </w:pPr>
      <w:r w:rsidRPr="006E6390">
        <w:rPr>
          <w:rFonts w:cs="Arial"/>
        </w:rPr>
        <w:t>Cuadro N°</w:t>
      </w:r>
      <w:r w:rsidR="00440522" w:rsidRPr="006E6390">
        <w:rPr>
          <w:rFonts w:cs="Arial"/>
        </w:rPr>
        <w:t>1</w:t>
      </w:r>
      <w:r w:rsidR="005F1F5A" w:rsidRPr="006E6390">
        <w:rPr>
          <w:rFonts w:cs="Arial"/>
        </w:rPr>
        <w:t>2</w:t>
      </w:r>
      <w:r w:rsidR="00230251">
        <w:rPr>
          <w:rFonts w:cs="Arial"/>
        </w:rPr>
        <w:t xml:space="preserve"> Período medio de cobro</w:t>
      </w:r>
    </w:p>
    <w:tbl>
      <w:tblPr>
        <w:tblStyle w:val="Tablanormal1"/>
        <w:tblW w:w="5000" w:type="pct"/>
        <w:jc w:val="center"/>
        <w:tblLook w:val="04A0" w:firstRow="1" w:lastRow="0" w:firstColumn="1" w:lastColumn="0" w:noHBand="0" w:noVBand="1"/>
      </w:tblPr>
      <w:tblGrid>
        <w:gridCol w:w="3681"/>
        <w:gridCol w:w="1370"/>
        <w:gridCol w:w="1959"/>
        <w:gridCol w:w="1959"/>
      </w:tblGrid>
      <w:tr w:rsidR="0019050A" w:rsidRPr="006E6390" w14:paraId="014056F7" w14:textId="77777777" w:rsidTr="005B64A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52" w:type="pct"/>
            <w:vAlign w:val="center"/>
            <w:hideMark/>
          </w:tcPr>
          <w:p w14:paraId="0A8BD0E9" w14:textId="79657459" w:rsidR="0019050A" w:rsidRPr="006E6390" w:rsidRDefault="0019050A" w:rsidP="0019050A">
            <w:pPr>
              <w:pStyle w:val="Tablas"/>
              <w:tabs>
                <w:tab w:val="left" w:pos="9270"/>
              </w:tabs>
              <w:rPr>
                <w:rFonts w:cs="Arial"/>
                <w:b w:val="0"/>
                <w:sz w:val="20"/>
                <w:szCs w:val="20"/>
              </w:rPr>
            </w:pPr>
            <w:r>
              <w:rPr>
                <w:rFonts w:cs="Arial"/>
                <w:color w:val="000000"/>
                <w:sz w:val="20"/>
                <w:szCs w:val="20"/>
              </w:rPr>
              <w:t> </w:t>
            </w:r>
          </w:p>
        </w:tc>
        <w:tc>
          <w:tcPr>
            <w:tcW w:w="764" w:type="pct"/>
            <w:vAlign w:val="center"/>
          </w:tcPr>
          <w:p w14:paraId="30DA2CEC" w14:textId="442D804E" w:rsidR="0019050A" w:rsidRPr="005B64AF" w:rsidRDefault="0019050A" w:rsidP="0019050A">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dic-20</w:t>
            </w:r>
          </w:p>
        </w:tc>
        <w:tc>
          <w:tcPr>
            <w:tcW w:w="1092" w:type="pct"/>
            <w:vAlign w:val="center"/>
          </w:tcPr>
          <w:p w14:paraId="3CFA2F01" w14:textId="20A0017C" w:rsidR="0019050A" w:rsidRPr="005B64AF" w:rsidRDefault="0019050A" w:rsidP="0019050A">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dic-21</w:t>
            </w:r>
          </w:p>
        </w:tc>
        <w:tc>
          <w:tcPr>
            <w:tcW w:w="1092" w:type="pct"/>
            <w:vAlign w:val="center"/>
          </w:tcPr>
          <w:p w14:paraId="64EA07F6" w14:textId="3565C106" w:rsidR="0019050A" w:rsidRPr="005B64AF" w:rsidRDefault="0019050A" w:rsidP="0019050A">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dic-22</w:t>
            </w:r>
          </w:p>
        </w:tc>
      </w:tr>
      <w:tr w:rsidR="00BE17BB" w:rsidRPr="006E6390" w14:paraId="215D2661" w14:textId="77777777" w:rsidTr="005B64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52" w:type="pct"/>
            <w:vAlign w:val="center"/>
            <w:hideMark/>
          </w:tcPr>
          <w:p w14:paraId="1C54F91B" w14:textId="1BAAC7E4" w:rsidR="00BE17BB" w:rsidRPr="006E6390" w:rsidRDefault="00BE17BB" w:rsidP="00BE17BB">
            <w:pPr>
              <w:pStyle w:val="Tablas"/>
              <w:tabs>
                <w:tab w:val="left" w:pos="9270"/>
              </w:tabs>
              <w:rPr>
                <w:rFonts w:cs="Arial"/>
                <w:b w:val="0"/>
                <w:sz w:val="20"/>
                <w:szCs w:val="20"/>
              </w:rPr>
            </w:pPr>
            <w:r>
              <w:rPr>
                <w:rFonts w:cs="Arial"/>
                <w:color w:val="000000"/>
                <w:sz w:val="20"/>
                <w:szCs w:val="20"/>
              </w:rPr>
              <w:t>Periodo Medio de Cobro (b/a) * 360</w:t>
            </w:r>
          </w:p>
        </w:tc>
        <w:tc>
          <w:tcPr>
            <w:tcW w:w="764" w:type="pct"/>
            <w:vAlign w:val="center"/>
          </w:tcPr>
          <w:p w14:paraId="02E53D35" w14:textId="01C33EF6"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1,0</w:t>
            </w:r>
          </w:p>
        </w:tc>
        <w:tc>
          <w:tcPr>
            <w:tcW w:w="1092" w:type="pct"/>
            <w:vAlign w:val="center"/>
          </w:tcPr>
          <w:p w14:paraId="2F69C24E" w14:textId="3A5321A2"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0,7</w:t>
            </w:r>
          </w:p>
        </w:tc>
        <w:tc>
          <w:tcPr>
            <w:tcW w:w="1092" w:type="pct"/>
            <w:vAlign w:val="center"/>
          </w:tcPr>
          <w:p w14:paraId="074FF455" w14:textId="223E1B86"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0,4</w:t>
            </w:r>
          </w:p>
        </w:tc>
      </w:tr>
      <w:tr w:rsidR="00BE17BB" w:rsidRPr="006E6390" w14:paraId="1067EC30" w14:textId="77777777" w:rsidTr="005B64AF">
        <w:trPr>
          <w:trHeight w:val="340"/>
          <w:jc w:val="center"/>
        </w:trPr>
        <w:tc>
          <w:tcPr>
            <w:cnfStyle w:val="001000000000" w:firstRow="0" w:lastRow="0" w:firstColumn="1" w:lastColumn="0" w:oddVBand="0" w:evenVBand="0" w:oddHBand="0" w:evenHBand="0" w:firstRowFirstColumn="0" w:firstRowLastColumn="0" w:lastRowFirstColumn="0" w:lastRowLastColumn="0"/>
            <w:tcW w:w="2052" w:type="pct"/>
            <w:vAlign w:val="center"/>
            <w:hideMark/>
          </w:tcPr>
          <w:p w14:paraId="0D9609A2" w14:textId="43B29BBA" w:rsidR="00BE17BB" w:rsidRPr="006E6390" w:rsidRDefault="00BE17BB" w:rsidP="00BE17BB">
            <w:pPr>
              <w:pStyle w:val="Tablas"/>
              <w:tabs>
                <w:tab w:val="left" w:pos="9270"/>
              </w:tabs>
              <w:rPr>
                <w:rFonts w:cs="Arial"/>
                <w:sz w:val="20"/>
                <w:szCs w:val="20"/>
              </w:rPr>
            </w:pPr>
            <w:r>
              <w:rPr>
                <w:rFonts w:cs="Arial"/>
                <w:b w:val="0"/>
                <w:bCs w:val="0"/>
                <w:color w:val="000000"/>
                <w:sz w:val="20"/>
                <w:szCs w:val="20"/>
              </w:rPr>
              <w:t>a)       Ingresos Totales (millones de ₡)</w:t>
            </w:r>
          </w:p>
        </w:tc>
        <w:tc>
          <w:tcPr>
            <w:tcW w:w="764" w:type="pct"/>
            <w:vAlign w:val="center"/>
          </w:tcPr>
          <w:p w14:paraId="4FFC3207" w14:textId="360D0351" w:rsidR="00BE17BB" w:rsidRPr="006E6390" w:rsidRDefault="00BE17BB" w:rsidP="00BE17B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1 109 668</w:t>
            </w:r>
          </w:p>
        </w:tc>
        <w:tc>
          <w:tcPr>
            <w:tcW w:w="1092" w:type="pct"/>
            <w:vAlign w:val="center"/>
          </w:tcPr>
          <w:p w14:paraId="19181225" w14:textId="6DE88BBF" w:rsidR="00BE17BB" w:rsidRPr="006E6390" w:rsidRDefault="00BE17BB" w:rsidP="00BE17B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1 610 654</w:t>
            </w:r>
          </w:p>
        </w:tc>
        <w:tc>
          <w:tcPr>
            <w:tcW w:w="1092" w:type="pct"/>
            <w:vAlign w:val="center"/>
          </w:tcPr>
          <w:p w14:paraId="4B7CDE45" w14:textId="0D461FDE" w:rsidR="00BE17BB" w:rsidRPr="006E6390" w:rsidRDefault="00BE17BB" w:rsidP="00BE17B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2 365 169</w:t>
            </w:r>
          </w:p>
        </w:tc>
      </w:tr>
      <w:tr w:rsidR="00BE17BB" w:rsidRPr="006E6390" w14:paraId="08B8ED1C" w14:textId="77777777" w:rsidTr="005B64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52" w:type="pct"/>
            <w:vAlign w:val="center"/>
            <w:hideMark/>
          </w:tcPr>
          <w:p w14:paraId="7DDCAF39" w14:textId="56413654" w:rsidR="00BE17BB" w:rsidRPr="006E6390" w:rsidRDefault="00BE17BB" w:rsidP="00BE17BB">
            <w:pPr>
              <w:pStyle w:val="Tablas"/>
              <w:tabs>
                <w:tab w:val="left" w:pos="9270"/>
              </w:tabs>
              <w:rPr>
                <w:rFonts w:cs="Arial"/>
                <w:sz w:val="20"/>
                <w:szCs w:val="20"/>
              </w:rPr>
            </w:pPr>
            <w:r>
              <w:rPr>
                <w:rFonts w:cs="Arial"/>
                <w:b w:val="0"/>
                <w:bCs w:val="0"/>
                <w:color w:val="000000"/>
                <w:sz w:val="20"/>
                <w:szCs w:val="20"/>
              </w:rPr>
              <w:t>b)       Promedio mensual Cuentas por Cobrar (millones de ₡)</w:t>
            </w:r>
          </w:p>
        </w:tc>
        <w:tc>
          <w:tcPr>
            <w:tcW w:w="764" w:type="pct"/>
            <w:vAlign w:val="center"/>
          </w:tcPr>
          <w:p w14:paraId="163B09FB" w14:textId="1ECE1493"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2 990</w:t>
            </w:r>
          </w:p>
        </w:tc>
        <w:tc>
          <w:tcPr>
            <w:tcW w:w="1092" w:type="pct"/>
            <w:vAlign w:val="center"/>
          </w:tcPr>
          <w:p w14:paraId="71FAA7CA" w14:textId="62F81FFF"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2 931</w:t>
            </w:r>
          </w:p>
        </w:tc>
        <w:tc>
          <w:tcPr>
            <w:tcW w:w="1092" w:type="pct"/>
            <w:vAlign w:val="center"/>
          </w:tcPr>
          <w:p w14:paraId="3803E6C5" w14:textId="63F0563F" w:rsidR="00BE17BB" w:rsidRPr="006E6390" w:rsidRDefault="00BE17BB" w:rsidP="00BE17B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2 684</w:t>
            </w:r>
          </w:p>
        </w:tc>
      </w:tr>
    </w:tbl>
    <w:p w14:paraId="396D00F9" w14:textId="77777777" w:rsidR="00873CC3" w:rsidRPr="006E6390" w:rsidRDefault="00873CC3" w:rsidP="00873CC3">
      <w:pPr>
        <w:tabs>
          <w:tab w:val="left" w:pos="9270"/>
        </w:tabs>
        <w:spacing w:after="0"/>
        <w:rPr>
          <w:rFonts w:cs="Arial"/>
          <w:lang w:eastAsia="es-MX"/>
        </w:rPr>
      </w:pPr>
    </w:p>
    <w:p w14:paraId="25CB13F8" w14:textId="16299C36" w:rsidR="00873CC3" w:rsidRDefault="00873CC3" w:rsidP="005B64AF">
      <w:pPr>
        <w:spacing w:after="0"/>
        <w:rPr>
          <w:rFonts w:cs="Arial"/>
          <w:lang w:eastAsia="es-MX"/>
        </w:rPr>
      </w:pPr>
      <w:r w:rsidRPr="002917F3">
        <w:rPr>
          <w:rFonts w:cs="Arial"/>
          <w:lang w:eastAsia="es-MX"/>
        </w:rPr>
        <w:t>Generalmente, RECOPE vende de contado, salvo las ventas que se realizan a diferentes entidades de Gobierno, razón por la cual los niveles de cuentas por cobrar y por ende el periodo medio de cobro son mínimas.</w:t>
      </w:r>
    </w:p>
    <w:p w14:paraId="2F62CEB9" w14:textId="77777777" w:rsidR="00D360E8" w:rsidRPr="006E6390" w:rsidRDefault="00D360E8" w:rsidP="005B64AF">
      <w:pPr>
        <w:spacing w:after="0"/>
        <w:rPr>
          <w:rFonts w:cs="Arial"/>
          <w:lang w:eastAsia="es-MX"/>
        </w:rPr>
      </w:pPr>
    </w:p>
    <w:p w14:paraId="7AC9DDD1" w14:textId="5430236E" w:rsidR="00873CC3" w:rsidRDefault="00873CC3" w:rsidP="005B64AF">
      <w:pPr>
        <w:spacing w:after="0"/>
        <w:rPr>
          <w:rFonts w:cs="Arial"/>
          <w:lang w:eastAsia="es-MX"/>
        </w:rPr>
      </w:pPr>
      <w:r w:rsidRPr="006E6390">
        <w:rPr>
          <w:rFonts w:cs="Arial"/>
          <w:lang w:eastAsia="es-MX"/>
        </w:rPr>
        <w:t xml:space="preserve">El valor de las cuentas por cobrar presenta una variabilidad en el tiempo, según sea el comportamiento del precio de venta local, que está indexado al precio internacional de cada combustible. </w:t>
      </w:r>
      <w:r w:rsidR="002917F3">
        <w:rPr>
          <w:rFonts w:cs="Arial"/>
          <w:lang w:eastAsia="es-MX"/>
        </w:rPr>
        <w:t xml:space="preserve"> </w:t>
      </w:r>
    </w:p>
    <w:p w14:paraId="6417AF4E" w14:textId="77777777" w:rsidR="00747A27" w:rsidRPr="006E6390" w:rsidRDefault="00747A27" w:rsidP="005B64AF">
      <w:pPr>
        <w:spacing w:after="0"/>
        <w:rPr>
          <w:rFonts w:cs="Arial"/>
          <w:lang w:eastAsia="es-MX"/>
        </w:rPr>
      </w:pPr>
    </w:p>
    <w:p w14:paraId="2D4F9B21" w14:textId="55CC0CCD" w:rsidR="00873CC3" w:rsidRDefault="00873CC3" w:rsidP="005B64AF">
      <w:pPr>
        <w:spacing w:after="0"/>
        <w:rPr>
          <w:rFonts w:cs="Arial"/>
          <w:lang w:eastAsia="es-MX"/>
        </w:rPr>
      </w:pPr>
      <w:r w:rsidRPr="006E6390">
        <w:rPr>
          <w:rFonts w:cs="Arial"/>
          <w:lang w:eastAsia="es-MX"/>
        </w:rPr>
        <w:t xml:space="preserve">Para el cálculo del periodo medio de pago, se utiliza el saldo de las Cuentas por Pagar, se divide entre las Compras y se multiplica por </w:t>
      </w:r>
      <w:r w:rsidR="00CE6248" w:rsidRPr="006E6390">
        <w:rPr>
          <w:rFonts w:cs="Arial"/>
          <w:lang w:eastAsia="es-MX"/>
        </w:rPr>
        <w:t>36</w:t>
      </w:r>
      <w:r w:rsidR="00CE6248">
        <w:rPr>
          <w:rFonts w:cs="Arial"/>
          <w:lang w:eastAsia="es-MX"/>
        </w:rPr>
        <w:t>0</w:t>
      </w:r>
      <w:r w:rsidR="00CE6248" w:rsidRPr="006E6390">
        <w:rPr>
          <w:rFonts w:cs="Arial"/>
          <w:lang w:eastAsia="es-MX"/>
        </w:rPr>
        <w:t xml:space="preserve"> </w:t>
      </w:r>
      <w:r w:rsidRPr="006E6390">
        <w:rPr>
          <w:rFonts w:cs="Arial"/>
          <w:lang w:eastAsia="es-MX"/>
        </w:rPr>
        <w:t>días.  Este indicador refleja el plazo promedio en días que tarda la empresa en pagar las cuentas a los proveedores. Para el cálculo de este indicador se utiliza solamente las cuentas por pagar a proveedores.</w:t>
      </w:r>
    </w:p>
    <w:p w14:paraId="4C3194B0" w14:textId="77777777" w:rsidR="00747A27" w:rsidRPr="006E6390" w:rsidRDefault="00747A27" w:rsidP="00873CC3">
      <w:pPr>
        <w:rPr>
          <w:rFonts w:cs="Arial"/>
          <w:lang w:eastAsia="es-MX"/>
        </w:rPr>
      </w:pPr>
    </w:p>
    <w:p w14:paraId="61FF12BC" w14:textId="77777777" w:rsidR="00873CC3" w:rsidRPr="006E6390" w:rsidRDefault="00873CC3" w:rsidP="00873CC3">
      <w:pPr>
        <w:pStyle w:val="Ttuloscuadros"/>
        <w:tabs>
          <w:tab w:val="left" w:pos="9270"/>
        </w:tabs>
        <w:spacing w:after="120"/>
        <w:rPr>
          <w:rFonts w:cs="Arial"/>
        </w:rPr>
      </w:pPr>
      <w:r w:rsidRPr="006E6390">
        <w:rPr>
          <w:rFonts w:cs="Arial"/>
        </w:rPr>
        <w:t>Cuadro N°</w:t>
      </w:r>
      <w:r w:rsidR="006F3AE9" w:rsidRPr="006E6390">
        <w:rPr>
          <w:rFonts w:cs="Arial"/>
        </w:rPr>
        <w:t>1</w:t>
      </w:r>
      <w:r w:rsidR="005F1F5A" w:rsidRPr="006E6390">
        <w:rPr>
          <w:rFonts w:cs="Arial"/>
        </w:rPr>
        <w:t>3</w:t>
      </w:r>
      <w:r w:rsidR="002917F3">
        <w:rPr>
          <w:rFonts w:cs="Arial"/>
        </w:rPr>
        <w:t xml:space="preserve"> Período medio de pago</w:t>
      </w:r>
    </w:p>
    <w:tbl>
      <w:tblPr>
        <w:tblStyle w:val="Tablanormal1"/>
        <w:tblW w:w="5000" w:type="pct"/>
        <w:jc w:val="center"/>
        <w:tblLook w:val="04A0" w:firstRow="1" w:lastRow="0" w:firstColumn="1" w:lastColumn="0" w:noHBand="0" w:noVBand="1"/>
      </w:tblPr>
      <w:tblGrid>
        <w:gridCol w:w="5382"/>
        <w:gridCol w:w="1196"/>
        <w:gridCol w:w="1196"/>
        <w:gridCol w:w="1195"/>
      </w:tblGrid>
      <w:tr w:rsidR="00332C84" w:rsidRPr="006E6390" w14:paraId="732F415F" w14:textId="77777777" w:rsidTr="005B64A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00" w:type="pct"/>
            <w:hideMark/>
          </w:tcPr>
          <w:p w14:paraId="117E96A8" w14:textId="77777777" w:rsidR="00332C84" w:rsidRPr="006E6390" w:rsidRDefault="00332C84" w:rsidP="00332C84">
            <w:pPr>
              <w:pStyle w:val="Tablas"/>
              <w:tabs>
                <w:tab w:val="left" w:pos="9270"/>
              </w:tabs>
              <w:rPr>
                <w:rFonts w:cs="Arial"/>
                <w:b w:val="0"/>
                <w:sz w:val="20"/>
                <w:szCs w:val="20"/>
              </w:rPr>
            </w:pPr>
            <w:r>
              <w:rPr>
                <w:rFonts w:ascii="Calibri" w:hAnsi="Calibri" w:cs="Calibri"/>
                <w:color w:val="000000"/>
                <w:sz w:val="20"/>
                <w:szCs w:val="20"/>
              </w:rPr>
              <w:t> </w:t>
            </w:r>
          </w:p>
        </w:tc>
        <w:tc>
          <w:tcPr>
            <w:tcW w:w="667" w:type="pct"/>
            <w:vAlign w:val="center"/>
          </w:tcPr>
          <w:p w14:paraId="40667523" w14:textId="761175AE" w:rsidR="00332C84" w:rsidRPr="005B64AF" w:rsidRDefault="00332C84" w:rsidP="00332C84">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dic-20</w:t>
            </w:r>
          </w:p>
        </w:tc>
        <w:tc>
          <w:tcPr>
            <w:tcW w:w="667" w:type="pct"/>
            <w:vAlign w:val="center"/>
          </w:tcPr>
          <w:p w14:paraId="35A88BD8" w14:textId="16DC9C0F" w:rsidR="00332C84" w:rsidRPr="005B64AF" w:rsidRDefault="00332C84" w:rsidP="00332C84">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dic-21</w:t>
            </w:r>
          </w:p>
        </w:tc>
        <w:tc>
          <w:tcPr>
            <w:tcW w:w="666" w:type="pct"/>
            <w:vAlign w:val="center"/>
          </w:tcPr>
          <w:p w14:paraId="1E09A5ED" w14:textId="285BAB11" w:rsidR="00332C84" w:rsidRPr="005B64AF" w:rsidRDefault="00332C84" w:rsidP="00332C84">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dic-22</w:t>
            </w:r>
          </w:p>
        </w:tc>
      </w:tr>
      <w:tr w:rsidR="006F3CBA" w:rsidRPr="006E6390" w14:paraId="1685B539" w14:textId="77777777" w:rsidTr="005B64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00" w:type="pct"/>
            <w:vAlign w:val="center"/>
            <w:hideMark/>
          </w:tcPr>
          <w:p w14:paraId="76EBD644" w14:textId="5FBE66D1" w:rsidR="006F3CBA" w:rsidRPr="006E6390" w:rsidRDefault="006F3CBA" w:rsidP="006F3CBA">
            <w:pPr>
              <w:pStyle w:val="Tablas"/>
              <w:tabs>
                <w:tab w:val="left" w:pos="9270"/>
              </w:tabs>
              <w:rPr>
                <w:rFonts w:cs="Arial"/>
                <w:b w:val="0"/>
                <w:sz w:val="20"/>
                <w:szCs w:val="20"/>
              </w:rPr>
            </w:pPr>
            <w:r>
              <w:rPr>
                <w:rFonts w:cs="Arial"/>
                <w:color w:val="000000"/>
                <w:sz w:val="20"/>
                <w:szCs w:val="20"/>
              </w:rPr>
              <w:t>Periodo Medio de Pago (b/a) * 360</w:t>
            </w:r>
          </w:p>
        </w:tc>
        <w:tc>
          <w:tcPr>
            <w:tcW w:w="667" w:type="pct"/>
            <w:vAlign w:val="center"/>
          </w:tcPr>
          <w:p w14:paraId="5087D92D" w14:textId="267B503F"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19,8</w:t>
            </w:r>
          </w:p>
        </w:tc>
        <w:tc>
          <w:tcPr>
            <w:tcW w:w="667" w:type="pct"/>
            <w:vAlign w:val="center"/>
          </w:tcPr>
          <w:p w14:paraId="06A37189" w14:textId="63C23F13"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32,5</w:t>
            </w:r>
          </w:p>
        </w:tc>
        <w:tc>
          <w:tcPr>
            <w:tcW w:w="666" w:type="pct"/>
            <w:vAlign w:val="center"/>
          </w:tcPr>
          <w:p w14:paraId="4747549C" w14:textId="2DFAB2F7"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26,1</w:t>
            </w:r>
          </w:p>
        </w:tc>
      </w:tr>
      <w:tr w:rsidR="006F3CBA" w:rsidRPr="006E6390" w14:paraId="1D971FE3" w14:textId="77777777" w:rsidTr="005B64AF">
        <w:trPr>
          <w:trHeight w:val="340"/>
          <w:jc w:val="center"/>
        </w:trPr>
        <w:tc>
          <w:tcPr>
            <w:cnfStyle w:val="001000000000" w:firstRow="0" w:lastRow="0" w:firstColumn="1" w:lastColumn="0" w:oddVBand="0" w:evenVBand="0" w:oddHBand="0" w:evenHBand="0" w:firstRowFirstColumn="0" w:firstRowLastColumn="0" w:lastRowFirstColumn="0" w:lastRowLastColumn="0"/>
            <w:tcW w:w="3000" w:type="pct"/>
            <w:vAlign w:val="center"/>
            <w:hideMark/>
          </w:tcPr>
          <w:p w14:paraId="2286094D" w14:textId="05B07943" w:rsidR="006F3CBA" w:rsidRPr="006E6390" w:rsidRDefault="006F3CBA" w:rsidP="006F3CBA">
            <w:pPr>
              <w:pStyle w:val="Tablas"/>
              <w:tabs>
                <w:tab w:val="left" w:pos="9270"/>
              </w:tabs>
              <w:rPr>
                <w:rFonts w:cs="Arial"/>
                <w:sz w:val="20"/>
                <w:szCs w:val="20"/>
              </w:rPr>
            </w:pPr>
            <w:r>
              <w:rPr>
                <w:rFonts w:cs="Arial"/>
                <w:b w:val="0"/>
                <w:bCs w:val="0"/>
                <w:color w:val="000000"/>
                <w:sz w:val="20"/>
                <w:szCs w:val="20"/>
              </w:rPr>
              <w:t>a)  Costo de Ventas (millones de ₡)</w:t>
            </w:r>
          </w:p>
        </w:tc>
        <w:tc>
          <w:tcPr>
            <w:tcW w:w="667" w:type="pct"/>
            <w:vAlign w:val="center"/>
          </w:tcPr>
          <w:p w14:paraId="0B1F8E4A" w14:textId="5E28B669" w:rsidR="006F3CBA" w:rsidRPr="006E6390" w:rsidRDefault="006F3CBA" w:rsidP="006F3CBA">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983 335</w:t>
            </w:r>
          </w:p>
        </w:tc>
        <w:tc>
          <w:tcPr>
            <w:tcW w:w="667" w:type="pct"/>
            <w:vAlign w:val="center"/>
          </w:tcPr>
          <w:p w14:paraId="54A27304" w14:textId="5AEAC763" w:rsidR="006F3CBA" w:rsidRPr="006E6390" w:rsidRDefault="006F3CBA" w:rsidP="006F3CBA">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1 433 022</w:t>
            </w:r>
          </w:p>
        </w:tc>
        <w:tc>
          <w:tcPr>
            <w:tcW w:w="666" w:type="pct"/>
            <w:vAlign w:val="center"/>
          </w:tcPr>
          <w:p w14:paraId="77233AE3" w14:textId="453E0B6A" w:rsidR="006F3CBA" w:rsidRPr="006E6390" w:rsidRDefault="006F3CBA" w:rsidP="006F3CBA">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2 196 549</w:t>
            </w:r>
          </w:p>
        </w:tc>
      </w:tr>
      <w:tr w:rsidR="006F3CBA" w:rsidRPr="006E6390" w14:paraId="607F598B" w14:textId="77777777" w:rsidTr="005B64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00" w:type="pct"/>
            <w:vAlign w:val="center"/>
            <w:hideMark/>
          </w:tcPr>
          <w:p w14:paraId="49AF0009" w14:textId="7848C409" w:rsidR="006F3CBA" w:rsidRPr="006E6390" w:rsidRDefault="006F3CBA" w:rsidP="006F3CBA">
            <w:pPr>
              <w:pStyle w:val="Tablas"/>
              <w:tabs>
                <w:tab w:val="left" w:pos="9270"/>
              </w:tabs>
              <w:rPr>
                <w:rFonts w:cs="Arial"/>
                <w:sz w:val="20"/>
                <w:szCs w:val="20"/>
              </w:rPr>
            </w:pPr>
            <w:r>
              <w:rPr>
                <w:rFonts w:cs="Arial"/>
                <w:b w:val="0"/>
                <w:bCs w:val="0"/>
                <w:color w:val="000000"/>
                <w:sz w:val="20"/>
                <w:szCs w:val="20"/>
              </w:rPr>
              <w:t>b)  Promedio mensual Cuentas por Pagar (millones de ₡)</w:t>
            </w:r>
          </w:p>
        </w:tc>
        <w:tc>
          <w:tcPr>
            <w:tcW w:w="667" w:type="pct"/>
            <w:vAlign w:val="center"/>
          </w:tcPr>
          <w:p w14:paraId="59A1386D" w14:textId="1A958801"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54 194</w:t>
            </w:r>
          </w:p>
        </w:tc>
        <w:tc>
          <w:tcPr>
            <w:tcW w:w="667" w:type="pct"/>
            <w:vAlign w:val="center"/>
          </w:tcPr>
          <w:p w14:paraId="18FEA1AA" w14:textId="758F5637"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129 250</w:t>
            </w:r>
          </w:p>
        </w:tc>
        <w:tc>
          <w:tcPr>
            <w:tcW w:w="666" w:type="pct"/>
            <w:vAlign w:val="center"/>
          </w:tcPr>
          <w:p w14:paraId="7B8CB818" w14:textId="16EB839B" w:rsidR="006F3CBA" w:rsidRPr="006E6390" w:rsidRDefault="006F3CBA" w:rsidP="006F3CBA">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159 157</w:t>
            </w:r>
          </w:p>
        </w:tc>
      </w:tr>
    </w:tbl>
    <w:p w14:paraId="109B07D6" w14:textId="77777777" w:rsidR="0033523B" w:rsidRPr="006E6390" w:rsidRDefault="0033523B" w:rsidP="00873CC3">
      <w:pPr>
        <w:rPr>
          <w:rFonts w:cs="Arial"/>
          <w:lang w:eastAsia="es-MX"/>
        </w:rPr>
      </w:pPr>
    </w:p>
    <w:p w14:paraId="26884428" w14:textId="34093F15" w:rsidR="00873CC3" w:rsidRDefault="00873CC3" w:rsidP="005B64AF">
      <w:pPr>
        <w:spacing w:after="0"/>
        <w:rPr>
          <w:rFonts w:cs="Arial"/>
          <w:lang w:eastAsia="es-MX"/>
        </w:rPr>
      </w:pPr>
      <w:r w:rsidRPr="006E6390">
        <w:rPr>
          <w:rFonts w:cs="Arial"/>
          <w:lang w:eastAsia="es-MX"/>
        </w:rPr>
        <w:t xml:space="preserve">Al igual que sucede con el inventario, las cuentas por pagar se comportan según sea el precio internacional de los combustibles, el inventario físico de productos y el periodo de pago. </w:t>
      </w:r>
      <w:r w:rsidR="00CB1B3B" w:rsidRPr="006E6390">
        <w:rPr>
          <w:rFonts w:cs="Arial"/>
          <w:lang w:eastAsia="es-MX"/>
        </w:rPr>
        <w:t xml:space="preserve"> </w:t>
      </w:r>
      <w:r w:rsidRPr="006E6390">
        <w:rPr>
          <w:rFonts w:cs="Arial"/>
          <w:lang w:eastAsia="es-MX"/>
        </w:rPr>
        <w:t>Las dos primeras variables fueron explicadas en las secciones anteriores.</w:t>
      </w:r>
    </w:p>
    <w:p w14:paraId="61C5E264" w14:textId="77777777" w:rsidR="007E48E2" w:rsidRPr="006E6390" w:rsidRDefault="007E48E2" w:rsidP="005B64AF">
      <w:pPr>
        <w:spacing w:after="0"/>
        <w:rPr>
          <w:rFonts w:cs="Arial"/>
          <w:lang w:eastAsia="es-MX"/>
        </w:rPr>
      </w:pPr>
    </w:p>
    <w:p w14:paraId="54AB7AD6" w14:textId="37C5413A" w:rsidR="00873CC3" w:rsidRDefault="00CE6248" w:rsidP="005B64AF">
      <w:pPr>
        <w:spacing w:after="0"/>
        <w:rPr>
          <w:rFonts w:cs="Arial"/>
          <w:lang w:eastAsia="es-MX"/>
        </w:rPr>
      </w:pPr>
      <w:r w:rsidRPr="00034BBC">
        <w:rPr>
          <w:rFonts w:cs="Arial"/>
          <w:lang w:eastAsia="es-MX"/>
        </w:rPr>
        <w:t>La reducción en 2022</w:t>
      </w:r>
      <w:r w:rsidR="005B64AF">
        <w:rPr>
          <w:rFonts w:cs="Arial"/>
          <w:lang w:eastAsia="es-MX"/>
        </w:rPr>
        <w:t>,</w:t>
      </w:r>
      <w:r w:rsidRPr="00034BBC">
        <w:rPr>
          <w:rFonts w:cs="Arial"/>
          <w:lang w:eastAsia="es-MX"/>
        </w:rPr>
        <w:t xml:space="preserve"> al compararse con 2021</w:t>
      </w:r>
      <w:r w:rsidR="005B64AF">
        <w:rPr>
          <w:rFonts w:cs="Arial"/>
          <w:lang w:eastAsia="es-MX"/>
        </w:rPr>
        <w:t>, está relacionada e</w:t>
      </w:r>
      <w:r w:rsidRPr="00034BBC">
        <w:rPr>
          <w:rFonts w:cs="Arial"/>
          <w:lang w:eastAsia="es-MX"/>
        </w:rPr>
        <w:t>l rápido y elevado incremento de precios internacionales que impacto ambas variables empleadas en el cálculo.</w:t>
      </w:r>
    </w:p>
    <w:p w14:paraId="2755D58F" w14:textId="77777777" w:rsidR="007E48E2" w:rsidRPr="006E6390" w:rsidRDefault="007E48E2" w:rsidP="00873CC3">
      <w:pPr>
        <w:rPr>
          <w:rFonts w:cs="Arial"/>
          <w:lang w:eastAsia="es-MX"/>
        </w:rPr>
      </w:pPr>
    </w:p>
    <w:p w14:paraId="51944872" w14:textId="77777777" w:rsidR="00873CC3" w:rsidRPr="006E6390" w:rsidRDefault="00873CC3" w:rsidP="00873CC3">
      <w:pPr>
        <w:pStyle w:val="Ttulo2"/>
        <w:rPr>
          <w:rFonts w:cs="Arial"/>
        </w:rPr>
      </w:pPr>
      <w:bookmarkStart w:id="69" w:name="_Toc38630794"/>
      <w:r w:rsidRPr="006E6390">
        <w:rPr>
          <w:rFonts w:cs="Arial"/>
        </w:rPr>
        <w:t>2.4. Endeudamiento</w:t>
      </w:r>
      <w:bookmarkEnd w:id="69"/>
    </w:p>
    <w:p w14:paraId="40AC1C0C" w14:textId="167B5AF3" w:rsidR="00873CC3" w:rsidRDefault="00873CC3" w:rsidP="005B64AF">
      <w:pPr>
        <w:spacing w:after="0"/>
        <w:rPr>
          <w:rFonts w:cs="Arial"/>
          <w:lang w:eastAsia="es-MX"/>
        </w:rPr>
      </w:pPr>
      <w:r w:rsidRPr="006E6390">
        <w:rPr>
          <w:rFonts w:cs="Arial"/>
          <w:lang w:eastAsia="es-MX"/>
        </w:rPr>
        <w:t>De conformidad con el artículo 116 de la Ley Orgánica del Banco Central de Costa Rica, las empresas de los sectores no financieros que soliciten su registro en la Superintendencia General de Valores no podrán exceder un nivel de endeudamiento total (individual o consolidado) de 4 veces su capital y reservas de conformidad con la metodología que establezca el Superintendente General de Valores.</w:t>
      </w:r>
    </w:p>
    <w:p w14:paraId="155CCCC2" w14:textId="77777777" w:rsidR="007E48E2" w:rsidRPr="006E6390" w:rsidRDefault="007E48E2" w:rsidP="005B64AF">
      <w:pPr>
        <w:spacing w:after="0"/>
        <w:rPr>
          <w:rFonts w:cs="Arial"/>
          <w:lang w:eastAsia="es-MX"/>
        </w:rPr>
      </w:pPr>
    </w:p>
    <w:p w14:paraId="25BCE203" w14:textId="4AB97DBE" w:rsidR="00873CC3" w:rsidRDefault="00873CC3" w:rsidP="005B64AF">
      <w:pPr>
        <w:spacing w:after="0"/>
        <w:rPr>
          <w:rFonts w:cs="Arial"/>
          <w:lang w:eastAsia="es-MX"/>
        </w:rPr>
      </w:pPr>
      <w:r w:rsidRPr="006E6390">
        <w:rPr>
          <w:rFonts w:cs="Arial"/>
          <w:lang w:eastAsia="es-MX"/>
        </w:rPr>
        <w:t>Los indicadores de endeudamiento de RECOPE son los siguientes:</w:t>
      </w:r>
    </w:p>
    <w:p w14:paraId="4919B5A5" w14:textId="77777777" w:rsidR="007E48E2" w:rsidRPr="006E6390" w:rsidRDefault="007E48E2" w:rsidP="00873CC3">
      <w:pPr>
        <w:rPr>
          <w:rFonts w:cs="Arial"/>
          <w:lang w:eastAsia="es-MX"/>
        </w:rPr>
      </w:pPr>
    </w:p>
    <w:p w14:paraId="5A3744E9" w14:textId="77777777" w:rsidR="00873CC3" w:rsidRPr="006E6390" w:rsidRDefault="00873CC3" w:rsidP="00873CC3">
      <w:pPr>
        <w:pStyle w:val="Ttulo3"/>
        <w:rPr>
          <w:rFonts w:cs="Arial"/>
        </w:rPr>
      </w:pPr>
      <w:bookmarkStart w:id="70" w:name="_Toc38630795"/>
      <w:r w:rsidRPr="006E6390">
        <w:rPr>
          <w:rFonts w:cs="Arial"/>
        </w:rPr>
        <w:t>2.4.1. Pasivo total a patrimonio neto (veces)</w:t>
      </w:r>
      <w:bookmarkEnd w:id="70"/>
    </w:p>
    <w:p w14:paraId="155B84DA" w14:textId="78CA3C25" w:rsidR="00873CC3" w:rsidRDefault="00873CC3" w:rsidP="005B64AF">
      <w:pPr>
        <w:spacing w:after="0"/>
        <w:rPr>
          <w:rFonts w:cs="Arial"/>
          <w:lang w:eastAsia="es-MX"/>
        </w:rPr>
      </w:pPr>
      <w:r w:rsidRPr="006E6390">
        <w:rPr>
          <w:rFonts w:cs="Arial"/>
          <w:lang w:eastAsia="es-MX"/>
        </w:rPr>
        <w:t>Este indicador permite evidenciar la exposición de los acreedores, en el evento de una posible insolvencia de la empresa, una vez que se excluyen las utilidades disponibles.</w:t>
      </w:r>
    </w:p>
    <w:p w14:paraId="017255B3" w14:textId="77777777" w:rsidR="00FA1F25" w:rsidRPr="006E6390" w:rsidRDefault="00FA1F25" w:rsidP="00873CC3">
      <w:pPr>
        <w:rPr>
          <w:rFonts w:cs="Arial"/>
          <w:lang w:eastAsia="es-MX"/>
        </w:rPr>
      </w:pPr>
    </w:p>
    <w:p w14:paraId="73044961" w14:textId="77777777" w:rsidR="00873CC3" w:rsidRPr="006E6390" w:rsidRDefault="00873CC3" w:rsidP="00873CC3">
      <w:pPr>
        <w:pStyle w:val="Ttuloscuadros"/>
        <w:tabs>
          <w:tab w:val="left" w:pos="9270"/>
        </w:tabs>
        <w:spacing w:after="120"/>
        <w:rPr>
          <w:rFonts w:cs="Arial"/>
        </w:rPr>
      </w:pPr>
      <w:r w:rsidRPr="006E6390">
        <w:rPr>
          <w:rFonts w:cs="Arial"/>
        </w:rPr>
        <w:t>Cuadro N°</w:t>
      </w:r>
      <w:r w:rsidR="008A2908" w:rsidRPr="006E6390">
        <w:rPr>
          <w:rFonts w:cs="Arial"/>
        </w:rPr>
        <w:t>1</w:t>
      </w:r>
      <w:r w:rsidR="006D0600" w:rsidRPr="006E6390">
        <w:rPr>
          <w:rFonts w:cs="Arial"/>
        </w:rPr>
        <w:t>4</w:t>
      </w:r>
    </w:p>
    <w:tbl>
      <w:tblPr>
        <w:tblStyle w:val="Tablanormal1"/>
        <w:tblW w:w="4818" w:type="pct"/>
        <w:jc w:val="center"/>
        <w:tblLook w:val="04A0" w:firstRow="1" w:lastRow="0" w:firstColumn="1" w:lastColumn="0" w:noHBand="0" w:noVBand="1"/>
      </w:tblPr>
      <w:tblGrid>
        <w:gridCol w:w="4389"/>
        <w:gridCol w:w="1276"/>
        <w:gridCol w:w="1561"/>
        <w:gridCol w:w="1417"/>
      </w:tblGrid>
      <w:tr w:rsidR="00CF527E" w:rsidRPr="006E6390" w14:paraId="5710C5FC" w14:textId="77777777" w:rsidTr="005B64A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39" w:type="pct"/>
            <w:hideMark/>
          </w:tcPr>
          <w:p w14:paraId="067FF232" w14:textId="77777777" w:rsidR="00CF527E" w:rsidRPr="006E6390" w:rsidRDefault="00CF527E" w:rsidP="00CF527E">
            <w:pPr>
              <w:pStyle w:val="Tablas"/>
              <w:tabs>
                <w:tab w:val="left" w:pos="9270"/>
              </w:tabs>
              <w:rPr>
                <w:rFonts w:cs="Arial"/>
                <w:b w:val="0"/>
                <w:sz w:val="20"/>
                <w:szCs w:val="20"/>
              </w:rPr>
            </w:pPr>
            <w:r>
              <w:rPr>
                <w:rFonts w:ascii="Calibri" w:hAnsi="Calibri" w:cs="Calibri"/>
                <w:color w:val="000000"/>
                <w:sz w:val="20"/>
                <w:szCs w:val="20"/>
              </w:rPr>
              <w:t> </w:t>
            </w:r>
          </w:p>
        </w:tc>
        <w:tc>
          <w:tcPr>
            <w:tcW w:w="738" w:type="pct"/>
            <w:vAlign w:val="center"/>
          </w:tcPr>
          <w:p w14:paraId="757B27A0" w14:textId="3025C25B" w:rsidR="00CF527E" w:rsidRPr="005B64AF" w:rsidRDefault="00CF527E" w:rsidP="00CF527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dic-20</w:t>
            </w:r>
          </w:p>
        </w:tc>
        <w:tc>
          <w:tcPr>
            <w:tcW w:w="903" w:type="pct"/>
            <w:vAlign w:val="center"/>
          </w:tcPr>
          <w:p w14:paraId="10AC1F90" w14:textId="339DE5D1" w:rsidR="00CF527E" w:rsidRPr="005B64AF" w:rsidRDefault="00CF527E" w:rsidP="00CF527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dic-21</w:t>
            </w:r>
          </w:p>
        </w:tc>
        <w:tc>
          <w:tcPr>
            <w:tcW w:w="820" w:type="pct"/>
            <w:vAlign w:val="center"/>
          </w:tcPr>
          <w:p w14:paraId="3643834C" w14:textId="4B865037" w:rsidR="00CF527E" w:rsidRPr="005B64AF" w:rsidRDefault="00CF527E" w:rsidP="00CF527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5B64AF">
              <w:rPr>
                <w:rFonts w:cs="Arial"/>
                <w:color w:val="002060"/>
                <w:sz w:val="20"/>
                <w:szCs w:val="20"/>
              </w:rPr>
              <w:t>dic-22</w:t>
            </w:r>
          </w:p>
        </w:tc>
      </w:tr>
      <w:tr w:rsidR="00422BC9" w:rsidRPr="006E6390" w14:paraId="5806A686" w14:textId="77777777" w:rsidTr="00CA5A32">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539" w:type="pct"/>
            <w:vAlign w:val="center"/>
            <w:hideMark/>
          </w:tcPr>
          <w:p w14:paraId="39884A69" w14:textId="7AC02289" w:rsidR="00422BC9" w:rsidRPr="006E6390" w:rsidRDefault="00422BC9" w:rsidP="00422BC9">
            <w:pPr>
              <w:pStyle w:val="Tablas"/>
              <w:tabs>
                <w:tab w:val="left" w:pos="9270"/>
              </w:tabs>
              <w:rPr>
                <w:rFonts w:cs="Arial"/>
                <w:b w:val="0"/>
                <w:sz w:val="20"/>
                <w:szCs w:val="20"/>
              </w:rPr>
            </w:pPr>
            <w:r>
              <w:rPr>
                <w:rFonts w:cs="Arial"/>
                <w:color w:val="000000"/>
                <w:sz w:val="20"/>
                <w:szCs w:val="20"/>
              </w:rPr>
              <w:t>Pasivo Total a Patrimonio Neto (a/b)</w:t>
            </w:r>
          </w:p>
        </w:tc>
        <w:tc>
          <w:tcPr>
            <w:tcW w:w="738" w:type="pct"/>
            <w:vAlign w:val="center"/>
          </w:tcPr>
          <w:p w14:paraId="3C9B6D45" w14:textId="37F9CE1E" w:rsidR="00422BC9" w:rsidRPr="006E6390"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0,83</w:t>
            </w:r>
          </w:p>
        </w:tc>
        <w:tc>
          <w:tcPr>
            <w:tcW w:w="903" w:type="pct"/>
            <w:vAlign w:val="center"/>
          </w:tcPr>
          <w:p w14:paraId="31BBC2B7" w14:textId="0565218E" w:rsidR="00422BC9" w:rsidRPr="006E6390"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1,25</w:t>
            </w:r>
          </w:p>
        </w:tc>
        <w:tc>
          <w:tcPr>
            <w:tcW w:w="820" w:type="pct"/>
            <w:vAlign w:val="center"/>
          </w:tcPr>
          <w:p w14:paraId="0B29A75F" w14:textId="13C4F119" w:rsidR="00422BC9" w:rsidRPr="006E6390"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0,82</w:t>
            </w:r>
          </w:p>
        </w:tc>
      </w:tr>
      <w:tr w:rsidR="00422BC9" w:rsidRPr="006E6390" w14:paraId="57C57CD1" w14:textId="77777777" w:rsidTr="005B64AF">
        <w:trPr>
          <w:trHeight w:val="255"/>
          <w:jc w:val="center"/>
        </w:trPr>
        <w:tc>
          <w:tcPr>
            <w:cnfStyle w:val="001000000000" w:firstRow="0" w:lastRow="0" w:firstColumn="1" w:lastColumn="0" w:oddVBand="0" w:evenVBand="0" w:oddHBand="0" w:evenHBand="0" w:firstRowFirstColumn="0" w:firstRowLastColumn="0" w:lastRowFirstColumn="0" w:lastRowLastColumn="0"/>
            <w:tcW w:w="2539" w:type="pct"/>
            <w:vAlign w:val="center"/>
            <w:hideMark/>
          </w:tcPr>
          <w:p w14:paraId="122F59AB" w14:textId="0561FB84" w:rsidR="00422BC9" w:rsidRPr="006E6390" w:rsidRDefault="00422BC9" w:rsidP="00422BC9">
            <w:pPr>
              <w:pStyle w:val="Tablas"/>
              <w:tabs>
                <w:tab w:val="left" w:pos="9270"/>
              </w:tabs>
              <w:rPr>
                <w:rFonts w:cs="Arial"/>
                <w:sz w:val="20"/>
                <w:szCs w:val="20"/>
              </w:rPr>
            </w:pPr>
            <w:r>
              <w:rPr>
                <w:rFonts w:cs="Arial"/>
                <w:b w:val="0"/>
                <w:bCs w:val="0"/>
                <w:color w:val="000000"/>
                <w:sz w:val="20"/>
                <w:szCs w:val="20"/>
              </w:rPr>
              <w:t>a)    Pasivo Total (millones de ₡)</w:t>
            </w:r>
          </w:p>
        </w:tc>
        <w:tc>
          <w:tcPr>
            <w:tcW w:w="738" w:type="pct"/>
            <w:vAlign w:val="center"/>
          </w:tcPr>
          <w:p w14:paraId="3D8FB9AE" w14:textId="1AFAA99B" w:rsidR="00422BC9" w:rsidRPr="006E6390" w:rsidRDefault="00422BC9" w:rsidP="00422BC9">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313 442</w:t>
            </w:r>
          </w:p>
        </w:tc>
        <w:tc>
          <w:tcPr>
            <w:tcW w:w="903" w:type="pct"/>
            <w:vAlign w:val="center"/>
          </w:tcPr>
          <w:p w14:paraId="4DD329C4" w14:textId="1D49710F" w:rsidR="00422BC9" w:rsidRPr="006E6390" w:rsidRDefault="00422BC9" w:rsidP="00422BC9">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490 277</w:t>
            </w:r>
          </w:p>
        </w:tc>
        <w:tc>
          <w:tcPr>
            <w:tcW w:w="820" w:type="pct"/>
            <w:vAlign w:val="center"/>
          </w:tcPr>
          <w:p w14:paraId="38F63113" w14:textId="25830672" w:rsidR="00422BC9" w:rsidRPr="006E6390" w:rsidRDefault="00422BC9" w:rsidP="00422BC9">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348 522</w:t>
            </w:r>
          </w:p>
        </w:tc>
      </w:tr>
      <w:tr w:rsidR="00422BC9" w:rsidRPr="006E6390" w14:paraId="32928E8E" w14:textId="77777777" w:rsidTr="00CA5A3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39" w:type="pct"/>
            <w:vAlign w:val="center"/>
            <w:hideMark/>
          </w:tcPr>
          <w:p w14:paraId="4E5252BD" w14:textId="0D627372" w:rsidR="00422BC9" w:rsidRPr="006E6390" w:rsidRDefault="00422BC9" w:rsidP="00422BC9">
            <w:pPr>
              <w:pStyle w:val="Tablas"/>
              <w:tabs>
                <w:tab w:val="left" w:pos="9270"/>
              </w:tabs>
              <w:rPr>
                <w:rFonts w:cs="Arial"/>
                <w:sz w:val="20"/>
                <w:szCs w:val="20"/>
              </w:rPr>
            </w:pPr>
            <w:r>
              <w:rPr>
                <w:rFonts w:cs="Arial"/>
                <w:b w:val="0"/>
                <w:bCs w:val="0"/>
                <w:color w:val="000000"/>
                <w:sz w:val="20"/>
                <w:szCs w:val="20"/>
              </w:rPr>
              <w:t>b)    Patrimonio Neto (millones de ₡)</w:t>
            </w:r>
          </w:p>
        </w:tc>
        <w:tc>
          <w:tcPr>
            <w:tcW w:w="738" w:type="pct"/>
            <w:vAlign w:val="center"/>
          </w:tcPr>
          <w:p w14:paraId="473CFD51" w14:textId="14F3A4DF" w:rsidR="00422BC9" w:rsidRPr="0026312C"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5B64AF">
              <w:rPr>
                <w:rFonts w:cs="Arial"/>
                <w:sz w:val="20"/>
                <w:szCs w:val="20"/>
              </w:rPr>
              <w:t>379 894</w:t>
            </w:r>
          </w:p>
        </w:tc>
        <w:tc>
          <w:tcPr>
            <w:tcW w:w="903" w:type="pct"/>
            <w:vAlign w:val="center"/>
          </w:tcPr>
          <w:p w14:paraId="09CEF268" w14:textId="6208CB49" w:rsidR="00422BC9" w:rsidRPr="0026312C"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26312C">
              <w:rPr>
                <w:rFonts w:cs="Arial"/>
                <w:sz w:val="20"/>
                <w:szCs w:val="20"/>
              </w:rPr>
              <w:t>392 681</w:t>
            </w:r>
          </w:p>
        </w:tc>
        <w:tc>
          <w:tcPr>
            <w:tcW w:w="820" w:type="pct"/>
            <w:vAlign w:val="center"/>
          </w:tcPr>
          <w:p w14:paraId="63363B6C" w14:textId="066BAC47" w:rsidR="00422BC9" w:rsidRPr="0026312C" w:rsidRDefault="00422BC9" w:rsidP="00422BC9">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5B64AF">
              <w:rPr>
                <w:rFonts w:cs="Arial"/>
                <w:sz w:val="20"/>
                <w:szCs w:val="20"/>
              </w:rPr>
              <w:t>426 614</w:t>
            </w:r>
          </w:p>
        </w:tc>
      </w:tr>
    </w:tbl>
    <w:p w14:paraId="3B739BC7" w14:textId="77777777" w:rsidR="00873CC3" w:rsidRPr="006E6390" w:rsidRDefault="00873CC3" w:rsidP="00873CC3">
      <w:pPr>
        <w:pStyle w:val="piedepgina0"/>
        <w:tabs>
          <w:tab w:val="left" w:pos="9270"/>
        </w:tabs>
        <w:ind w:left="709" w:right="711"/>
        <w:rPr>
          <w:rFonts w:cs="Arial"/>
          <w:sz w:val="20"/>
        </w:rPr>
      </w:pPr>
      <w:r w:rsidRPr="006E6390">
        <w:rPr>
          <w:rFonts w:cs="Arial"/>
          <w:sz w:val="20"/>
        </w:rPr>
        <w:t>Nota: El Patrimonio Neto se define como el Patrimonio Total menos las Utilidades disponibles</w:t>
      </w:r>
    </w:p>
    <w:p w14:paraId="5D2BF1FD" w14:textId="77777777" w:rsidR="00FD48E2" w:rsidRPr="006E6390" w:rsidRDefault="00FD48E2" w:rsidP="001D1254">
      <w:pPr>
        <w:spacing w:after="0" w:line="240" w:lineRule="auto"/>
        <w:jc w:val="left"/>
        <w:rPr>
          <w:rFonts w:cs="Arial"/>
          <w:lang w:eastAsia="es-MX"/>
        </w:rPr>
      </w:pPr>
    </w:p>
    <w:p w14:paraId="79EF68CC" w14:textId="77777777" w:rsidR="00873CC3" w:rsidRPr="006E6390" w:rsidRDefault="00873CC3" w:rsidP="00873CC3">
      <w:pPr>
        <w:rPr>
          <w:rFonts w:cs="Arial"/>
          <w:lang w:eastAsia="es-MX"/>
        </w:rPr>
      </w:pPr>
      <w:r w:rsidRPr="006E6390">
        <w:rPr>
          <w:rFonts w:cs="Arial"/>
          <w:lang w:eastAsia="es-MX"/>
        </w:rPr>
        <w:t>El límite de la razón de endeudamiento es de 4 veces y se calcula de la siguiente forma:</w:t>
      </w:r>
    </w:p>
    <w:p w14:paraId="70945DE8" w14:textId="77777777" w:rsidR="00873CC3" w:rsidRPr="006E6390" w:rsidRDefault="00873CC3" w:rsidP="00873CC3">
      <w:pPr>
        <w:autoSpaceDE w:val="0"/>
        <w:autoSpaceDN w:val="0"/>
        <w:adjustRightInd w:val="0"/>
        <w:rPr>
          <w:rFonts w:eastAsia="Calibri" w:cs="Arial"/>
          <w:lang w:eastAsia="en-US"/>
        </w:rPr>
      </w:pPr>
      <m:oMathPara>
        <m:oMath>
          <m:r>
            <w:rPr>
              <w:rFonts w:ascii="Cambria Math" w:eastAsia="Calibri" w:hAnsi="Cambria Math" w:cs="Arial"/>
              <w:lang w:eastAsia="en-US"/>
            </w:rPr>
            <w:lastRenderedPageBreak/>
            <m:t>Razón de endeudamiento Ley 7558=</m:t>
          </m:r>
          <m:f>
            <m:fPr>
              <m:ctrlPr>
                <w:rPr>
                  <w:rFonts w:ascii="Cambria Math" w:eastAsia="Calibri" w:hAnsi="Cambria Math" w:cs="Arial"/>
                  <w:i/>
                  <w:lang w:eastAsia="en-US"/>
                </w:rPr>
              </m:ctrlPr>
            </m:fPr>
            <m:num>
              <m:r>
                <w:rPr>
                  <w:rFonts w:ascii="Cambria Math" w:eastAsia="Calibri" w:hAnsi="Cambria Math" w:cs="Arial"/>
                  <w:lang w:eastAsia="en-US"/>
                </w:rPr>
                <m:t xml:space="preserve">Pasivo Total </m:t>
              </m:r>
            </m:num>
            <m:den>
              <m:r>
                <w:rPr>
                  <w:rFonts w:ascii="Cambria Math" w:eastAsia="Calibri" w:hAnsi="Cambria Math" w:cs="Arial"/>
                  <w:lang w:eastAsia="en-US"/>
                </w:rPr>
                <m:t>Patrimonio Neto</m:t>
              </m:r>
            </m:den>
          </m:f>
        </m:oMath>
      </m:oMathPara>
    </w:p>
    <w:p w14:paraId="06E37A9B" w14:textId="77777777" w:rsidR="00873CC3" w:rsidRPr="006E6390" w:rsidRDefault="00873CC3" w:rsidP="00873CC3">
      <w:pPr>
        <w:rPr>
          <w:rFonts w:cs="Arial"/>
          <w:lang w:eastAsia="es-MX"/>
        </w:rPr>
      </w:pPr>
      <w:r w:rsidRPr="006E6390">
        <w:rPr>
          <w:rFonts w:cs="Arial"/>
          <w:lang w:eastAsia="es-MX"/>
        </w:rPr>
        <w:t>Donde:</w:t>
      </w:r>
    </w:p>
    <w:p w14:paraId="5FE34062" w14:textId="5EE41A3B" w:rsidR="00873CC3" w:rsidRDefault="00873CC3" w:rsidP="005B64AF">
      <w:pPr>
        <w:spacing w:after="0"/>
        <w:rPr>
          <w:rFonts w:cs="Arial"/>
          <w:lang w:eastAsia="es-MX"/>
        </w:rPr>
      </w:pPr>
      <w:r w:rsidRPr="006E6390">
        <w:rPr>
          <w:rFonts w:cs="Arial"/>
          <w:lang w:eastAsia="es-MX"/>
        </w:rPr>
        <w:t>Patrimonio neto se define como el patrimonio total menos las utilidades disponibles.  En el caso de RECOPE, se puede medir también mediante la suma del capital social, la reserva legal, el Superávit por revaluación, Superávit por donación y Reservas de Inversión, Ley 7722 y Ley 7593 (aprobadas por ARESEP)</w:t>
      </w:r>
      <w:r w:rsidR="00FA1F25">
        <w:rPr>
          <w:rFonts w:cs="Arial"/>
          <w:lang w:eastAsia="es-MX"/>
        </w:rPr>
        <w:t>.</w:t>
      </w:r>
    </w:p>
    <w:p w14:paraId="6FCF3AA6" w14:textId="77777777" w:rsidR="00FA1F25" w:rsidRPr="006E6390" w:rsidRDefault="00FA1F25" w:rsidP="005B64AF">
      <w:pPr>
        <w:spacing w:after="0"/>
        <w:rPr>
          <w:rFonts w:cs="Arial"/>
          <w:lang w:eastAsia="es-MX"/>
        </w:rPr>
      </w:pPr>
    </w:p>
    <w:p w14:paraId="2C29D2A9" w14:textId="77777777" w:rsidR="00873CC3" w:rsidRPr="006E6390" w:rsidRDefault="00873CC3" w:rsidP="00873CC3">
      <w:pPr>
        <w:rPr>
          <w:rFonts w:cs="Arial"/>
          <w:lang w:eastAsia="es-MX"/>
        </w:rPr>
      </w:pPr>
      <w:r w:rsidRPr="006E6390">
        <w:rPr>
          <w:rFonts w:cs="Arial"/>
          <w:lang w:eastAsia="es-MX"/>
        </w:rPr>
        <w:t>Despejando:</w:t>
      </w:r>
    </w:p>
    <w:p w14:paraId="5B8355D0" w14:textId="2E631D75" w:rsidR="00873CC3" w:rsidRPr="006E6390" w:rsidRDefault="00873CC3" w:rsidP="00873CC3">
      <w:pPr>
        <w:autoSpaceDE w:val="0"/>
        <w:autoSpaceDN w:val="0"/>
        <w:adjustRightInd w:val="0"/>
        <w:rPr>
          <w:rFonts w:eastAsia="Calibri" w:cs="Arial"/>
          <w:lang w:eastAsia="en-US"/>
        </w:rPr>
      </w:pPr>
      <m:oMathPara>
        <m:oMath>
          <m:r>
            <w:rPr>
              <w:rFonts w:ascii="Cambria Math" w:eastAsia="Calibri" w:hAnsi="Cambria Math" w:cs="Arial"/>
              <w:lang w:eastAsia="en-US"/>
            </w:rPr>
            <m:t>Razón de endeudamiento Ley 7558=</m:t>
          </m:r>
          <m:f>
            <m:fPr>
              <m:ctrlPr>
                <w:rPr>
                  <w:rFonts w:ascii="Cambria Math" w:eastAsia="Calibri" w:hAnsi="Cambria Math" w:cs="Arial"/>
                  <w:i/>
                  <w:lang w:eastAsia="en-US"/>
                </w:rPr>
              </m:ctrlPr>
            </m:fPr>
            <m:num>
              <m:r>
                <w:rPr>
                  <w:rFonts w:ascii="Cambria Math" w:eastAsia="Calibri" w:hAnsi="Cambria Math" w:cs="Arial"/>
                  <w:lang w:eastAsia="en-US"/>
                </w:rPr>
                <m:t xml:space="preserve">₡346 273 millones </m:t>
              </m:r>
            </m:num>
            <m:den>
              <m:r>
                <w:rPr>
                  <w:rFonts w:ascii="Cambria Math" w:eastAsia="Calibri" w:hAnsi="Cambria Math" w:cs="Arial"/>
                  <w:lang w:eastAsia="en-US"/>
                </w:rPr>
                <m:t>₡432 850 millones</m:t>
              </m:r>
            </m:den>
          </m:f>
          <m:r>
            <w:rPr>
              <w:rFonts w:ascii="Cambria Math" w:eastAsia="Calibri" w:hAnsi="Cambria Math" w:cs="Arial"/>
              <w:lang w:eastAsia="en-US"/>
            </w:rPr>
            <m:t>=0,82 veces</m:t>
          </m:r>
        </m:oMath>
      </m:oMathPara>
    </w:p>
    <w:p w14:paraId="58800426" w14:textId="2D911E19" w:rsidR="00873CC3" w:rsidRPr="006E6390" w:rsidRDefault="00873CC3" w:rsidP="00873CC3">
      <w:pPr>
        <w:autoSpaceDE w:val="0"/>
        <w:autoSpaceDN w:val="0"/>
        <w:adjustRightInd w:val="0"/>
        <w:jc w:val="center"/>
        <w:rPr>
          <w:rFonts w:ascii="Helvetica" w:eastAsia="Calibri" w:hAnsi="Helvetica" w:cs="Helvetica"/>
          <w:i/>
          <w:lang w:eastAsia="en-US"/>
        </w:rPr>
      </w:pPr>
      <m:oMathPara>
        <m:oMath>
          <m:r>
            <w:rPr>
              <w:rFonts w:ascii="Cambria Math" w:eastAsia="Calibri" w:hAnsi="Cambria Math" w:cs="Helvetica"/>
              <w:lang w:eastAsia="en-US"/>
            </w:rPr>
            <m:t>Patrimonio Neto=₡719 577 millones-₡286 727 millones=₡432 850 millones</m:t>
          </m:r>
        </m:oMath>
      </m:oMathPara>
    </w:p>
    <w:p w14:paraId="4DCD5FFC" w14:textId="77777777" w:rsidR="00EF3C3A" w:rsidRDefault="00EF3C3A" w:rsidP="005B64AF">
      <w:pPr>
        <w:spacing w:after="0"/>
        <w:rPr>
          <w:lang w:eastAsia="es-MX"/>
        </w:rPr>
      </w:pPr>
    </w:p>
    <w:p w14:paraId="422BFBBF" w14:textId="6AE30603" w:rsidR="00873CC3" w:rsidRDefault="00873CC3" w:rsidP="005B64AF">
      <w:pPr>
        <w:spacing w:after="0"/>
        <w:rPr>
          <w:lang w:eastAsia="es-MX"/>
        </w:rPr>
      </w:pPr>
      <w:r w:rsidRPr="006E6390">
        <w:rPr>
          <w:lang w:eastAsia="es-MX"/>
        </w:rPr>
        <w:t xml:space="preserve">Por lo tanto, RECOPE cumple debidamente con la razón establecida en el artículo 116 de la Ley Orgánica del Banco Central de Costa Rica y no tiene limitaciones para realizar nuevas colocaciones de títulos valores.  Respecto al indicador al cierre de </w:t>
      </w:r>
      <w:r w:rsidR="00B6579F" w:rsidRPr="006E6390">
        <w:rPr>
          <w:lang w:eastAsia="es-MX"/>
        </w:rPr>
        <w:t>20</w:t>
      </w:r>
      <w:r w:rsidR="00B6579F">
        <w:rPr>
          <w:lang w:eastAsia="es-MX"/>
        </w:rPr>
        <w:t>21</w:t>
      </w:r>
      <w:r w:rsidR="00B6579F" w:rsidRPr="006E6390">
        <w:rPr>
          <w:lang w:eastAsia="es-MX"/>
        </w:rPr>
        <w:t xml:space="preserve"> </w:t>
      </w:r>
      <w:r w:rsidRPr="006E6390">
        <w:rPr>
          <w:lang w:eastAsia="es-MX"/>
        </w:rPr>
        <w:t>(</w:t>
      </w:r>
      <w:r w:rsidR="00B6579F">
        <w:rPr>
          <w:lang w:eastAsia="es-MX"/>
        </w:rPr>
        <w:t>1</w:t>
      </w:r>
      <w:r w:rsidRPr="006E6390">
        <w:rPr>
          <w:lang w:eastAsia="es-MX"/>
        </w:rPr>
        <w:t>,</w:t>
      </w:r>
      <w:r w:rsidR="00B6579F">
        <w:rPr>
          <w:lang w:eastAsia="es-MX"/>
        </w:rPr>
        <w:t>2</w:t>
      </w:r>
      <w:r w:rsidR="00B6579F" w:rsidRPr="006E6390">
        <w:rPr>
          <w:lang w:eastAsia="es-MX"/>
        </w:rPr>
        <w:t xml:space="preserve"> </w:t>
      </w:r>
      <w:r w:rsidRPr="006E6390">
        <w:rPr>
          <w:lang w:eastAsia="es-MX"/>
        </w:rPr>
        <w:t xml:space="preserve">veces), se observa una mejora de la razón en </w:t>
      </w:r>
      <w:r w:rsidR="00B6579F" w:rsidRPr="006E6390">
        <w:rPr>
          <w:lang w:eastAsia="es-MX"/>
        </w:rPr>
        <w:t>202</w:t>
      </w:r>
      <w:r w:rsidR="00B6579F">
        <w:rPr>
          <w:lang w:eastAsia="es-MX"/>
        </w:rPr>
        <w:t>2</w:t>
      </w:r>
      <w:r w:rsidR="001F5AFA" w:rsidRPr="006E6390">
        <w:rPr>
          <w:lang w:eastAsia="es-MX"/>
        </w:rPr>
        <w:t>.</w:t>
      </w:r>
    </w:p>
    <w:p w14:paraId="43D13C9C" w14:textId="77777777" w:rsidR="00EF3C3A" w:rsidRPr="006E6390" w:rsidRDefault="00EF3C3A" w:rsidP="00873CC3">
      <w:pPr>
        <w:rPr>
          <w:lang w:eastAsia="es-MX"/>
        </w:rPr>
      </w:pPr>
    </w:p>
    <w:p w14:paraId="2C65B557" w14:textId="77777777" w:rsidR="00873CC3" w:rsidRPr="006E6390" w:rsidRDefault="00873CC3" w:rsidP="00873CC3">
      <w:pPr>
        <w:pStyle w:val="Ttulo3"/>
      </w:pPr>
      <w:bookmarkStart w:id="71" w:name="_Toc38630796"/>
      <w:r w:rsidRPr="006E6390">
        <w:t>2.4.2. Captaciones a pasivo total (porcentajes)</w:t>
      </w:r>
      <w:bookmarkEnd w:id="71"/>
    </w:p>
    <w:p w14:paraId="54EA941C" w14:textId="77777777" w:rsidR="00873CC3" w:rsidRPr="006E6390" w:rsidRDefault="00873CC3" w:rsidP="00873CC3">
      <w:pPr>
        <w:rPr>
          <w:rFonts w:eastAsia="Calibri"/>
          <w:lang w:eastAsia="en-US"/>
        </w:rPr>
      </w:pPr>
      <w:r w:rsidRPr="006E6390">
        <w:rPr>
          <w:rFonts w:eastAsia="Calibri"/>
          <w:lang w:eastAsia="en-US"/>
        </w:rPr>
        <w:t>Este indicador muestra la relación porcentual que aporta el monto captado por RECOPE. Las captaciones se realizaron de la siguiente manera:</w:t>
      </w:r>
    </w:p>
    <w:p w14:paraId="4640D747" w14:textId="7295E7F2" w:rsidR="00873CC3" w:rsidRPr="006E6390" w:rsidRDefault="00873CC3" w:rsidP="00873CC3">
      <w:pPr>
        <w:pStyle w:val="Prrafodelista"/>
        <w:numPr>
          <w:ilvl w:val="0"/>
          <w:numId w:val="16"/>
        </w:numPr>
        <w:rPr>
          <w:rFonts w:eastAsia="Calibri"/>
          <w:lang w:eastAsia="en-US"/>
        </w:rPr>
      </w:pPr>
      <w:r w:rsidRPr="006E6390">
        <w:rPr>
          <w:rFonts w:eastAsia="Calibri"/>
          <w:lang w:eastAsia="en-US"/>
        </w:rPr>
        <w:t xml:space="preserve">2012: Serie A1 por </w:t>
      </w:r>
      <w:r w:rsidR="00EF77FA">
        <w:rPr>
          <w:rFonts w:eastAsia="Calibri"/>
          <w:lang w:eastAsia="en-US"/>
        </w:rPr>
        <w:t xml:space="preserve">US$ </w:t>
      </w:r>
      <w:r w:rsidR="00EF77FA" w:rsidRPr="006E6390">
        <w:rPr>
          <w:rFonts w:eastAsia="Calibri"/>
          <w:lang w:eastAsia="en-US"/>
        </w:rPr>
        <w:t xml:space="preserve">50 </w:t>
      </w:r>
      <w:r w:rsidRPr="006E6390">
        <w:rPr>
          <w:rFonts w:eastAsia="Calibri"/>
          <w:lang w:eastAsia="en-US"/>
        </w:rPr>
        <w:t>millones</w:t>
      </w:r>
      <w:r w:rsidR="0087735E">
        <w:rPr>
          <w:rFonts w:eastAsia="Calibri"/>
          <w:lang w:eastAsia="en-US"/>
        </w:rPr>
        <w:t xml:space="preserve"> (serie ya redimida)</w:t>
      </w:r>
      <w:r w:rsidRPr="006E6390">
        <w:rPr>
          <w:rFonts w:eastAsia="Calibri"/>
          <w:lang w:eastAsia="en-US"/>
        </w:rPr>
        <w:t>.</w:t>
      </w:r>
    </w:p>
    <w:p w14:paraId="408FA838" w14:textId="5BD4AD1B" w:rsidR="00873CC3" w:rsidRPr="006E6390" w:rsidRDefault="00873CC3" w:rsidP="00873CC3">
      <w:pPr>
        <w:pStyle w:val="Prrafodelista"/>
        <w:numPr>
          <w:ilvl w:val="0"/>
          <w:numId w:val="16"/>
        </w:numPr>
        <w:rPr>
          <w:rFonts w:eastAsia="Calibri"/>
          <w:lang w:eastAsia="en-US"/>
        </w:rPr>
      </w:pPr>
      <w:r w:rsidRPr="006E6390">
        <w:rPr>
          <w:rFonts w:eastAsia="Calibri"/>
          <w:lang w:eastAsia="en-US"/>
        </w:rPr>
        <w:t xml:space="preserve">2013: Serie A2 por </w:t>
      </w:r>
      <w:r w:rsidR="00EF77FA">
        <w:rPr>
          <w:rFonts w:eastAsia="Calibri"/>
          <w:lang w:eastAsia="en-US"/>
        </w:rPr>
        <w:t>US$</w:t>
      </w:r>
      <w:r w:rsidR="00EF77FA" w:rsidRPr="006E6390">
        <w:rPr>
          <w:rFonts w:eastAsia="Calibri"/>
          <w:lang w:eastAsia="en-US"/>
        </w:rPr>
        <w:t xml:space="preserve"> </w:t>
      </w:r>
      <w:r w:rsidRPr="006E6390">
        <w:rPr>
          <w:rFonts w:eastAsia="Calibri"/>
          <w:lang w:eastAsia="en-US"/>
        </w:rPr>
        <w:t xml:space="preserve">50 millones, </w:t>
      </w:r>
      <w:r w:rsidRPr="006D5170">
        <w:rPr>
          <w:rFonts w:eastAsia="Calibri"/>
          <w:lang w:eastAsia="en-US"/>
        </w:rPr>
        <w:t>equivalente a ₡</w:t>
      </w:r>
      <w:r w:rsidR="006D5170" w:rsidRPr="006D5170">
        <w:rPr>
          <w:rFonts w:eastAsia="Calibri"/>
          <w:lang w:eastAsia="en-US"/>
        </w:rPr>
        <w:t>29 882</w:t>
      </w:r>
      <w:r w:rsidR="001601AD" w:rsidRPr="006D5170">
        <w:rPr>
          <w:rFonts w:eastAsia="Calibri"/>
          <w:lang w:eastAsia="en-US"/>
        </w:rPr>
        <w:t xml:space="preserve"> </w:t>
      </w:r>
      <w:r w:rsidRPr="006D5170">
        <w:rPr>
          <w:rFonts w:eastAsia="Calibri"/>
          <w:lang w:eastAsia="en-US"/>
        </w:rPr>
        <w:t>mi</w:t>
      </w:r>
      <w:r w:rsidRPr="006E6390">
        <w:rPr>
          <w:rFonts w:eastAsia="Calibri"/>
          <w:lang w:eastAsia="en-US"/>
        </w:rPr>
        <w:t>llones.</w:t>
      </w:r>
    </w:p>
    <w:p w14:paraId="6235359F" w14:textId="7F19E31B" w:rsidR="00873CC3" w:rsidRPr="006E6390" w:rsidRDefault="00873CC3" w:rsidP="00873CC3">
      <w:pPr>
        <w:pStyle w:val="Prrafodelista"/>
        <w:numPr>
          <w:ilvl w:val="0"/>
          <w:numId w:val="16"/>
        </w:numPr>
        <w:rPr>
          <w:rFonts w:eastAsia="Calibri"/>
          <w:lang w:eastAsia="en-US"/>
        </w:rPr>
      </w:pPr>
      <w:r w:rsidRPr="006E6390">
        <w:rPr>
          <w:rFonts w:eastAsia="Calibri"/>
          <w:lang w:eastAsia="en-US"/>
        </w:rPr>
        <w:t xml:space="preserve">2014: Serie A4 por </w:t>
      </w:r>
      <w:r w:rsidR="00EF77FA">
        <w:rPr>
          <w:rFonts w:eastAsia="Calibri"/>
          <w:lang w:eastAsia="en-US"/>
        </w:rPr>
        <w:t xml:space="preserve">US$ </w:t>
      </w:r>
      <w:r w:rsidR="00EF77FA" w:rsidRPr="006E6390">
        <w:rPr>
          <w:rFonts w:eastAsia="Calibri"/>
          <w:lang w:eastAsia="en-US"/>
        </w:rPr>
        <w:t xml:space="preserve">40 </w:t>
      </w:r>
      <w:r w:rsidRPr="006E6390">
        <w:rPr>
          <w:rFonts w:eastAsia="Calibri"/>
          <w:lang w:eastAsia="en-US"/>
        </w:rPr>
        <w:t xml:space="preserve">millones, equivalente </w:t>
      </w:r>
      <w:r w:rsidRPr="001F4D96">
        <w:rPr>
          <w:rFonts w:eastAsia="Calibri"/>
          <w:lang w:eastAsia="en-US"/>
        </w:rPr>
        <w:t>a ₡2</w:t>
      </w:r>
      <w:r w:rsidR="001F4D96" w:rsidRPr="005B64AF">
        <w:rPr>
          <w:rFonts w:eastAsia="Calibri"/>
          <w:lang w:eastAsia="en-US"/>
        </w:rPr>
        <w:t>3</w:t>
      </w:r>
      <w:r w:rsidR="001601AD" w:rsidRPr="001F4D96">
        <w:rPr>
          <w:rFonts w:eastAsia="Calibri"/>
          <w:lang w:eastAsia="en-US"/>
        </w:rPr>
        <w:t xml:space="preserve"> </w:t>
      </w:r>
      <w:r w:rsidR="001F4D96" w:rsidRPr="005B64AF">
        <w:rPr>
          <w:rFonts w:eastAsia="Calibri"/>
          <w:lang w:eastAsia="en-US"/>
        </w:rPr>
        <w:t>9</w:t>
      </w:r>
      <w:r w:rsidR="001F4D96" w:rsidRPr="001F4D96">
        <w:rPr>
          <w:rFonts w:eastAsia="Calibri"/>
          <w:lang w:eastAsia="en-US"/>
        </w:rPr>
        <w:t>06</w:t>
      </w:r>
      <w:r w:rsidR="001F4D96" w:rsidRPr="006E6390">
        <w:rPr>
          <w:rFonts w:eastAsia="Calibri"/>
          <w:lang w:eastAsia="en-US"/>
        </w:rPr>
        <w:t xml:space="preserve"> </w:t>
      </w:r>
      <w:r w:rsidRPr="006E6390">
        <w:rPr>
          <w:rFonts w:eastAsia="Calibri"/>
          <w:lang w:eastAsia="en-US"/>
        </w:rPr>
        <w:t>millones.</w:t>
      </w:r>
    </w:p>
    <w:p w14:paraId="2E570754" w14:textId="77777777" w:rsidR="00873CC3" w:rsidRPr="006E6390" w:rsidRDefault="00873CC3" w:rsidP="00873CC3">
      <w:pPr>
        <w:pStyle w:val="Prrafodelista"/>
        <w:numPr>
          <w:ilvl w:val="0"/>
          <w:numId w:val="16"/>
        </w:numPr>
        <w:rPr>
          <w:rFonts w:eastAsia="Calibri"/>
          <w:lang w:eastAsia="en-US"/>
        </w:rPr>
      </w:pPr>
      <w:r w:rsidRPr="006E6390">
        <w:rPr>
          <w:rFonts w:eastAsia="Calibri"/>
          <w:lang w:eastAsia="en-US"/>
        </w:rPr>
        <w:t>2015: Serie A5 por: ₡20</w:t>
      </w:r>
      <w:r w:rsidR="00DE00A7" w:rsidRPr="006E6390">
        <w:rPr>
          <w:rFonts w:eastAsia="Calibri"/>
          <w:lang w:eastAsia="en-US"/>
        </w:rPr>
        <w:t xml:space="preserve"> </w:t>
      </w:r>
      <w:r w:rsidRPr="006E6390">
        <w:rPr>
          <w:rFonts w:eastAsia="Calibri"/>
          <w:lang w:eastAsia="en-US"/>
        </w:rPr>
        <w:t>000 millones.</w:t>
      </w:r>
    </w:p>
    <w:p w14:paraId="5BC0F0F0" w14:textId="77777777" w:rsidR="00873CC3" w:rsidRPr="006E6390" w:rsidRDefault="00873CC3" w:rsidP="005B64AF">
      <w:pPr>
        <w:pStyle w:val="Prrafodelista"/>
        <w:numPr>
          <w:ilvl w:val="0"/>
          <w:numId w:val="16"/>
        </w:numPr>
        <w:spacing w:after="0"/>
        <w:rPr>
          <w:rFonts w:eastAsia="Calibri"/>
          <w:lang w:eastAsia="en-US"/>
        </w:rPr>
      </w:pPr>
      <w:r w:rsidRPr="006E6390">
        <w:rPr>
          <w:rFonts w:eastAsia="Calibri"/>
          <w:lang w:eastAsia="en-US"/>
        </w:rPr>
        <w:t>2016: Serie A6 por ₡5</w:t>
      </w:r>
      <w:r w:rsidR="00DE00A7" w:rsidRPr="006E6390">
        <w:rPr>
          <w:rFonts w:eastAsia="Calibri"/>
          <w:lang w:eastAsia="en-US"/>
        </w:rPr>
        <w:t xml:space="preserve"> </w:t>
      </w:r>
      <w:r w:rsidRPr="006E6390">
        <w:rPr>
          <w:rFonts w:eastAsia="Calibri"/>
          <w:lang w:eastAsia="en-US"/>
        </w:rPr>
        <w:t>667 millones.</w:t>
      </w:r>
    </w:p>
    <w:p w14:paraId="611CD42D" w14:textId="77777777" w:rsidR="002E4A60" w:rsidRDefault="002E4A60" w:rsidP="005B64AF">
      <w:pPr>
        <w:spacing w:after="0"/>
        <w:rPr>
          <w:rFonts w:eastAsia="Calibri"/>
          <w:lang w:eastAsia="en-US"/>
        </w:rPr>
      </w:pPr>
    </w:p>
    <w:p w14:paraId="13E815B6" w14:textId="1A93F7F9" w:rsidR="00873CC3" w:rsidRDefault="00873CC3" w:rsidP="005B64AF">
      <w:pPr>
        <w:spacing w:after="0"/>
        <w:rPr>
          <w:rFonts w:eastAsia="Calibri"/>
          <w:lang w:eastAsia="en-US"/>
        </w:rPr>
      </w:pPr>
      <w:r w:rsidRPr="006E6390">
        <w:rPr>
          <w:rFonts w:eastAsia="Calibri"/>
          <w:lang w:eastAsia="en-US"/>
        </w:rPr>
        <w:t xml:space="preserve">Los valores en dólares se expresan al cierre de </w:t>
      </w:r>
      <w:r w:rsidR="00FD0998" w:rsidRPr="006E6390">
        <w:rPr>
          <w:rFonts w:eastAsia="Calibri"/>
          <w:lang w:eastAsia="en-US"/>
        </w:rPr>
        <w:t>202</w:t>
      </w:r>
      <w:r w:rsidR="008502CA" w:rsidRPr="006E6390">
        <w:rPr>
          <w:rFonts w:eastAsia="Calibri"/>
          <w:lang w:eastAsia="en-US"/>
        </w:rPr>
        <w:t>1</w:t>
      </w:r>
      <w:r w:rsidRPr="006E6390">
        <w:rPr>
          <w:rFonts w:eastAsia="Calibri"/>
          <w:lang w:eastAsia="en-US"/>
        </w:rPr>
        <w:t>, según lo reportado en los EEFF auditados.</w:t>
      </w:r>
    </w:p>
    <w:p w14:paraId="399CBAF6" w14:textId="1E2D0FB9" w:rsidR="00461909" w:rsidRDefault="00461909">
      <w:pPr>
        <w:spacing w:after="0" w:line="240" w:lineRule="auto"/>
        <w:jc w:val="left"/>
        <w:rPr>
          <w:rFonts w:eastAsia="Calibri"/>
          <w:lang w:eastAsia="en-US"/>
        </w:rPr>
      </w:pPr>
      <w:r>
        <w:rPr>
          <w:rFonts w:eastAsia="Calibri"/>
          <w:lang w:eastAsia="en-US"/>
        </w:rPr>
        <w:br w:type="page"/>
      </w:r>
    </w:p>
    <w:p w14:paraId="41C0F09E" w14:textId="77777777" w:rsidR="002E4A60" w:rsidRPr="006E6390" w:rsidRDefault="002E4A60" w:rsidP="00873CC3">
      <w:pPr>
        <w:rPr>
          <w:rFonts w:eastAsia="Calibri"/>
          <w:lang w:eastAsia="en-US"/>
        </w:rPr>
      </w:pPr>
    </w:p>
    <w:p w14:paraId="49959785" w14:textId="77777777" w:rsidR="00873CC3" w:rsidRPr="006E6390" w:rsidRDefault="00873CC3" w:rsidP="00873CC3">
      <w:pPr>
        <w:pStyle w:val="Ttuloscuadros"/>
        <w:tabs>
          <w:tab w:val="left" w:pos="9270"/>
        </w:tabs>
        <w:spacing w:after="120"/>
        <w:rPr>
          <w:rFonts w:cs="Arial"/>
          <w:lang w:eastAsia="es-MX"/>
        </w:rPr>
      </w:pPr>
      <w:r w:rsidRPr="006E6390">
        <w:rPr>
          <w:rFonts w:cs="Arial"/>
          <w:lang w:eastAsia="es-MX"/>
        </w:rPr>
        <w:t>Cuadro N°1</w:t>
      </w:r>
      <w:r w:rsidR="006D0600" w:rsidRPr="006E6390">
        <w:rPr>
          <w:rFonts w:cs="Arial"/>
          <w:lang w:eastAsia="es-MX"/>
        </w:rPr>
        <w:t>5</w:t>
      </w:r>
    </w:p>
    <w:tbl>
      <w:tblPr>
        <w:tblStyle w:val="Tablanormal1"/>
        <w:tblW w:w="4954" w:type="pct"/>
        <w:jc w:val="center"/>
        <w:tblLook w:val="04A0" w:firstRow="1" w:lastRow="0" w:firstColumn="1" w:lastColumn="0" w:noHBand="0" w:noVBand="1"/>
      </w:tblPr>
      <w:tblGrid>
        <w:gridCol w:w="4993"/>
        <w:gridCol w:w="1351"/>
        <w:gridCol w:w="1351"/>
        <w:gridCol w:w="1191"/>
      </w:tblGrid>
      <w:tr w:rsidR="00247CE0" w:rsidRPr="006E6390" w14:paraId="6D52FC8F" w14:textId="77777777" w:rsidTr="00640333">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809" w:type="pct"/>
            <w:hideMark/>
          </w:tcPr>
          <w:p w14:paraId="0AE2B032" w14:textId="77777777" w:rsidR="006B55E5" w:rsidRPr="006E6390" w:rsidRDefault="006B55E5" w:rsidP="006B55E5">
            <w:pPr>
              <w:pStyle w:val="Tablas"/>
              <w:tabs>
                <w:tab w:val="left" w:pos="9270"/>
              </w:tabs>
              <w:spacing w:after="240"/>
              <w:rPr>
                <w:rFonts w:cs="Arial"/>
                <w:sz w:val="20"/>
                <w:szCs w:val="20"/>
              </w:rPr>
            </w:pPr>
            <w:r>
              <w:rPr>
                <w:rFonts w:ascii="Calibri" w:hAnsi="Calibri" w:cs="Calibri"/>
                <w:color w:val="000000"/>
                <w:sz w:val="20"/>
                <w:szCs w:val="20"/>
              </w:rPr>
              <w:t> </w:t>
            </w:r>
          </w:p>
        </w:tc>
        <w:tc>
          <w:tcPr>
            <w:tcW w:w="760" w:type="pct"/>
            <w:vAlign w:val="center"/>
          </w:tcPr>
          <w:p w14:paraId="358E30B4" w14:textId="7D88CAC0" w:rsidR="006B55E5" w:rsidRPr="00247CE0" w:rsidRDefault="006B55E5" w:rsidP="006B55E5">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dic-20</w:t>
            </w:r>
          </w:p>
        </w:tc>
        <w:tc>
          <w:tcPr>
            <w:tcW w:w="760" w:type="pct"/>
            <w:vAlign w:val="center"/>
          </w:tcPr>
          <w:p w14:paraId="2AEF2842" w14:textId="03D729C1" w:rsidR="006B55E5" w:rsidRPr="00247CE0" w:rsidRDefault="006B55E5" w:rsidP="006B55E5">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dic-21</w:t>
            </w:r>
          </w:p>
        </w:tc>
        <w:tc>
          <w:tcPr>
            <w:tcW w:w="670" w:type="pct"/>
            <w:vAlign w:val="center"/>
          </w:tcPr>
          <w:p w14:paraId="33E82EAA" w14:textId="70698A48" w:rsidR="006B55E5" w:rsidRPr="00247CE0" w:rsidRDefault="006B55E5" w:rsidP="006B55E5">
            <w:pPr>
              <w:pStyle w:val="Tablas"/>
              <w:tabs>
                <w:tab w:val="left" w:pos="9270"/>
              </w:tabs>
              <w:spacing w:after="240"/>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dic-22</w:t>
            </w:r>
          </w:p>
        </w:tc>
      </w:tr>
      <w:tr w:rsidR="00247CE0" w:rsidRPr="006E6390" w14:paraId="37C4B9EE" w14:textId="77777777" w:rsidTr="00640333">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09" w:type="pct"/>
            <w:vAlign w:val="center"/>
            <w:hideMark/>
          </w:tcPr>
          <w:p w14:paraId="23AFDAC2" w14:textId="1BEADCB3" w:rsidR="001F4D96" w:rsidRPr="006E6390" w:rsidRDefault="001F4D96" w:rsidP="001F4D96">
            <w:pPr>
              <w:pStyle w:val="Tablas"/>
              <w:tabs>
                <w:tab w:val="left" w:pos="9270"/>
              </w:tabs>
              <w:rPr>
                <w:rFonts w:cs="Arial"/>
                <w:b w:val="0"/>
                <w:sz w:val="20"/>
                <w:szCs w:val="20"/>
              </w:rPr>
            </w:pPr>
            <w:r>
              <w:rPr>
                <w:rFonts w:cs="Arial"/>
                <w:color w:val="000000"/>
                <w:sz w:val="20"/>
                <w:szCs w:val="20"/>
              </w:rPr>
              <w:t>Captaciones/Pasivo Total (a/b)</w:t>
            </w:r>
          </w:p>
        </w:tc>
        <w:tc>
          <w:tcPr>
            <w:tcW w:w="760" w:type="pct"/>
            <w:noWrap/>
            <w:vAlign w:val="center"/>
          </w:tcPr>
          <w:p w14:paraId="2C681207" w14:textId="1C219246"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35,83%</w:t>
            </w:r>
          </w:p>
        </w:tc>
        <w:tc>
          <w:tcPr>
            <w:tcW w:w="760" w:type="pct"/>
            <w:vAlign w:val="center"/>
          </w:tcPr>
          <w:p w14:paraId="2F88704F" w14:textId="4EF559B3"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23,65%</w:t>
            </w:r>
          </w:p>
        </w:tc>
        <w:tc>
          <w:tcPr>
            <w:tcW w:w="670" w:type="pct"/>
            <w:vAlign w:val="center"/>
          </w:tcPr>
          <w:p w14:paraId="20495168" w14:textId="67011617"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22,80%</w:t>
            </w:r>
          </w:p>
        </w:tc>
      </w:tr>
      <w:tr w:rsidR="00247CE0" w:rsidRPr="006E6390" w14:paraId="72BFF685" w14:textId="77777777" w:rsidTr="00640333">
        <w:trPr>
          <w:trHeight w:val="192"/>
          <w:jc w:val="center"/>
        </w:trPr>
        <w:tc>
          <w:tcPr>
            <w:cnfStyle w:val="001000000000" w:firstRow="0" w:lastRow="0" w:firstColumn="1" w:lastColumn="0" w:oddVBand="0" w:evenVBand="0" w:oddHBand="0" w:evenHBand="0" w:firstRowFirstColumn="0" w:firstRowLastColumn="0" w:lastRowFirstColumn="0" w:lastRowLastColumn="0"/>
            <w:tcW w:w="2809" w:type="pct"/>
            <w:vAlign w:val="center"/>
            <w:hideMark/>
          </w:tcPr>
          <w:p w14:paraId="111DAD51" w14:textId="2FB96578" w:rsidR="001F4D96" w:rsidRPr="006E6390" w:rsidRDefault="001F4D96" w:rsidP="001F4D96">
            <w:pPr>
              <w:pStyle w:val="Tablas"/>
              <w:tabs>
                <w:tab w:val="left" w:pos="9270"/>
              </w:tabs>
              <w:rPr>
                <w:rFonts w:cs="Arial"/>
                <w:sz w:val="20"/>
                <w:szCs w:val="20"/>
              </w:rPr>
            </w:pPr>
            <w:r>
              <w:rPr>
                <w:rFonts w:cs="Arial"/>
                <w:b w:val="0"/>
                <w:bCs w:val="0"/>
                <w:color w:val="000000"/>
                <w:sz w:val="20"/>
                <w:szCs w:val="20"/>
              </w:rPr>
              <w:t>a)     Monto captado (millones de ₡)</w:t>
            </w:r>
          </w:p>
        </w:tc>
        <w:tc>
          <w:tcPr>
            <w:tcW w:w="760" w:type="pct"/>
            <w:vAlign w:val="center"/>
          </w:tcPr>
          <w:p w14:paraId="3A8EA556" w14:textId="767682C2" w:rsidR="001F4D96" w:rsidRPr="006E6390" w:rsidRDefault="001F4D96" w:rsidP="001F4D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112 302</w:t>
            </w:r>
          </w:p>
        </w:tc>
        <w:tc>
          <w:tcPr>
            <w:tcW w:w="760" w:type="pct"/>
            <w:vAlign w:val="center"/>
          </w:tcPr>
          <w:p w14:paraId="0D69B4D4" w14:textId="3B834855" w:rsidR="001F4D96" w:rsidRPr="006E6390" w:rsidRDefault="001F4D96" w:rsidP="001F4D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115 960</w:t>
            </w:r>
          </w:p>
        </w:tc>
        <w:tc>
          <w:tcPr>
            <w:tcW w:w="670" w:type="pct"/>
            <w:vAlign w:val="center"/>
          </w:tcPr>
          <w:p w14:paraId="2B4AE1AA" w14:textId="367AC876" w:rsidR="001F4D96" w:rsidRPr="006E6390" w:rsidRDefault="001F4D96" w:rsidP="001F4D96">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79 455</w:t>
            </w:r>
          </w:p>
        </w:tc>
      </w:tr>
      <w:tr w:rsidR="00247CE0" w:rsidRPr="006E6390" w14:paraId="61EF5BB0" w14:textId="77777777" w:rsidTr="006403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9" w:type="pct"/>
            <w:vAlign w:val="center"/>
            <w:hideMark/>
          </w:tcPr>
          <w:p w14:paraId="49613C42" w14:textId="1F6919B5" w:rsidR="001F4D96" w:rsidRPr="006E6390" w:rsidRDefault="001F4D96" w:rsidP="001F4D96">
            <w:pPr>
              <w:pStyle w:val="Tablas"/>
              <w:tabs>
                <w:tab w:val="left" w:pos="9270"/>
              </w:tabs>
              <w:rPr>
                <w:rFonts w:cs="Arial"/>
                <w:sz w:val="20"/>
                <w:szCs w:val="20"/>
              </w:rPr>
            </w:pPr>
            <w:r>
              <w:rPr>
                <w:rFonts w:cs="Arial"/>
                <w:b w:val="0"/>
                <w:bCs w:val="0"/>
                <w:color w:val="000000"/>
                <w:sz w:val="20"/>
                <w:szCs w:val="20"/>
              </w:rPr>
              <w:t>b)     Pasivos Totales (millones de ₡)</w:t>
            </w:r>
          </w:p>
        </w:tc>
        <w:tc>
          <w:tcPr>
            <w:tcW w:w="760" w:type="pct"/>
            <w:vAlign w:val="center"/>
          </w:tcPr>
          <w:p w14:paraId="32519834" w14:textId="1E0BE922"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313 442</w:t>
            </w:r>
          </w:p>
        </w:tc>
        <w:tc>
          <w:tcPr>
            <w:tcW w:w="760" w:type="pct"/>
            <w:vAlign w:val="center"/>
          </w:tcPr>
          <w:p w14:paraId="7F48CFC3" w14:textId="49FB6F8E"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490 277</w:t>
            </w:r>
          </w:p>
        </w:tc>
        <w:tc>
          <w:tcPr>
            <w:tcW w:w="670" w:type="pct"/>
            <w:vAlign w:val="center"/>
          </w:tcPr>
          <w:p w14:paraId="275779FB" w14:textId="4DF368E3" w:rsidR="001F4D96" w:rsidRPr="006E6390" w:rsidRDefault="001F4D96" w:rsidP="001F4D96">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348 522</w:t>
            </w:r>
          </w:p>
        </w:tc>
      </w:tr>
    </w:tbl>
    <w:p w14:paraId="369D500C" w14:textId="77777777" w:rsidR="00FD48E2" w:rsidRPr="006E6390" w:rsidRDefault="00FD48E2" w:rsidP="00873CC3">
      <w:pPr>
        <w:rPr>
          <w:rFonts w:cs="Arial"/>
          <w:lang w:eastAsia="es-MX"/>
        </w:rPr>
      </w:pPr>
    </w:p>
    <w:p w14:paraId="4C149F6B" w14:textId="6C69E1B8" w:rsidR="00873CC3" w:rsidRDefault="00873CC3" w:rsidP="00247CE0">
      <w:pPr>
        <w:spacing w:after="0"/>
        <w:rPr>
          <w:rFonts w:cs="Arial"/>
          <w:lang w:eastAsia="es-MX"/>
        </w:rPr>
      </w:pPr>
      <w:r w:rsidRPr="006E6390">
        <w:rPr>
          <w:rFonts w:cs="Arial"/>
          <w:lang w:eastAsia="es-MX"/>
        </w:rPr>
        <w:t xml:space="preserve">La captación de RECOPE correspondiente a los títulos de la serie A partieron en diciembre de 2012.  En </w:t>
      </w:r>
      <w:r w:rsidR="00C54C34" w:rsidRPr="006E6390">
        <w:rPr>
          <w:rFonts w:cs="Arial"/>
          <w:lang w:eastAsia="es-MX"/>
        </w:rPr>
        <w:t>201</w:t>
      </w:r>
      <w:r w:rsidR="00D0349A">
        <w:rPr>
          <w:rFonts w:cs="Arial"/>
          <w:lang w:eastAsia="es-MX"/>
        </w:rPr>
        <w:t>9</w:t>
      </w:r>
      <w:r w:rsidR="00C54C34" w:rsidRPr="006E6390">
        <w:rPr>
          <w:rFonts w:cs="Arial"/>
          <w:lang w:eastAsia="es-MX"/>
        </w:rPr>
        <w:t xml:space="preserve"> </w:t>
      </w:r>
      <w:r w:rsidRPr="006E6390">
        <w:rPr>
          <w:rFonts w:cs="Arial"/>
          <w:lang w:eastAsia="es-MX"/>
        </w:rPr>
        <w:t xml:space="preserve">la razón Captaciones/ Pasivo Total fue de </w:t>
      </w:r>
      <w:r w:rsidR="00D0349A">
        <w:rPr>
          <w:rFonts w:cs="Arial"/>
          <w:lang w:eastAsia="es-MX"/>
        </w:rPr>
        <w:t>33</w:t>
      </w:r>
      <w:r w:rsidR="00C54C34" w:rsidRPr="006E6390">
        <w:rPr>
          <w:rFonts w:cs="Arial"/>
          <w:lang w:eastAsia="es-MX"/>
        </w:rPr>
        <w:t>,5</w:t>
      </w:r>
      <w:r w:rsidRPr="006E6390">
        <w:rPr>
          <w:rFonts w:cs="Arial"/>
          <w:lang w:eastAsia="es-MX"/>
        </w:rPr>
        <w:t xml:space="preserve">% </w:t>
      </w:r>
      <w:r w:rsidR="00C54C34" w:rsidRPr="006E6390">
        <w:rPr>
          <w:rFonts w:cs="Arial"/>
          <w:lang w:eastAsia="es-MX"/>
        </w:rPr>
        <w:t xml:space="preserve">pero luego se mantiene entre un </w:t>
      </w:r>
      <w:r w:rsidR="002C0441" w:rsidRPr="006E6390">
        <w:rPr>
          <w:rFonts w:cs="Arial"/>
          <w:lang w:eastAsia="es-MX"/>
        </w:rPr>
        <w:t>3</w:t>
      </w:r>
      <w:r w:rsidR="00D0349A">
        <w:rPr>
          <w:rFonts w:cs="Arial"/>
          <w:lang w:eastAsia="es-MX"/>
        </w:rPr>
        <w:t>5</w:t>
      </w:r>
      <w:r w:rsidR="002C0441" w:rsidRPr="006E6390">
        <w:rPr>
          <w:rFonts w:cs="Arial"/>
          <w:lang w:eastAsia="es-MX"/>
        </w:rPr>
        <w:t>,</w:t>
      </w:r>
      <w:r w:rsidR="00D0349A">
        <w:rPr>
          <w:rFonts w:cs="Arial"/>
          <w:lang w:eastAsia="es-MX"/>
        </w:rPr>
        <w:t>8</w:t>
      </w:r>
      <w:r w:rsidR="002C0441" w:rsidRPr="006E6390">
        <w:rPr>
          <w:rFonts w:cs="Arial"/>
          <w:lang w:eastAsia="es-MX"/>
        </w:rPr>
        <w:t>%</w:t>
      </w:r>
      <w:r w:rsidR="00D0349A">
        <w:rPr>
          <w:rFonts w:cs="Arial"/>
          <w:lang w:eastAsia="es-MX"/>
        </w:rPr>
        <w:t xml:space="preserve"> </w:t>
      </w:r>
      <w:r w:rsidR="00D866C4" w:rsidRPr="006E6390">
        <w:rPr>
          <w:rFonts w:cs="Arial"/>
          <w:lang w:eastAsia="es-MX"/>
        </w:rPr>
        <w:t>y 23,7%</w:t>
      </w:r>
      <w:r w:rsidR="00C54C34" w:rsidRPr="006E6390">
        <w:rPr>
          <w:rFonts w:cs="Arial"/>
          <w:lang w:eastAsia="es-MX"/>
        </w:rPr>
        <w:t xml:space="preserve"> </w:t>
      </w:r>
      <w:r w:rsidR="00D0349A">
        <w:rPr>
          <w:rFonts w:cs="Arial"/>
          <w:lang w:eastAsia="es-MX"/>
        </w:rPr>
        <w:t xml:space="preserve">para los periodos 2020 y 2021 respectivamente, </w:t>
      </w:r>
      <w:r w:rsidR="00C54C34" w:rsidRPr="006E6390">
        <w:rPr>
          <w:rFonts w:cs="Arial"/>
          <w:lang w:eastAsia="es-MX"/>
        </w:rPr>
        <w:t xml:space="preserve">debido a </w:t>
      </w:r>
      <w:r w:rsidRPr="006E6390">
        <w:rPr>
          <w:rFonts w:cs="Arial"/>
          <w:lang w:eastAsia="es-MX"/>
        </w:rPr>
        <w:t xml:space="preserve">dos razones principales: 1) </w:t>
      </w:r>
      <w:r w:rsidR="00C54C34" w:rsidRPr="006E6390">
        <w:rPr>
          <w:rFonts w:cs="Arial"/>
          <w:lang w:eastAsia="es-MX"/>
        </w:rPr>
        <w:t>desde esa fecha</w:t>
      </w:r>
      <w:r w:rsidRPr="006E6390">
        <w:rPr>
          <w:rFonts w:cs="Arial"/>
          <w:lang w:eastAsia="es-MX"/>
        </w:rPr>
        <w:t xml:space="preserve"> no hubo nuevas captaciones, dado que el avance de los proyectos de inversión no requirió de este tipo de recursos, y 2) hubo un </w:t>
      </w:r>
      <w:r w:rsidR="00D866C4" w:rsidRPr="006E6390">
        <w:rPr>
          <w:rFonts w:cs="Arial"/>
          <w:lang w:eastAsia="es-MX"/>
        </w:rPr>
        <w:t>aumento</w:t>
      </w:r>
      <w:r w:rsidR="00C54C34" w:rsidRPr="006E6390">
        <w:rPr>
          <w:rFonts w:cs="Arial"/>
          <w:lang w:eastAsia="es-MX"/>
        </w:rPr>
        <w:t xml:space="preserve"> </w:t>
      </w:r>
      <w:r w:rsidRPr="006E6390">
        <w:rPr>
          <w:rFonts w:cs="Arial"/>
          <w:lang w:eastAsia="es-MX"/>
        </w:rPr>
        <w:t xml:space="preserve">de los pasivos totales por </w:t>
      </w:r>
      <w:r w:rsidR="00D866C4" w:rsidRPr="006E6390">
        <w:rPr>
          <w:rFonts w:cs="Arial"/>
          <w:lang w:eastAsia="es-MX"/>
        </w:rPr>
        <w:t>el</w:t>
      </w:r>
      <w:r w:rsidR="0097106F" w:rsidRPr="006E6390">
        <w:rPr>
          <w:rFonts w:cs="Arial"/>
          <w:lang w:eastAsia="es-MX"/>
        </w:rPr>
        <w:t xml:space="preserve"> </w:t>
      </w:r>
      <w:r w:rsidR="00D866C4" w:rsidRPr="006E6390">
        <w:rPr>
          <w:rFonts w:cs="Arial"/>
          <w:lang w:eastAsia="es-MX"/>
        </w:rPr>
        <w:t>aumento</w:t>
      </w:r>
      <w:r w:rsidR="00C54C34" w:rsidRPr="006E6390">
        <w:rPr>
          <w:rFonts w:cs="Arial"/>
          <w:lang w:eastAsia="es-MX"/>
        </w:rPr>
        <w:t xml:space="preserve"> </w:t>
      </w:r>
      <w:r w:rsidRPr="006E6390">
        <w:rPr>
          <w:rFonts w:cs="Arial"/>
          <w:lang w:eastAsia="es-MX"/>
        </w:rPr>
        <w:t xml:space="preserve">en las cuentas a pagar a Suplidores de </w:t>
      </w:r>
      <w:r w:rsidR="0097106F" w:rsidRPr="006E6390">
        <w:rPr>
          <w:rFonts w:cs="Arial"/>
          <w:lang w:eastAsia="es-MX"/>
        </w:rPr>
        <w:t xml:space="preserve">Petróleo </w:t>
      </w:r>
      <w:r w:rsidRPr="006E6390">
        <w:rPr>
          <w:rFonts w:cs="Arial"/>
          <w:lang w:eastAsia="es-MX"/>
        </w:rPr>
        <w:t xml:space="preserve">y </w:t>
      </w:r>
      <w:r w:rsidR="0097106F" w:rsidRPr="006E6390">
        <w:rPr>
          <w:rFonts w:cs="Arial"/>
          <w:lang w:eastAsia="es-MX"/>
        </w:rPr>
        <w:t>Combustibles</w:t>
      </w:r>
      <w:r w:rsidR="001D1254" w:rsidRPr="006E6390">
        <w:rPr>
          <w:rFonts w:cs="Arial"/>
          <w:lang w:eastAsia="es-MX"/>
        </w:rPr>
        <w:t xml:space="preserve">, debido a la </w:t>
      </w:r>
      <w:r w:rsidR="00D866C4" w:rsidRPr="006E6390">
        <w:rPr>
          <w:rFonts w:cs="Arial"/>
          <w:lang w:eastAsia="es-MX"/>
        </w:rPr>
        <w:t>aumento</w:t>
      </w:r>
      <w:r w:rsidR="0097106F" w:rsidRPr="006E6390">
        <w:rPr>
          <w:rFonts w:cs="Arial"/>
          <w:lang w:eastAsia="es-MX"/>
        </w:rPr>
        <w:t xml:space="preserve"> de </w:t>
      </w:r>
      <w:r w:rsidR="001D1254" w:rsidRPr="006E6390">
        <w:rPr>
          <w:rFonts w:cs="Arial"/>
          <w:lang w:eastAsia="es-MX"/>
        </w:rPr>
        <w:t xml:space="preserve">los </w:t>
      </w:r>
      <w:r w:rsidR="0097106F" w:rsidRPr="006E6390">
        <w:rPr>
          <w:rFonts w:cs="Arial"/>
          <w:lang w:eastAsia="es-MX"/>
        </w:rPr>
        <w:t xml:space="preserve">precios internacionales y mayores niveles de inventario, con lo que la proporción de la deuda de </w:t>
      </w:r>
      <w:r w:rsidR="00D137F3">
        <w:rPr>
          <w:rFonts w:cs="Arial"/>
          <w:lang w:eastAsia="es-MX"/>
        </w:rPr>
        <w:t>corto</w:t>
      </w:r>
      <w:r w:rsidR="0097106F" w:rsidRPr="006E6390">
        <w:rPr>
          <w:rFonts w:cs="Arial"/>
          <w:lang w:eastAsia="es-MX"/>
        </w:rPr>
        <w:t xml:space="preserve"> plazo creció.</w:t>
      </w:r>
    </w:p>
    <w:p w14:paraId="3505409D" w14:textId="77777777" w:rsidR="00C03AE1" w:rsidRPr="006E6390" w:rsidRDefault="00C03AE1" w:rsidP="00873CC3">
      <w:pPr>
        <w:rPr>
          <w:rFonts w:cs="Arial"/>
          <w:lang w:eastAsia="es-MX"/>
        </w:rPr>
      </w:pPr>
    </w:p>
    <w:p w14:paraId="4E34BB84" w14:textId="77777777" w:rsidR="00873CC3" w:rsidRPr="006E6390" w:rsidRDefault="00873CC3" w:rsidP="00873CC3">
      <w:pPr>
        <w:pStyle w:val="Ttulo3"/>
        <w:rPr>
          <w:rFonts w:cs="Arial"/>
        </w:rPr>
      </w:pPr>
      <w:bookmarkStart w:id="72" w:name="_Toc38630797"/>
      <w:r w:rsidRPr="006E6390">
        <w:rPr>
          <w:rFonts w:cs="Arial"/>
        </w:rPr>
        <w:t>2.4.3. Proceso de adquisición de deudas para RECOPE</w:t>
      </w:r>
      <w:bookmarkEnd w:id="72"/>
    </w:p>
    <w:p w14:paraId="580A8327" w14:textId="223D4588" w:rsidR="001D1254" w:rsidRDefault="00873CC3" w:rsidP="00247CE0">
      <w:pPr>
        <w:spacing w:after="0"/>
        <w:rPr>
          <w:rFonts w:cs="Arial"/>
          <w:lang w:eastAsia="es-MX"/>
        </w:rPr>
      </w:pPr>
      <w:r w:rsidRPr="006E6390">
        <w:rPr>
          <w:rFonts w:cs="Arial"/>
          <w:lang w:eastAsia="es-MX"/>
        </w:rPr>
        <w:t>RECOPE, por su naturaleza de empresa pública, se encuentra regulada por la Ley No.8131 “Ley de Equilibrio de Equilibrio Financiero y Presupuestos Públicos”</w:t>
      </w:r>
      <w:r w:rsidR="001D1254" w:rsidRPr="006E6390">
        <w:rPr>
          <w:rFonts w:cs="Arial"/>
          <w:lang w:eastAsia="es-MX"/>
        </w:rPr>
        <w:t xml:space="preserve"> y</w:t>
      </w:r>
      <w:r w:rsidRPr="006E6390">
        <w:rPr>
          <w:rFonts w:cs="Arial"/>
          <w:lang w:eastAsia="es-MX"/>
        </w:rPr>
        <w:t xml:space="preserve"> cualquier operación de crédito debe seguir el procedimiento establecido en el Decreto Ejecutivo 35222-H “Reglamento para Gestionar la Autorización para la Contratación del Crédito Público del Gobierno de la República, Entidades Públicas y demás Órganos según corresponda”.</w:t>
      </w:r>
    </w:p>
    <w:p w14:paraId="23A145F4" w14:textId="77777777" w:rsidR="00C03AE1" w:rsidRPr="006E6390" w:rsidRDefault="00C03AE1" w:rsidP="00247CE0">
      <w:pPr>
        <w:spacing w:after="0"/>
        <w:rPr>
          <w:rFonts w:cs="Arial"/>
          <w:lang w:eastAsia="es-MX"/>
        </w:rPr>
      </w:pPr>
    </w:p>
    <w:p w14:paraId="265664F5" w14:textId="3A04D1B5" w:rsidR="00873CC3" w:rsidRDefault="00873CC3" w:rsidP="00247CE0">
      <w:pPr>
        <w:spacing w:after="0"/>
        <w:rPr>
          <w:rFonts w:cs="Arial"/>
          <w:lang w:eastAsia="es-MX"/>
        </w:rPr>
      </w:pPr>
      <w:r w:rsidRPr="006E6390">
        <w:rPr>
          <w:rFonts w:cs="Arial"/>
          <w:lang w:eastAsia="es-MX"/>
        </w:rPr>
        <w:t xml:space="preserve">De esta forma, es necesario solicitar: a) el aval del Ministerio de Planificación Nacional y Política Económica, b) criterio favorable por parte del Banco Central de Costa Rica y c) la aprobación de la Autoridad Presupuestaria, para lo cual es necesario el dictamen de la Dirección de Crédito Público del Ministerio de Hacienda. </w:t>
      </w:r>
    </w:p>
    <w:p w14:paraId="65EDDF3F" w14:textId="77777777" w:rsidR="00C03AE1" w:rsidRPr="006E6390" w:rsidRDefault="00C03AE1" w:rsidP="00873CC3">
      <w:pPr>
        <w:rPr>
          <w:rFonts w:cs="Arial"/>
          <w:lang w:eastAsia="es-MX"/>
        </w:rPr>
      </w:pPr>
    </w:p>
    <w:p w14:paraId="5B6BD329" w14:textId="77777777" w:rsidR="00873CC3" w:rsidRPr="006E6390" w:rsidRDefault="00873CC3" w:rsidP="00873CC3">
      <w:pPr>
        <w:pStyle w:val="Ttulo3"/>
        <w:rPr>
          <w:rFonts w:cs="Arial"/>
        </w:rPr>
      </w:pPr>
      <w:bookmarkStart w:id="73" w:name="_Toc38630798"/>
      <w:r w:rsidRPr="006E6390">
        <w:rPr>
          <w:rFonts w:cs="Arial"/>
        </w:rPr>
        <w:t>2.4.4 Pasivo total más pasivo contingente a patrimonio total (veces)</w:t>
      </w:r>
      <w:bookmarkEnd w:id="73"/>
    </w:p>
    <w:p w14:paraId="5290A2A9" w14:textId="7B237349" w:rsidR="00873CC3" w:rsidRDefault="00873CC3" w:rsidP="00247CE0">
      <w:pPr>
        <w:spacing w:after="0"/>
        <w:rPr>
          <w:rFonts w:cs="Arial"/>
          <w:lang w:eastAsia="es-MX"/>
        </w:rPr>
      </w:pPr>
      <w:r w:rsidRPr="006E6390">
        <w:rPr>
          <w:rFonts w:cs="Arial"/>
          <w:lang w:eastAsia="es-MX"/>
        </w:rPr>
        <w:t xml:space="preserve">RECOPE muestra en sus notas a los estados financieros pasivos contingentes.  La relación de endeudamiento tomando en consideración dichas cuentas se presenta a continuación. </w:t>
      </w:r>
    </w:p>
    <w:p w14:paraId="1A0ABB9F" w14:textId="77777777" w:rsidR="00C03AE1" w:rsidRPr="006E6390" w:rsidRDefault="00C03AE1" w:rsidP="00247CE0">
      <w:pPr>
        <w:spacing w:after="0"/>
        <w:rPr>
          <w:rFonts w:cs="Arial"/>
          <w:lang w:eastAsia="es-MX"/>
        </w:rPr>
      </w:pPr>
    </w:p>
    <w:p w14:paraId="11BD1446" w14:textId="29B93B35" w:rsidR="001D1254" w:rsidRDefault="001D1254" w:rsidP="00247CE0">
      <w:pPr>
        <w:spacing w:after="0"/>
        <w:rPr>
          <w:rFonts w:cs="Arial"/>
          <w:lang w:eastAsia="es-MX"/>
        </w:rPr>
      </w:pPr>
      <w:r w:rsidRPr="006E6390">
        <w:rPr>
          <w:rFonts w:cs="Arial"/>
          <w:lang w:eastAsia="es-MX"/>
        </w:rPr>
        <w:t>Los pasivos contingentes se originan de procesos judiciales donde RECOPE ha sido demandado.</w:t>
      </w:r>
      <w:r w:rsidR="0031310F" w:rsidRPr="006E6390">
        <w:rPr>
          <w:rFonts w:cs="Arial"/>
          <w:lang w:eastAsia="es-MX"/>
        </w:rPr>
        <w:t xml:space="preserve"> </w:t>
      </w:r>
      <w:r w:rsidRPr="006E6390">
        <w:rPr>
          <w:rFonts w:cs="Arial"/>
          <w:lang w:eastAsia="es-MX"/>
        </w:rPr>
        <w:t xml:space="preserve">Como consecuencia de las contingencias, la empresa se enfrenta a la posibilidad de desembolsar los montos estimados por cada proceso judicial. </w:t>
      </w:r>
      <w:r w:rsidR="000777DB">
        <w:rPr>
          <w:rFonts w:cs="Arial"/>
          <w:lang w:eastAsia="es-MX"/>
        </w:rPr>
        <w:t xml:space="preserve"> </w:t>
      </w:r>
      <w:r w:rsidRPr="006E6390">
        <w:rPr>
          <w:rFonts w:cs="Arial"/>
          <w:lang w:eastAsia="es-MX"/>
        </w:rPr>
        <w:t>El detalle de los juicios se encuentra en la sección 3.1.23 de este prospecto.</w:t>
      </w:r>
    </w:p>
    <w:p w14:paraId="42212DA8" w14:textId="77777777" w:rsidR="00C03AE1" w:rsidRPr="006E6390" w:rsidRDefault="00C03AE1" w:rsidP="001D1254">
      <w:pPr>
        <w:rPr>
          <w:rFonts w:cs="Arial"/>
          <w:lang w:eastAsia="es-MX"/>
        </w:rPr>
      </w:pPr>
    </w:p>
    <w:p w14:paraId="1DBF83F8" w14:textId="77777777" w:rsidR="00873CC3" w:rsidRPr="006E6390" w:rsidRDefault="00873CC3" w:rsidP="00873CC3">
      <w:pPr>
        <w:pStyle w:val="Ttuloscuadros"/>
        <w:tabs>
          <w:tab w:val="left" w:pos="9270"/>
        </w:tabs>
        <w:spacing w:after="120"/>
        <w:rPr>
          <w:rFonts w:cs="Arial"/>
        </w:rPr>
      </w:pPr>
      <w:r w:rsidRPr="006E6390">
        <w:rPr>
          <w:rFonts w:cs="Arial"/>
        </w:rPr>
        <w:lastRenderedPageBreak/>
        <w:t>Cuadro N°</w:t>
      </w:r>
      <w:r w:rsidR="008A2908" w:rsidRPr="006E6390">
        <w:rPr>
          <w:rFonts w:cs="Arial"/>
        </w:rPr>
        <w:t>1</w:t>
      </w:r>
      <w:r w:rsidR="006D0600" w:rsidRPr="006E6390">
        <w:rPr>
          <w:rFonts w:cs="Arial"/>
        </w:rPr>
        <w:t>6</w:t>
      </w:r>
    </w:p>
    <w:tbl>
      <w:tblPr>
        <w:tblStyle w:val="Tablanormal1"/>
        <w:tblW w:w="5000" w:type="pct"/>
        <w:jc w:val="center"/>
        <w:tblLook w:val="04A0" w:firstRow="1" w:lastRow="0" w:firstColumn="1" w:lastColumn="0" w:noHBand="0" w:noVBand="1"/>
      </w:tblPr>
      <w:tblGrid>
        <w:gridCol w:w="3539"/>
        <w:gridCol w:w="1810"/>
        <w:gridCol w:w="1810"/>
        <w:gridCol w:w="1810"/>
      </w:tblGrid>
      <w:tr w:rsidR="005E13BE" w:rsidRPr="006E6390" w14:paraId="377017FB" w14:textId="77777777" w:rsidTr="00247CE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3" w:type="pct"/>
            <w:vAlign w:val="center"/>
            <w:hideMark/>
          </w:tcPr>
          <w:p w14:paraId="57367FF5" w14:textId="3CA09E95" w:rsidR="005E13BE" w:rsidRPr="006E6390" w:rsidRDefault="005E13BE" w:rsidP="005E13BE">
            <w:pPr>
              <w:pStyle w:val="Tablas"/>
              <w:tabs>
                <w:tab w:val="left" w:pos="9270"/>
              </w:tabs>
              <w:rPr>
                <w:rFonts w:cs="Arial"/>
                <w:b w:val="0"/>
                <w:sz w:val="20"/>
                <w:szCs w:val="20"/>
              </w:rPr>
            </w:pPr>
            <w:r>
              <w:rPr>
                <w:rFonts w:cs="Arial"/>
                <w:color w:val="000000"/>
                <w:sz w:val="20"/>
                <w:szCs w:val="20"/>
              </w:rPr>
              <w:t> </w:t>
            </w:r>
          </w:p>
        </w:tc>
        <w:tc>
          <w:tcPr>
            <w:tcW w:w="1009" w:type="pct"/>
            <w:vAlign w:val="center"/>
          </w:tcPr>
          <w:p w14:paraId="60D7C30D" w14:textId="78F09384" w:rsidR="005E13BE" w:rsidRPr="00247CE0" w:rsidRDefault="005E13BE" w:rsidP="005E13BE">
            <w:pPr>
              <w:pStyle w:val="Tablas"/>
              <w:tabs>
                <w:tab w:val="left" w:pos="9270"/>
              </w:tabs>
              <w:ind w:hanging="130"/>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dic-20</w:t>
            </w:r>
          </w:p>
        </w:tc>
        <w:tc>
          <w:tcPr>
            <w:tcW w:w="1009" w:type="pct"/>
            <w:vAlign w:val="center"/>
          </w:tcPr>
          <w:p w14:paraId="5062BCE3" w14:textId="4058238B" w:rsidR="005E13BE" w:rsidRPr="00247CE0" w:rsidRDefault="005E13BE" w:rsidP="005E13B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dic-21</w:t>
            </w:r>
          </w:p>
        </w:tc>
        <w:tc>
          <w:tcPr>
            <w:tcW w:w="1009" w:type="pct"/>
            <w:vAlign w:val="center"/>
          </w:tcPr>
          <w:p w14:paraId="76F53145" w14:textId="10585740" w:rsidR="005E13BE" w:rsidRPr="00247CE0" w:rsidRDefault="005E13BE" w:rsidP="005E13BE">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247CE0">
              <w:rPr>
                <w:rFonts w:cs="Arial"/>
                <w:color w:val="002060"/>
                <w:sz w:val="20"/>
                <w:szCs w:val="20"/>
              </w:rPr>
              <w:t>dic-22</w:t>
            </w:r>
          </w:p>
        </w:tc>
      </w:tr>
      <w:tr w:rsidR="00461909" w:rsidRPr="006E6390" w14:paraId="5BD70F8A" w14:textId="77777777" w:rsidTr="0046190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3" w:type="pct"/>
            <w:vAlign w:val="center"/>
            <w:hideMark/>
          </w:tcPr>
          <w:p w14:paraId="6254D205" w14:textId="2817FE3B" w:rsidR="00AD02EB" w:rsidRPr="006E6390" w:rsidRDefault="00AD02EB" w:rsidP="00AD02EB">
            <w:pPr>
              <w:pStyle w:val="Tablas"/>
              <w:tabs>
                <w:tab w:val="left" w:pos="9270"/>
              </w:tabs>
              <w:rPr>
                <w:rFonts w:cs="Arial"/>
                <w:b w:val="0"/>
                <w:sz w:val="20"/>
                <w:szCs w:val="20"/>
              </w:rPr>
            </w:pPr>
            <w:r>
              <w:rPr>
                <w:rFonts w:cs="Arial"/>
                <w:color w:val="000000"/>
                <w:sz w:val="20"/>
                <w:szCs w:val="20"/>
              </w:rPr>
              <w:t>Pasivo Total más Pasivo Contingente sobre Patrimonio Total (a+b) /c</w:t>
            </w:r>
          </w:p>
        </w:tc>
        <w:tc>
          <w:tcPr>
            <w:tcW w:w="1009" w:type="pct"/>
            <w:vAlign w:val="center"/>
          </w:tcPr>
          <w:p w14:paraId="6B0A01D9" w14:textId="3B80D7F4"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0,57</w:t>
            </w:r>
          </w:p>
        </w:tc>
        <w:tc>
          <w:tcPr>
            <w:tcW w:w="1009" w:type="pct"/>
            <w:vAlign w:val="center"/>
          </w:tcPr>
          <w:p w14:paraId="79F5E195" w14:textId="58E98029"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0,79</w:t>
            </w:r>
          </w:p>
        </w:tc>
        <w:tc>
          <w:tcPr>
            <w:tcW w:w="1009" w:type="pct"/>
            <w:vAlign w:val="center"/>
          </w:tcPr>
          <w:p w14:paraId="68DC05CA" w14:textId="10E67A8A"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bCs/>
                <w:color w:val="000000"/>
                <w:sz w:val="20"/>
                <w:szCs w:val="20"/>
              </w:rPr>
              <w:t>0,53</w:t>
            </w:r>
          </w:p>
        </w:tc>
      </w:tr>
      <w:tr w:rsidR="00AD02EB" w:rsidRPr="006E6390" w14:paraId="327974AB" w14:textId="77777777" w:rsidTr="00247CE0">
        <w:trPr>
          <w:trHeight w:val="340"/>
          <w:jc w:val="center"/>
        </w:trPr>
        <w:tc>
          <w:tcPr>
            <w:cnfStyle w:val="001000000000" w:firstRow="0" w:lastRow="0" w:firstColumn="1" w:lastColumn="0" w:oddVBand="0" w:evenVBand="0" w:oddHBand="0" w:evenHBand="0" w:firstRowFirstColumn="0" w:firstRowLastColumn="0" w:lastRowFirstColumn="0" w:lastRowLastColumn="0"/>
            <w:tcW w:w="1973" w:type="pct"/>
            <w:vAlign w:val="center"/>
            <w:hideMark/>
          </w:tcPr>
          <w:p w14:paraId="647C1652" w14:textId="49F309FE" w:rsidR="00AD02EB" w:rsidRPr="006E6390" w:rsidRDefault="00AD02EB" w:rsidP="00AD02EB">
            <w:pPr>
              <w:pStyle w:val="Tablas"/>
              <w:tabs>
                <w:tab w:val="left" w:pos="9270"/>
              </w:tabs>
              <w:rPr>
                <w:rFonts w:cs="Arial"/>
                <w:sz w:val="20"/>
                <w:szCs w:val="20"/>
              </w:rPr>
            </w:pPr>
            <w:r>
              <w:rPr>
                <w:rFonts w:cs="Arial"/>
                <w:b w:val="0"/>
                <w:bCs w:val="0"/>
                <w:color w:val="000000"/>
                <w:sz w:val="20"/>
                <w:szCs w:val="20"/>
              </w:rPr>
              <w:t>a)     Pasivo Total (millones de ₡)</w:t>
            </w:r>
          </w:p>
        </w:tc>
        <w:tc>
          <w:tcPr>
            <w:tcW w:w="1009" w:type="pct"/>
            <w:vAlign w:val="center"/>
          </w:tcPr>
          <w:p w14:paraId="077124EE" w14:textId="0BD32D65"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313 442</w:t>
            </w:r>
          </w:p>
        </w:tc>
        <w:tc>
          <w:tcPr>
            <w:tcW w:w="1009" w:type="pct"/>
            <w:vAlign w:val="center"/>
          </w:tcPr>
          <w:p w14:paraId="1AA26979" w14:textId="3F81202F"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Pr>
                <w:rFonts w:cs="Arial"/>
                <w:color w:val="000000"/>
                <w:sz w:val="20"/>
                <w:szCs w:val="20"/>
              </w:rPr>
              <w:t>490 277</w:t>
            </w:r>
          </w:p>
        </w:tc>
        <w:tc>
          <w:tcPr>
            <w:tcW w:w="1009" w:type="pct"/>
            <w:vAlign w:val="center"/>
          </w:tcPr>
          <w:p w14:paraId="63B50479" w14:textId="57BC7028"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348 522</w:t>
            </w:r>
          </w:p>
        </w:tc>
      </w:tr>
      <w:tr w:rsidR="00461909" w:rsidRPr="006E6390" w14:paraId="4D0E1590" w14:textId="77777777" w:rsidTr="0046190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3" w:type="pct"/>
            <w:vAlign w:val="center"/>
            <w:hideMark/>
          </w:tcPr>
          <w:p w14:paraId="787D8E5F" w14:textId="73279A80" w:rsidR="00AD02EB" w:rsidRPr="006E6390" w:rsidRDefault="00AD02EB" w:rsidP="00AD02EB">
            <w:pPr>
              <w:pStyle w:val="Tablas"/>
              <w:tabs>
                <w:tab w:val="left" w:pos="9270"/>
              </w:tabs>
              <w:rPr>
                <w:rFonts w:cs="Arial"/>
                <w:sz w:val="20"/>
                <w:szCs w:val="20"/>
              </w:rPr>
            </w:pPr>
            <w:r>
              <w:rPr>
                <w:rFonts w:cs="Arial"/>
                <w:b w:val="0"/>
                <w:bCs w:val="0"/>
                <w:color w:val="000000"/>
                <w:sz w:val="20"/>
                <w:szCs w:val="20"/>
              </w:rPr>
              <w:t>b)     Pasivos contingentes (millones de ₡)</w:t>
            </w:r>
          </w:p>
        </w:tc>
        <w:tc>
          <w:tcPr>
            <w:tcW w:w="1009" w:type="pct"/>
            <w:vAlign w:val="center"/>
          </w:tcPr>
          <w:p w14:paraId="03CBD2F1" w14:textId="515F16E3"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20 903</w:t>
            </w:r>
          </w:p>
        </w:tc>
        <w:tc>
          <w:tcPr>
            <w:tcW w:w="1009" w:type="pct"/>
            <w:vAlign w:val="center"/>
          </w:tcPr>
          <w:p w14:paraId="3D6827EA" w14:textId="47FDDC01"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25 890</w:t>
            </w:r>
          </w:p>
        </w:tc>
        <w:tc>
          <w:tcPr>
            <w:tcW w:w="1009" w:type="pct"/>
            <w:vAlign w:val="center"/>
          </w:tcPr>
          <w:p w14:paraId="5FD016F8" w14:textId="70EDEE86" w:rsidR="00AD02EB" w:rsidRPr="006E6390" w:rsidRDefault="00AD02EB" w:rsidP="00AD02EB">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25 288</w:t>
            </w:r>
          </w:p>
        </w:tc>
      </w:tr>
      <w:tr w:rsidR="00AD02EB" w:rsidRPr="006E6390" w14:paraId="14D9BCD5" w14:textId="77777777" w:rsidTr="00247CE0">
        <w:trPr>
          <w:trHeight w:val="340"/>
          <w:jc w:val="center"/>
        </w:trPr>
        <w:tc>
          <w:tcPr>
            <w:cnfStyle w:val="001000000000" w:firstRow="0" w:lastRow="0" w:firstColumn="1" w:lastColumn="0" w:oddVBand="0" w:evenVBand="0" w:oddHBand="0" w:evenHBand="0" w:firstRowFirstColumn="0" w:firstRowLastColumn="0" w:lastRowFirstColumn="0" w:lastRowLastColumn="0"/>
            <w:tcW w:w="1973" w:type="pct"/>
            <w:vAlign w:val="center"/>
            <w:hideMark/>
          </w:tcPr>
          <w:p w14:paraId="305E1D9D" w14:textId="70780ED8" w:rsidR="00AD02EB" w:rsidRPr="006E6390" w:rsidRDefault="00AD02EB" w:rsidP="00AD02EB">
            <w:pPr>
              <w:pStyle w:val="Tablas"/>
              <w:tabs>
                <w:tab w:val="left" w:pos="9270"/>
              </w:tabs>
              <w:rPr>
                <w:rFonts w:cs="Arial"/>
                <w:sz w:val="20"/>
                <w:szCs w:val="20"/>
              </w:rPr>
            </w:pPr>
            <w:r>
              <w:rPr>
                <w:rFonts w:cs="Arial"/>
                <w:b w:val="0"/>
                <w:bCs w:val="0"/>
                <w:color w:val="000000"/>
                <w:sz w:val="20"/>
                <w:szCs w:val="20"/>
              </w:rPr>
              <w:t>c)     Patrimonio Total (millones de ₡)</w:t>
            </w:r>
          </w:p>
        </w:tc>
        <w:tc>
          <w:tcPr>
            <w:tcW w:w="1009" w:type="pct"/>
            <w:vAlign w:val="center"/>
          </w:tcPr>
          <w:p w14:paraId="25A2E3E2" w14:textId="48DE6F5A"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589 098</w:t>
            </w:r>
          </w:p>
        </w:tc>
        <w:tc>
          <w:tcPr>
            <w:tcW w:w="1009" w:type="pct"/>
            <w:vAlign w:val="center"/>
          </w:tcPr>
          <w:p w14:paraId="750D1264" w14:textId="1862A557"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656 425</w:t>
            </w:r>
          </w:p>
        </w:tc>
        <w:tc>
          <w:tcPr>
            <w:tcW w:w="1009" w:type="pct"/>
            <w:vAlign w:val="center"/>
          </w:tcPr>
          <w:p w14:paraId="11877680" w14:textId="1B6DC5B0" w:rsidR="00AD02EB" w:rsidRPr="006E6390" w:rsidRDefault="00AD02EB" w:rsidP="00AD02EB">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709 774</w:t>
            </w:r>
          </w:p>
        </w:tc>
      </w:tr>
    </w:tbl>
    <w:p w14:paraId="002DF0EE" w14:textId="77777777" w:rsidR="00873CC3" w:rsidRPr="006E6390" w:rsidRDefault="00873CC3" w:rsidP="00873CC3">
      <w:pPr>
        <w:tabs>
          <w:tab w:val="left" w:pos="9270"/>
        </w:tabs>
        <w:spacing w:after="0"/>
        <w:rPr>
          <w:rFonts w:cs="Arial"/>
          <w:lang w:eastAsia="es-MX"/>
        </w:rPr>
      </w:pPr>
    </w:p>
    <w:p w14:paraId="7D807AC0" w14:textId="7DCC85C4" w:rsidR="00873CC3" w:rsidRDefault="00873CC3" w:rsidP="00247CE0">
      <w:pPr>
        <w:spacing w:after="0"/>
        <w:rPr>
          <w:rFonts w:cs="Arial"/>
          <w:lang w:eastAsia="es-MX"/>
        </w:rPr>
      </w:pPr>
      <w:r w:rsidRPr="006E6390">
        <w:rPr>
          <w:rFonts w:cs="Arial"/>
          <w:lang w:eastAsia="es-MX"/>
        </w:rPr>
        <w:t xml:space="preserve">En el cuadro </w:t>
      </w:r>
      <w:r w:rsidR="00D57AEB" w:rsidRPr="006E6390">
        <w:rPr>
          <w:rFonts w:cs="Arial"/>
          <w:lang w:eastAsia="es-MX"/>
        </w:rPr>
        <w:t>1</w:t>
      </w:r>
      <w:r w:rsidR="00D57AEB">
        <w:rPr>
          <w:rFonts w:cs="Arial"/>
          <w:lang w:eastAsia="es-MX"/>
        </w:rPr>
        <w:t>6</w:t>
      </w:r>
      <w:r w:rsidR="00D57AEB" w:rsidRPr="006E6390">
        <w:rPr>
          <w:rFonts w:cs="Arial"/>
          <w:lang w:eastAsia="es-MX"/>
        </w:rPr>
        <w:t xml:space="preserve"> </w:t>
      </w:r>
      <w:r w:rsidRPr="006E6390">
        <w:rPr>
          <w:rFonts w:cs="Arial"/>
          <w:lang w:eastAsia="es-MX"/>
        </w:rPr>
        <w:t>se observa que no existe una variación significativa en el monto de los pasivos contingentes</w:t>
      </w:r>
      <w:r w:rsidR="00D57AEB">
        <w:rPr>
          <w:rFonts w:cs="Arial"/>
          <w:lang w:eastAsia="es-MX"/>
        </w:rPr>
        <w:t>, la mayoría de los</w:t>
      </w:r>
      <w:r w:rsidR="00247CE0">
        <w:rPr>
          <w:rFonts w:cs="Arial"/>
          <w:lang w:eastAsia="es-MX"/>
        </w:rPr>
        <w:t xml:space="preserve"> procesos </w:t>
      </w:r>
      <w:r w:rsidR="00D57AEB">
        <w:rPr>
          <w:rFonts w:cs="Arial"/>
          <w:lang w:eastAsia="es-MX"/>
        </w:rPr>
        <w:t>tienen un lento desenlace</w:t>
      </w:r>
      <w:r w:rsidRPr="006E6390">
        <w:rPr>
          <w:rFonts w:cs="Arial"/>
          <w:lang w:eastAsia="es-MX"/>
        </w:rPr>
        <w:t xml:space="preserve">. </w:t>
      </w:r>
      <w:r w:rsidR="000777DB">
        <w:rPr>
          <w:rFonts w:cs="Arial"/>
          <w:lang w:eastAsia="es-MX"/>
        </w:rPr>
        <w:t xml:space="preserve"> </w:t>
      </w:r>
      <w:r w:rsidRPr="006E6390">
        <w:rPr>
          <w:rFonts w:cs="Arial"/>
          <w:lang w:eastAsia="es-MX"/>
        </w:rPr>
        <w:t xml:space="preserve">Estos representan, en promedio, </w:t>
      </w:r>
      <w:r w:rsidR="00E34B24" w:rsidRPr="006E6390">
        <w:rPr>
          <w:rFonts w:cs="Arial"/>
          <w:lang w:eastAsia="es-MX"/>
        </w:rPr>
        <w:t>7</w:t>
      </w:r>
      <w:r w:rsidRPr="006E6390">
        <w:rPr>
          <w:rFonts w:cs="Arial"/>
          <w:lang w:eastAsia="es-MX"/>
        </w:rPr>
        <w:t>% del pasivo total</w:t>
      </w:r>
      <w:r w:rsidR="00D57AEB">
        <w:rPr>
          <w:rFonts w:cs="Arial"/>
          <w:lang w:eastAsia="es-MX"/>
        </w:rPr>
        <w:t xml:space="preserve"> de 2022</w:t>
      </w:r>
      <w:r w:rsidRPr="006E6390">
        <w:rPr>
          <w:rFonts w:cs="Arial"/>
          <w:lang w:eastAsia="es-MX"/>
        </w:rPr>
        <w:t>.</w:t>
      </w:r>
    </w:p>
    <w:p w14:paraId="010D969C" w14:textId="77777777" w:rsidR="00C03AE1" w:rsidRPr="006E6390" w:rsidRDefault="00C03AE1" w:rsidP="00247CE0">
      <w:pPr>
        <w:spacing w:after="0"/>
        <w:rPr>
          <w:rFonts w:cs="Arial"/>
          <w:lang w:eastAsia="es-MX"/>
        </w:rPr>
      </w:pPr>
    </w:p>
    <w:p w14:paraId="44F222F8" w14:textId="2A349CA0" w:rsidR="00873CC3" w:rsidRDefault="00873CC3" w:rsidP="00247CE0">
      <w:pPr>
        <w:spacing w:after="0"/>
        <w:rPr>
          <w:rFonts w:cs="Arial"/>
          <w:lang w:eastAsia="es-MX"/>
        </w:rPr>
      </w:pPr>
      <w:r w:rsidRPr="006E6390">
        <w:rPr>
          <w:rFonts w:cs="Arial"/>
          <w:lang w:eastAsia="es-MX"/>
        </w:rPr>
        <w:t>Por otro lado, la variabilidad del pasivo total está determinada, principalmente, por las cuentas por pagar a los proveedores de combustibles, toda vez que el pasivo de largo plazo no presenta variaciones anuales importantes.</w:t>
      </w:r>
    </w:p>
    <w:p w14:paraId="72FE1E25" w14:textId="77777777" w:rsidR="00C03AE1" w:rsidRPr="006E6390" w:rsidRDefault="00C03AE1" w:rsidP="00247CE0">
      <w:pPr>
        <w:spacing w:after="0"/>
        <w:rPr>
          <w:rFonts w:cs="Arial"/>
          <w:lang w:eastAsia="es-MX"/>
        </w:rPr>
      </w:pPr>
    </w:p>
    <w:p w14:paraId="183458B1" w14:textId="05E66282" w:rsidR="00873CC3" w:rsidRDefault="00873CC3" w:rsidP="00247CE0">
      <w:pPr>
        <w:spacing w:after="0"/>
        <w:rPr>
          <w:rFonts w:cs="Arial"/>
        </w:rPr>
      </w:pPr>
      <w:r w:rsidRPr="006E6390">
        <w:rPr>
          <w:rFonts w:cs="Arial"/>
          <w:lang w:eastAsia="es-MX"/>
        </w:rPr>
        <w:t xml:space="preserve">En relación con el patrimonio, su comportamiento se explicó en la sección </w:t>
      </w:r>
      <w:r w:rsidRPr="006E6390">
        <w:rPr>
          <w:rFonts w:cs="Arial"/>
        </w:rPr>
        <w:t xml:space="preserve">2.3.2.3. </w:t>
      </w:r>
      <w:r w:rsidR="000777DB">
        <w:rPr>
          <w:rFonts w:cs="Arial"/>
        </w:rPr>
        <w:t xml:space="preserve"> </w:t>
      </w:r>
      <w:r w:rsidRPr="006E6390">
        <w:rPr>
          <w:rFonts w:cs="Arial"/>
        </w:rPr>
        <w:t>Este se ha visto afectado, básicamente por el comportamiento de la utilidad del periodo.</w:t>
      </w:r>
    </w:p>
    <w:p w14:paraId="725DC926" w14:textId="77777777" w:rsidR="00C03AE1" w:rsidRPr="006E6390" w:rsidRDefault="00C03AE1" w:rsidP="008E2266">
      <w:pPr>
        <w:spacing w:after="0"/>
        <w:rPr>
          <w:rFonts w:cs="Arial"/>
        </w:rPr>
      </w:pPr>
    </w:p>
    <w:p w14:paraId="5591E33C" w14:textId="39D2833D" w:rsidR="00640333" w:rsidRDefault="00873CC3">
      <w:pPr>
        <w:spacing w:after="0"/>
        <w:rPr>
          <w:rFonts w:cs="Arial"/>
          <w:lang w:eastAsia="es-MX"/>
        </w:rPr>
      </w:pPr>
      <w:r w:rsidRPr="006E6390">
        <w:rPr>
          <w:rFonts w:cs="Arial"/>
        </w:rPr>
        <w:t>Se observa un</w:t>
      </w:r>
      <w:r w:rsidR="00D57AEB">
        <w:rPr>
          <w:rFonts w:cs="Arial"/>
        </w:rPr>
        <w:t>a</w:t>
      </w:r>
      <w:r w:rsidRPr="006E6390">
        <w:rPr>
          <w:rFonts w:cs="Arial"/>
        </w:rPr>
        <w:t xml:space="preserve"> </w:t>
      </w:r>
      <w:r w:rsidR="00D57AEB">
        <w:rPr>
          <w:rFonts w:cs="Arial"/>
        </w:rPr>
        <w:t>estabilidad</w:t>
      </w:r>
      <w:r w:rsidR="00D57AEB" w:rsidRPr="006E6390">
        <w:rPr>
          <w:rFonts w:cs="Arial"/>
        </w:rPr>
        <w:t xml:space="preserve"> </w:t>
      </w:r>
      <w:r w:rsidRPr="006E6390">
        <w:rPr>
          <w:rFonts w:cs="Arial"/>
        </w:rPr>
        <w:t xml:space="preserve">del indicador en el periodo de estudio, debido al comportamiento de </w:t>
      </w:r>
      <w:r w:rsidRPr="006E6390">
        <w:rPr>
          <w:rFonts w:cs="Arial"/>
          <w:lang w:eastAsia="es-MX"/>
        </w:rPr>
        <w:t>las cuentas por pagar a Suplidores de petróleo y combustibles</w:t>
      </w:r>
      <w:r w:rsidR="00640333">
        <w:rPr>
          <w:rFonts w:cs="Arial"/>
          <w:lang w:eastAsia="es-MX"/>
        </w:rPr>
        <w:t xml:space="preserve"> y el aumento del patrimonio por las utilidades del periodo.</w:t>
      </w:r>
    </w:p>
    <w:p w14:paraId="4AA1D2BA" w14:textId="77777777" w:rsidR="00C03AE1" w:rsidRPr="006E6390" w:rsidRDefault="00C03AE1" w:rsidP="00873CC3">
      <w:pPr>
        <w:rPr>
          <w:rFonts w:cs="Arial"/>
          <w:lang w:eastAsia="es-MX"/>
        </w:rPr>
      </w:pPr>
    </w:p>
    <w:p w14:paraId="195BCC2F" w14:textId="77777777" w:rsidR="00873CC3" w:rsidRPr="006E6390" w:rsidRDefault="00873CC3" w:rsidP="00873CC3">
      <w:pPr>
        <w:pStyle w:val="Ttulo3"/>
        <w:rPr>
          <w:rFonts w:cs="Arial"/>
        </w:rPr>
      </w:pPr>
      <w:bookmarkStart w:id="74" w:name="_Toc38630799"/>
      <w:r w:rsidRPr="006E6390">
        <w:rPr>
          <w:rFonts w:cs="Arial"/>
        </w:rPr>
        <w:t>2.4.5. Antigüedad de saldos</w:t>
      </w:r>
      <w:bookmarkEnd w:id="74"/>
    </w:p>
    <w:p w14:paraId="71B4DB12" w14:textId="77777777" w:rsidR="00873CC3" w:rsidRDefault="00873CC3" w:rsidP="00CF2E7B">
      <w:pPr>
        <w:spacing w:after="0"/>
        <w:rPr>
          <w:rFonts w:cs="Arial"/>
          <w:lang w:eastAsia="es-MX"/>
        </w:rPr>
      </w:pPr>
      <w:r w:rsidRPr="006E6390">
        <w:rPr>
          <w:rFonts w:cs="Arial"/>
          <w:lang w:eastAsia="es-MX"/>
        </w:rPr>
        <w:t>La antigüedad de saldos de la cuenta por cobrar de RECOPE se detalla a continuación:</w:t>
      </w:r>
    </w:p>
    <w:p w14:paraId="424543FD" w14:textId="77777777" w:rsidR="00CF2E7B" w:rsidRDefault="00CF2E7B">
      <w:pPr>
        <w:spacing w:after="0" w:line="240" w:lineRule="auto"/>
        <w:jc w:val="left"/>
        <w:rPr>
          <w:rFonts w:cs="Arial"/>
          <w:lang w:eastAsia="es-MX"/>
        </w:rPr>
      </w:pPr>
    </w:p>
    <w:p w14:paraId="764E23E3" w14:textId="77777777" w:rsidR="00873CC3" w:rsidRPr="006E6390" w:rsidRDefault="00873CC3" w:rsidP="00873CC3">
      <w:pPr>
        <w:pStyle w:val="Ttuloscuadros"/>
        <w:tabs>
          <w:tab w:val="left" w:pos="9270"/>
        </w:tabs>
        <w:spacing w:after="120"/>
        <w:rPr>
          <w:rFonts w:cs="Arial"/>
          <w:lang w:eastAsia="es-MX"/>
        </w:rPr>
      </w:pPr>
      <w:r w:rsidRPr="006E6390">
        <w:rPr>
          <w:rFonts w:cs="Arial"/>
          <w:lang w:eastAsia="es-MX"/>
        </w:rPr>
        <w:t>Cuadro N°1</w:t>
      </w:r>
      <w:r w:rsidR="006D0600" w:rsidRPr="006E6390">
        <w:rPr>
          <w:rFonts w:cs="Arial"/>
          <w:lang w:eastAsia="es-MX"/>
        </w:rPr>
        <w:t>7</w:t>
      </w:r>
    </w:p>
    <w:tbl>
      <w:tblPr>
        <w:tblStyle w:val="Tablanormal1"/>
        <w:tblW w:w="4603" w:type="pct"/>
        <w:jc w:val="center"/>
        <w:tblLook w:val="04A0" w:firstRow="1" w:lastRow="0" w:firstColumn="1" w:lastColumn="0" w:noHBand="0" w:noVBand="1"/>
      </w:tblPr>
      <w:tblGrid>
        <w:gridCol w:w="5222"/>
        <w:gridCol w:w="1007"/>
        <w:gridCol w:w="1007"/>
        <w:gridCol w:w="1021"/>
      </w:tblGrid>
      <w:tr w:rsidR="00640333" w:rsidRPr="006E6390" w14:paraId="2E8B9B57" w14:textId="77777777" w:rsidTr="0064033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2" w:type="pct"/>
            <w:vAlign w:val="center"/>
          </w:tcPr>
          <w:p w14:paraId="2EC3B9A5" w14:textId="77777777" w:rsidR="008922B5" w:rsidRPr="006E6390" w:rsidRDefault="008922B5" w:rsidP="008922B5">
            <w:pPr>
              <w:pStyle w:val="Tablas"/>
              <w:tabs>
                <w:tab w:val="left" w:pos="9270"/>
              </w:tabs>
              <w:rPr>
                <w:rFonts w:cs="Arial"/>
                <w:sz w:val="20"/>
                <w:szCs w:val="20"/>
                <w:lang w:eastAsia="en-US"/>
              </w:rPr>
            </w:pPr>
            <w:r>
              <w:rPr>
                <w:rFonts w:cs="Arial"/>
                <w:b w:val="0"/>
                <w:bCs w:val="0"/>
                <w:color w:val="000000"/>
                <w:sz w:val="20"/>
                <w:szCs w:val="20"/>
              </w:rPr>
              <w:t> </w:t>
            </w:r>
          </w:p>
        </w:tc>
        <w:tc>
          <w:tcPr>
            <w:tcW w:w="610" w:type="pct"/>
            <w:vAlign w:val="center"/>
          </w:tcPr>
          <w:p w14:paraId="25B5C449" w14:textId="2D2F20D9" w:rsidR="008922B5" w:rsidRPr="00640333" w:rsidRDefault="008922B5" w:rsidP="008922B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dic-20</w:t>
            </w:r>
          </w:p>
        </w:tc>
        <w:tc>
          <w:tcPr>
            <w:tcW w:w="610" w:type="pct"/>
            <w:vAlign w:val="center"/>
          </w:tcPr>
          <w:p w14:paraId="4937FA16" w14:textId="040C032C" w:rsidR="008922B5" w:rsidRPr="00640333" w:rsidRDefault="008922B5" w:rsidP="008922B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dic-21</w:t>
            </w:r>
          </w:p>
        </w:tc>
        <w:tc>
          <w:tcPr>
            <w:tcW w:w="618" w:type="pct"/>
            <w:vAlign w:val="center"/>
          </w:tcPr>
          <w:p w14:paraId="03820878" w14:textId="5BE25665" w:rsidR="008922B5" w:rsidRPr="00640333" w:rsidRDefault="008922B5" w:rsidP="008922B5">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dic-22</w:t>
            </w:r>
          </w:p>
        </w:tc>
      </w:tr>
      <w:tr w:rsidR="00640333" w:rsidRPr="006E6390" w14:paraId="5688EE56"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2" w:type="pct"/>
            <w:vAlign w:val="center"/>
          </w:tcPr>
          <w:p w14:paraId="3CD337D7" w14:textId="15194F5D" w:rsidR="008922B5" w:rsidRPr="006E6390" w:rsidRDefault="008922B5" w:rsidP="008922B5">
            <w:pPr>
              <w:pStyle w:val="Tablas"/>
              <w:tabs>
                <w:tab w:val="left" w:pos="9270"/>
              </w:tabs>
              <w:rPr>
                <w:rFonts w:cs="Arial"/>
                <w:sz w:val="20"/>
                <w:szCs w:val="20"/>
                <w:lang w:eastAsia="es-MX"/>
              </w:rPr>
            </w:pPr>
            <w:r>
              <w:rPr>
                <w:rFonts w:cs="Arial"/>
                <w:b w:val="0"/>
                <w:bCs w:val="0"/>
                <w:color w:val="000000"/>
                <w:sz w:val="20"/>
                <w:szCs w:val="20"/>
              </w:rPr>
              <w:t>Sin retraso a 30 días atraso</w:t>
            </w:r>
          </w:p>
        </w:tc>
        <w:tc>
          <w:tcPr>
            <w:tcW w:w="610" w:type="pct"/>
            <w:vAlign w:val="center"/>
          </w:tcPr>
          <w:p w14:paraId="0E1207C7" w14:textId="07066121" w:rsidR="008922B5" w:rsidRPr="006E6390" w:rsidRDefault="008922B5" w:rsidP="008922B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Pr>
                <w:rFonts w:cs="Arial"/>
                <w:color w:val="000000"/>
                <w:sz w:val="20"/>
                <w:szCs w:val="20"/>
              </w:rPr>
              <w:t>0,00%</w:t>
            </w:r>
          </w:p>
        </w:tc>
        <w:tc>
          <w:tcPr>
            <w:tcW w:w="610" w:type="pct"/>
            <w:vAlign w:val="center"/>
          </w:tcPr>
          <w:p w14:paraId="64C11A82" w14:textId="1AC8E743" w:rsidR="008922B5" w:rsidRPr="006E6390" w:rsidRDefault="008922B5" w:rsidP="008922B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Pr>
                <w:rFonts w:cs="Arial"/>
                <w:color w:val="000000"/>
                <w:sz w:val="20"/>
                <w:szCs w:val="20"/>
              </w:rPr>
              <w:t>0,00%</w:t>
            </w:r>
          </w:p>
        </w:tc>
        <w:tc>
          <w:tcPr>
            <w:tcW w:w="618" w:type="pct"/>
            <w:vAlign w:val="center"/>
          </w:tcPr>
          <w:p w14:paraId="5F22D66D" w14:textId="7FB354EF" w:rsidR="008922B5" w:rsidRPr="006E6390" w:rsidRDefault="06AE877F" w:rsidP="008922B5">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MX"/>
              </w:rPr>
            </w:pPr>
            <w:r w:rsidRPr="06AE877F">
              <w:rPr>
                <w:rFonts w:cs="Arial"/>
                <w:color w:val="000000" w:themeColor="text1"/>
                <w:sz w:val="20"/>
                <w:szCs w:val="20"/>
              </w:rPr>
              <w:t>0</w:t>
            </w:r>
            <w:r w:rsidR="35BB061A" w:rsidRPr="35BB061A">
              <w:rPr>
                <w:rFonts w:cs="Arial"/>
                <w:color w:val="000000" w:themeColor="text1"/>
                <w:sz w:val="20"/>
                <w:szCs w:val="20"/>
              </w:rPr>
              <w:t>,00%</w:t>
            </w:r>
            <w:r w:rsidR="008922B5" w:rsidRPr="06AE877F">
              <w:rPr>
                <w:rFonts w:cs="Arial"/>
                <w:color w:val="000000" w:themeColor="text1"/>
                <w:sz w:val="20"/>
                <w:szCs w:val="20"/>
              </w:rPr>
              <w:t> </w:t>
            </w:r>
          </w:p>
        </w:tc>
      </w:tr>
      <w:tr w:rsidR="00640333" w:rsidRPr="006E6390" w14:paraId="3F692892"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3162" w:type="pct"/>
            <w:vAlign w:val="center"/>
          </w:tcPr>
          <w:p w14:paraId="5E2C31CE" w14:textId="0823B050" w:rsidR="008922B5" w:rsidRPr="006E6390" w:rsidRDefault="008922B5" w:rsidP="008922B5">
            <w:pPr>
              <w:pStyle w:val="Tablas"/>
              <w:tabs>
                <w:tab w:val="left" w:pos="9270"/>
              </w:tabs>
              <w:rPr>
                <w:rFonts w:cs="Arial"/>
                <w:sz w:val="20"/>
                <w:szCs w:val="20"/>
                <w:lang w:eastAsia="es-MX"/>
              </w:rPr>
            </w:pPr>
            <w:r>
              <w:rPr>
                <w:rFonts w:cs="Arial"/>
                <w:b w:val="0"/>
                <w:bCs w:val="0"/>
                <w:color w:val="000000"/>
                <w:sz w:val="20"/>
                <w:szCs w:val="20"/>
              </w:rPr>
              <w:t>De 31 a 90 días atraso</w:t>
            </w:r>
          </w:p>
        </w:tc>
        <w:tc>
          <w:tcPr>
            <w:tcW w:w="610" w:type="pct"/>
            <w:vAlign w:val="center"/>
          </w:tcPr>
          <w:p w14:paraId="607FA07F" w14:textId="5C2FACE6" w:rsidR="008922B5" w:rsidRPr="006E6390" w:rsidRDefault="008922B5" w:rsidP="008922B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Pr>
                <w:rFonts w:cs="Arial"/>
                <w:color w:val="000000"/>
                <w:sz w:val="20"/>
                <w:szCs w:val="20"/>
              </w:rPr>
              <w:t>100,00%</w:t>
            </w:r>
          </w:p>
        </w:tc>
        <w:tc>
          <w:tcPr>
            <w:tcW w:w="610" w:type="pct"/>
            <w:vAlign w:val="center"/>
          </w:tcPr>
          <w:p w14:paraId="1B3D2139" w14:textId="2C08EA78" w:rsidR="008922B5" w:rsidRPr="006E6390" w:rsidRDefault="008922B5" w:rsidP="008922B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Pr>
                <w:rFonts w:cs="Arial"/>
                <w:color w:val="000000"/>
                <w:sz w:val="20"/>
                <w:szCs w:val="20"/>
              </w:rPr>
              <w:t>100,00%</w:t>
            </w:r>
          </w:p>
        </w:tc>
        <w:tc>
          <w:tcPr>
            <w:tcW w:w="618" w:type="pct"/>
            <w:vAlign w:val="center"/>
          </w:tcPr>
          <w:p w14:paraId="13304F91" w14:textId="61B1FF6A" w:rsidR="008922B5" w:rsidRPr="006E6390" w:rsidRDefault="35BB061A" w:rsidP="008922B5">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MX"/>
              </w:rPr>
            </w:pPr>
            <w:r w:rsidRPr="35BB061A">
              <w:rPr>
                <w:rFonts w:cs="Arial"/>
                <w:color w:val="000000" w:themeColor="text1"/>
                <w:sz w:val="20"/>
                <w:szCs w:val="20"/>
              </w:rPr>
              <w:t>100% </w:t>
            </w:r>
          </w:p>
        </w:tc>
      </w:tr>
    </w:tbl>
    <w:p w14:paraId="40463A09" w14:textId="77777777" w:rsidR="00873CC3" w:rsidRPr="006E6390" w:rsidRDefault="00873CC3" w:rsidP="00873CC3">
      <w:pPr>
        <w:pStyle w:val="piedepgina0"/>
        <w:tabs>
          <w:tab w:val="left" w:pos="9270"/>
        </w:tabs>
        <w:ind w:left="720"/>
        <w:rPr>
          <w:rFonts w:cs="Arial"/>
          <w:sz w:val="20"/>
          <w:szCs w:val="20"/>
        </w:rPr>
      </w:pPr>
      <w:r w:rsidRPr="006E6390">
        <w:rPr>
          <w:rFonts w:cs="Arial"/>
          <w:sz w:val="20"/>
          <w:szCs w:val="20"/>
        </w:rPr>
        <w:t>Fuente: Departamento de Contaduría de RECOPE</w:t>
      </w:r>
    </w:p>
    <w:p w14:paraId="612D52AB" w14:textId="4C459A60" w:rsidR="00873CC3" w:rsidRDefault="00873CC3" w:rsidP="00640333">
      <w:pPr>
        <w:spacing w:after="0"/>
        <w:rPr>
          <w:rFonts w:cs="Arial"/>
          <w:lang w:eastAsia="es-MX"/>
        </w:rPr>
      </w:pPr>
      <w:r w:rsidRPr="006E6390">
        <w:rPr>
          <w:rFonts w:cs="Arial"/>
          <w:lang w:eastAsia="es-MX"/>
        </w:rPr>
        <w:t xml:space="preserve">En relación con las ventas realizadas al Gobierno e instituciones públicas, por política, estas entidades pagan sus compras en 60 días, por lo que RECOPE otorga el mismo plazo de crédito a dichas entidades. </w:t>
      </w:r>
      <w:r w:rsidR="000777DB">
        <w:rPr>
          <w:rFonts w:cs="Arial"/>
          <w:lang w:eastAsia="es-MX"/>
        </w:rPr>
        <w:t xml:space="preserve"> </w:t>
      </w:r>
      <w:r w:rsidRPr="006E6390">
        <w:rPr>
          <w:rFonts w:cs="Arial"/>
          <w:lang w:eastAsia="es-MX"/>
        </w:rPr>
        <w:t>Las ventas de contado representaron 99,</w:t>
      </w:r>
      <w:r w:rsidR="009E24AB" w:rsidRPr="006E6390">
        <w:rPr>
          <w:rFonts w:cs="Arial"/>
          <w:lang w:eastAsia="es-MX"/>
        </w:rPr>
        <w:t>9</w:t>
      </w:r>
      <w:r w:rsidR="009E24AB">
        <w:rPr>
          <w:rFonts w:cs="Arial"/>
          <w:lang w:eastAsia="es-MX"/>
        </w:rPr>
        <w:t>3</w:t>
      </w:r>
      <w:r w:rsidRPr="006E6390">
        <w:rPr>
          <w:rFonts w:cs="Arial"/>
          <w:lang w:eastAsia="es-MX"/>
        </w:rPr>
        <w:t>%, 99,</w:t>
      </w:r>
      <w:r w:rsidR="009E24AB" w:rsidRPr="006E6390">
        <w:rPr>
          <w:rFonts w:cs="Arial"/>
          <w:lang w:eastAsia="es-MX"/>
        </w:rPr>
        <w:t>9</w:t>
      </w:r>
      <w:r w:rsidR="009E24AB">
        <w:rPr>
          <w:rFonts w:cs="Arial"/>
          <w:lang w:eastAsia="es-MX"/>
        </w:rPr>
        <w:t>7</w:t>
      </w:r>
      <w:r w:rsidRPr="006E6390">
        <w:rPr>
          <w:rFonts w:cs="Arial"/>
          <w:lang w:eastAsia="es-MX"/>
        </w:rPr>
        <w:t xml:space="preserve">% y </w:t>
      </w:r>
      <w:r w:rsidR="28BFC448" w:rsidRPr="28BFC448">
        <w:rPr>
          <w:rFonts w:cs="Arial"/>
          <w:lang w:eastAsia="es-MX"/>
        </w:rPr>
        <w:t>99,97</w:t>
      </w:r>
      <w:r w:rsidRPr="006E6390">
        <w:rPr>
          <w:rFonts w:cs="Arial"/>
          <w:lang w:eastAsia="es-MX"/>
        </w:rPr>
        <w:t xml:space="preserve">% en </w:t>
      </w:r>
      <w:r w:rsidR="009E24AB" w:rsidRPr="006E6390">
        <w:rPr>
          <w:rFonts w:cs="Arial"/>
          <w:lang w:eastAsia="es-MX"/>
        </w:rPr>
        <w:t>20</w:t>
      </w:r>
      <w:r w:rsidR="009E24AB">
        <w:rPr>
          <w:rFonts w:cs="Arial"/>
          <w:lang w:eastAsia="es-MX"/>
        </w:rPr>
        <w:t>20</w:t>
      </w:r>
      <w:r w:rsidRPr="006E6390">
        <w:rPr>
          <w:rFonts w:cs="Arial"/>
          <w:lang w:eastAsia="es-MX"/>
        </w:rPr>
        <w:t xml:space="preserve">, </w:t>
      </w:r>
      <w:r w:rsidR="009E24AB" w:rsidRPr="006E6390">
        <w:rPr>
          <w:rFonts w:cs="Arial"/>
          <w:lang w:eastAsia="es-MX"/>
        </w:rPr>
        <w:t>202</w:t>
      </w:r>
      <w:r w:rsidR="009E24AB">
        <w:rPr>
          <w:rFonts w:cs="Arial"/>
          <w:lang w:eastAsia="es-MX"/>
        </w:rPr>
        <w:t>1</w:t>
      </w:r>
      <w:r w:rsidR="009E24AB" w:rsidRPr="006E6390">
        <w:rPr>
          <w:rFonts w:cs="Arial"/>
          <w:lang w:eastAsia="es-MX"/>
        </w:rPr>
        <w:t xml:space="preserve"> </w:t>
      </w:r>
      <w:r w:rsidRPr="006E6390">
        <w:rPr>
          <w:rFonts w:cs="Arial"/>
          <w:lang w:eastAsia="es-MX"/>
        </w:rPr>
        <w:t xml:space="preserve">y </w:t>
      </w:r>
      <w:r w:rsidR="009E24AB" w:rsidRPr="006E6390">
        <w:rPr>
          <w:rFonts w:cs="Arial"/>
          <w:lang w:eastAsia="es-MX"/>
        </w:rPr>
        <w:t>202</w:t>
      </w:r>
      <w:r w:rsidR="009E24AB">
        <w:rPr>
          <w:rFonts w:cs="Arial"/>
          <w:lang w:eastAsia="es-MX"/>
        </w:rPr>
        <w:t>2</w:t>
      </w:r>
      <w:r w:rsidRPr="006E6390">
        <w:rPr>
          <w:rFonts w:cs="Arial"/>
          <w:lang w:eastAsia="es-MX"/>
        </w:rPr>
        <w:t>, respectivamente.</w:t>
      </w:r>
    </w:p>
    <w:p w14:paraId="32AC97B8" w14:textId="77777777" w:rsidR="000D1201" w:rsidRPr="006E6390" w:rsidRDefault="000D1201" w:rsidP="00640333">
      <w:pPr>
        <w:spacing w:after="0"/>
        <w:rPr>
          <w:rFonts w:cs="Arial"/>
          <w:lang w:eastAsia="es-MX"/>
        </w:rPr>
      </w:pPr>
    </w:p>
    <w:p w14:paraId="22C95D70" w14:textId="0ECF2A95" w:rsidR="00873CC3" w:rsidRDefault="00873CC3" w:rsidP="008E2266">
      <w:pPr>
        <w:spacing w:after="0"/>
        <w:rPr>
          <w:rFonts w:cs="Arial"/>
          <w:lang w:eastAsia="es-MX"/>
        </w:rPr>
      </w:pPr>
      <w:r w:rsidRPr="00640333">
        <w:rPr>
          <w:rFonts w:cs="Arial"/>
          <w:lang w:eastAsia="es-MX"/>
        </w:rPr>
        <w:t xml:space="preserve">El saldo de cuentas por cobrar comerciales al 31 de diciembre de </w:t>
      </w:r>
      <w:r w:rsidR="0013370E" w:rsidRPr="00640333">
        <w:rPr>
          <w:rFonts w:cs="Arial"/>
          <w:lang w:eastAsia="es-MX"/>
        </w:rPr>
        <w:t>20</w:t>
      </w:r>
      <w:r w:rsidR="002466DC" w:rsidRPr="00640333">
        <w:rPr>
          <w:rFonts w:cs="Arial"/>
          <w:lang w:eastAsia="es-MX"/>
        </w:rPr>
        <w:t>20</w:t>
      </w:r>
      <w:r w:rsidR="0013370E" w:rsidRPr="00640333">
        <w:rPr>
          <w:rFonts w:cs="Arial"/>
          <w:lang w:eastAsia="es-MX"/>
        </w:rPr>
        <w:t xml:space="preserve"> </w:t>
      </w:r>
      <w:r w:rsidRPr="00640333">
        <w:rPr>
          <w:rFonts w:cs="Arial"/>
          <w:lang w:eastAsia="es-MX"/>
        </w:rPr>
        <w:t xml:space="preserve">fue de </w:t>
      </w:r>
      <w:r w:rsidR="0013370E" w:rsidRPr="00640333">
        <w:rPr>
          <w:rFonts w:cs="Arial"/>
          <w:lang w:eastAsia="es-MX"/>
        </w:rPr>
        <w:t>₡</w:t>
      </w:r>
      <w:r w:rsidR="002466DC" w:rsidRPr="00640333">
        <w:rPr>
          <w:rFonts w:cs="Arial"/>
          <w:lang w:eastAsia="es-MX"/>
        </w:rPr>
        <w:t>81,10 millones</w:t>
      </w:r>
      <w:r w:rsidRPr="00640333">
        <w:rPr>
          <w:rFonts w:cs="Arial"/>
          <w:lang w:eastAsia="es-MX"/>
        </w:rPr>
        <w:t xml:space="preserve">, en tanto, al cierre de </w:t>
      </w:r>
      <w:r w:rsidR="0013370E" w:rsidRPr="00640333">
        <w:rPr>
          <w:rFonts w:cs="Arial"/>
          <w:lang w:eastAsia="es-MX"/>
        </w:rPr>
        <w:t>202</w:t>
      </w:r>
      <w:r w:rsidR="002466DC" w:rsidRPr="00640333">
        <w:rPr>
          <w:rFonts w:cs="Arial"/>
          <w:lang w:eastAsia="es-MX"/>
        </w:rPr>
        <w:t>1</w:t>
      </w:r>
      <w:r w:rsidR="0013370E" w:rsidRPr="00640333">
        <w:rPr>
          <w:rFonts w:cs="Arial"/>
          <w:lang w:eastAsia="es-MX"/>
        </w:rPr>
        <w:t xml:space="preserve"> </w:t>
      </w:r>
      <w:r w:rsidRPr="00640333">
        <w:rPr>
          <w:rFonts w:cs="Arial"/>
          <w:lang w:eastAsia="es-MX"/>
        </w:rPr>
        <w:t>fue de ₡</w:t>
      </w:r>
      <w:r w:rsidR="002466DC" w:rsidRPr="00640333">
        <w:rPr>
          <w:rFonts w:cs="Arial"/>
          <w:lang w:eastAsia="es-MX"/>
        </w:rPr>
        <w:t>54,81 millones</w:t>
      </w:r>
      <w:r w:rsidR="00851CEF" w:rsidRPr="00640333">
        <w:rPr>
          <w:rFonts w:cs="Arial"/>
          <w:lang w:eastAsia="es-MX"/>
        </w:rPr>
        <w:t xml:space="preserve"> y para el de 202</w:t>
      </w:r>
      <w:r w:rsidR="29D077DB" w:rsidRPr="29D077DB">
        <w:rPr>
          <w:rFonts w:cs="Arial"/>
          <w:lang w:eastAsia="es-MX"/>
        </w:rPr>
        <w:t>2</w:t>
      </w:r>
      <w:r w:rsidR="00851CEF" w:rsidRPr="00640333">
        <w:rPr>
          <w:rFonts w:cs="Arial"/>
          <w:lang w:eastAsia="es-MX"/>
        </w:rPr>
        <w:t xml:space="preserve"> fue de ₡</w:t>
      </w:r>
      <w:r w:rsidR="00851CEF" w:rsidRPr="60BB3DAA">
        <w:rPr>
          <w:rFonts w:eastAsia="Arial" w:cs="Arial"/>
          <w:color w:val="222222"/>
        </w:rPr>
        <w:t xml:space="preserve"> </w:t>
      </w:r>
      <w:r w:rsidR="60BB3DAA" w:rsidRPr="60BB3DAA">
        <w:rPr>
          <w:rFonts w:eastAsia="Arial" w:cs="Arial"/>
          <w:color w:val="222222"/>
        </w:rPr>
        <w:t>243</w:t>
      </w:r>
      <w:r w:rsidR="0CD6D8DB" w:rsidRPr="0CD6D8DB">
        <w:rPr>
          <w:rFonts w:eastAsia="Arial" w:cs="Arial"/>
          <w:color w:val="222222"/>
        </w:rPr>
        <w:t>,</w:t>
      </w:r>
      <w:r w:rsidR="5120C144" w:rsidRPr="5120C144">
        <w:rPr>
          <w:rFonts w:eastAsia="Arial" w:cs="Arial"/>
          <w:color w:val="222222"/>
        </w:rPr>
        <w:t xml:space="preserve">29 </w:t>
      </w:r>
      <w:r w:rsidR="60BB3DAA" w:rsidRPr="60BB3DAA">
        <w:rPr>
          <w:rFonts w:cs="Arial"/>
          <w:lang w:eastAsia="es-MX"/>
        </w:rPr>
        <w:lastRenderedPageBreak/>
        <w:t>millones</w:t>
      </w:r>
      <w:r w:rsidR="002466DC" w:rsidRPr="00640333">
        <w:rPr>
          <w:rFonts w:cs="Arial"/>
          <w:lang w:eastAsia="es-MX"/>
        </w:rPr>
        <w:t>.</w:t>
      </w:r>
      <w:r w:rsidRPr="00640333">
        <w:rPr>
          <w:rFonts w:cs="Arial"/>
          <w:lang w:eastAsia="es-MX"/>
        </w:rPr>
        <w:t xml:space="preserve">  Estas cuentas por cobrar comerciales representan una facción pequeña dentro del total de cuentas por cobrar.</w:t>
      </w:r>
    </w:p>
    <w:p w14:paraId="3B9121DD" w14:textId="77777777" w:rsidR="000D1201" w:rsidRPr="006E6390" w:rsidRDefault="000D1201" w:rsidP="00873CC3">
      <w:pPr>
        <w:rPr>
          <w:rFonts w:cs="Arial"/>
          <w:lang w:eastAsia="es-MX"/>
        </w:rPr>
      </w:pPr>
    </w:p>
    <w:p w14:paraId="22125A12" w14:textId="77777777" w:rsidR="00873CC3" w:rsidRPr="006E6390" w:rsidRDefault="00873CC3" w:rsidP="00873CC3">
      <w:pPr>
        <w:pStyle w:val="Ttulo2"/>
        <w:rPr>
          <w:rFonts w:cs="Arial"/>
        </w:rPr>
      </w:pPr>
      <w:bookmarkStart w:id="75" w:name="_Toc38630800"/>
      <w:r w:rsidRPr="006E6390">
        <w:rPr>
          <w:rFonts w:cs="Arial"/>
        </w:rPr>
        <w:t>2.5 Capitalización</w:t>
      </w:r>
      <w:bookmarkEnd w:id="75"/>
    </w:p>
    <w:p w14:paraId="351629D9" w14:textId="3BF61C04" w:rsidR="00873CC3" w:rsidRDefault="00873CC3" w:rsidP="00640333">
      <w:pPr>
        <w:spacing w:after="0"/>
        <w:rPr>
          <w:rFonts w:cs="Arial"/>
          <w:lang w:eastAsia="es-MX"/>
        </w:rPr>
      </w:pPr>
      <w:r w:rsidRPr="006E6390">
        <w:rPr>
          <w:rFonts w:cs="Arial"/>
          <w:lang w:eastAsia="es-MX"/>
        </w:rPr>
        <w:t>El capital social de la entidad estaba constituido por 30.000 acciones comunes y nominativas con un valor de ₡100 cada una.  Con la capitalización aprobada por el Consejo de Gobierno (Certificación CERT-346-14) en 2014, actuando como Asamblea de Accionistas, el valor de cada acción pasó a ₡6</w:t>
      </w:r>
      <w:r w:rsidR="00DE00A7" w:rsidRPr="006E6390">
        <w:rPr>
          <w:rFonts w:cs="Arial"/>
          <w:lang w:eastAsia="es-MX"/>
        </w:rPr>
        <w:t xml:space="preserve"> </w:t>
      </w:r>
      <w:r w:rsidRPr="006E6390">
        <w:rPr>
          <w:rFonts w:cs="Arial"/>
          <w:lang w:eastAsia="es-MX"/>
        </w:rPr>
        <w:t>670</w:t>
      </w:r>
      <w:r w:rsidR="00DE00A7" w:rsidRPr="006E6390">
        <w:rPr>
          <w:rFonts w:cs="Arial"/>
          <w:lang w:eastAsia="es-MX"/>
        </w:rPr>
        <w:t xml:space="preserve"> </w:t>
      </w:r>
      <w:r w:rsidRPr="006E6390">
        <w:rPr>
          <w:rFonts w:cs="Arial"/>
          <w:lang w:eastAsia="es-MX"/>
        </w:rPr>
        <w:t xml:space="preserve">100. La Reserva Legal del artículo 143 del Código de Comercio estipula que debe destinarse al menos 5% de las utilidades a la conformación de dicha reserva, hasta alcanzar el 20% del capital social. </w:t>
      </w:r>
      <w:r w:rsidR="000777DB">
        <w:rPr>
          <w:rFonts w:cs="Arial"/>
          <w:lang w:eastAsia="es-MX"/>
        </w:rPr>
        <w:t xml:space="preserve"> </w:t>
      </w:r>
      <w:r w:rsidR="00FB5201">
        <w:rPr>
          <w:rFonts w:cs="Arial"/>
          <w:lang w:eastAsia="es-MX"/>
        </w:rPr>
        <w:t>El siguiente cuadro</w:t>
      </w:r>
      <w:r w:rsidRPr="006E6390">
        <w:rPr>
          <w:rFonts w:cs="Arial"/>
          <w:lang w:eastAsia="es-MX"/>
        </w:rPr>
        <w:t xml:space="preserve"> presenta la composición del patrimonio de RECOPE durante los últimos tres periodos fiscales:</w:t>
      </w:r>
    </w:p>
    <w:p w14:paraId="15662CB0" w14:textId="77777777" w:rsidR="000D1201" w:rsidRPr="006E6390" w:rsidRDefault="000D1201" w:rsidP="00873CC3">
      <w:pPr>
        <w:rPr>
          <w:rFonts w:cs="Arial"/>
          <w:lang w:eastAsia="es-MX"/>
        </w:rPr>
      </w:pPr>
    </w:p>
    <w:p w14:paraId="2E504459" w14:textId="77777777" w:rsidR="00A73177" w:rsidRDefault="00873CC3" w:rsidP="00640333">
      <w:pPr>
        <w:pStyle w:val="Ttuloscuadros"/>
        <w:tabs>
          <w:tab w:val="left" w:pos="9270"/>
        </w:tabs>
        <w:rPr>
          <w:rFonts w:cs="Arial"/>
        </w:rPr>
      </w:pPr>
      <w:r w:rsidRPr="006E6390">
        <w:rPr>
          <w:rFonts w:cs="Arial"/>
        </w:rPr>
        <w:t>Cuadro N°</w:t>
      </w:r>
      <w:r w:rsidR="008A2908" w:rsidRPr="006E6390">
        <w:rPr>
          <w:rFonts w:cs="Arial"/>
        </w:rPr>
        <w:t>1</w:t>
      </w:r>
      <w:r w:rsidR="006D0600" w:rsidRPr="006E6390">
        <w:rPr>
          <w:rFonts w:cs="Arial"/>
        </w:rPr>
        <w:t>8</w:t>
      </w:r>
      <w:r w:rsidR="00C56961">
        <w:rPr>
          <w:rFonts w:cs="Arial"/>
        </w:rPr>
        <w:t xml:space="preserve"> </w:t>
      </w:r>
    </w:p>
    <w:p w14:paraId="585ACDFE" w14:textId="77777777" w:rsidR="00873CC3" w:rsidRPr="006E6390" w:rsidRDefault="00C56961" w:rsidP="00640333">
      <w:pPr>
        <w:pStyle w:val="Ttuloscuadros"/>
        <w:tabs>
          <w:tab w:val="left" w:pos="9270"/>
        </w:tabs>
        <w:rPr>
          <w:rFonts w:cs="Arial"/>
        </w:rPr>
      </w:pPr>
      <w:r>
        <w:rPr>
          <w:rFonts w:cs="Arial"/>
        </w:rPr>
        <w:t>Composición del Patrimonio 2020-2022 (millones de colones)</w:t>
      </w:r>
    </w:p>
    <w:tbl>
      <w:tblPr>
        <w:tblStyle w:val="Tablanormal1"/>
        <w:tblW w:w="4897" w:type="pct"/>
        <w:jc w:val="center"/>
        <w:tblLook w:val="04A0" w:firstRow="1" w:lastRow="0" w:firstColumn="1" w:lastColumn="0" w:noHBand="0" w:noVBand="1"/>
      </w:tblPr>
      <w:tblGrid>
        <w:gridCol w:w="3681"/>
        <w:gridCol w:w="1701"/>
        <w:gridCol w:w="1701"/>
        <w:gridCol w:w="1701"/>
      </w:tblGrid>
      <w:tr w:rsidR="00C56961" w:rsidRPr="006E6390" w14:paraId="74BC256E" w14:textId="77777777" w:rsidTr="0064033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2E9D63F0" w14:textId="6B9D9074" w:rsidR="00C56961" w:rsidRPr="00D57AEB" w:rsidRDefault="00C56961" w:rsidP="00C56961">
            <w:pPr>
              <w:pStyle w:val="Tablas"/>
              <w:tabs>
                <w:tab w:val="left" w:pos="9270"/>
              </w:tabs>
              <w:rPr>
                <w:rFonts w:cs="Arial"/>
                <w:sz w:val="20"/>
                <w:szCs w:val="20"/>
              </w:rPr>
            </w:pPr>
            <w:r w:rsidRPr="00640333">
              <w:rPr>
                <w:rFonts w:cs="Arial"/>
                <w:color w:val="002060"/>
                <w:sz w:val="20"/>
                <w:szCs w:val="20"/>
              </w:rPr>
              <w:t>Partida</w:t>
            </w:r>
          </w:p>
        </w:tc>
        <w:tc>
          <w:tcPr>
            <w:tcW w:w="968" w:type="pct"/>
            <w:vAlign w:val="center"/>
          </w:tcPr>
          <w:p w14:paraId="670FBFC8" w14:textId="16BBAB87" w:rsidR="00C56961" w:rsidRPr="00640333" w:rsidRDefault="00C56961" w:rsidP="00C56961">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dic-20</w:t>
            </w:r>
          </w:p>
        </w:tc>
        <w:tc>
          <w:tcPr>
            <w:tcW w:w="968" w:type="pct"/>
            <w:vAlign w:val="center"/>
          </w:tcPr>
          <w:p w14:paraId="623D5470" w14:textId="38B01769" w:rsidR="00C56961" w:rsidRPr="00640333" w:rsidRDefault="00C56961" w:rsidP="00C56961">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dic-21</w:t>
            </w:r>
          </w:p>
        </w:tc>
        <w:tc>
          <w:tcPr>
            <w:tcW w:w="968" w:type="pct"/>
            <w:vAlign w:val="center"/>
          </w:tcPr>
          <w:p w14:paraId="65DD4565" w14:textId="567EE7EB" w:rsidR="00C56961" w:rsidRPr="00640333" w:rsidRDefault="00C56961" w:rsidP="00C56961">
            <w:pPr>
              <w:pStyle w:val="Tablas"/>
              <w:tabs>
                <w:tab w:val="left" w:pos="9270"/>
              </w:tabs>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rPr>
            </w:pPr>
            <w:r w:rsidRPr="00640333">
              <w:rPr>
                <w:rFonts w:cs="Arial"/>
                <w:color w:val="002060"/>
                <w:sz w:val="20"/>
                <w:szCs w:val="20"/>
              </w:rPr>
              <w:t>dic-22</w:t>
            </w:r>
          </w:p>
        </w:tc>
      </w:tr>
      <w:tr w:rsidR="00C56961" w:rsidRPr="006E6390" w14:paraId="6CD75507"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70F4E2D2" w14:textId="5D93F4DE" w:rsidR="00C56961" w:rsidRPr="006E6390" w:rsidRDefault="00C56961" w:rsidP="00C56961">
            <w:pPr>
              <w:pStyle w:val="Tablas"/>
              <w:tabs>
                <w:tab w:val="left" w:pos="9270"/>
              </w:tabs>
              <w:rPr>
                <w:rFonts w:cs="Arial"/>
                <w:b w:val="0"/>
                <w:bCs w:val="0"/>
                <w:sz w:val="20"/>
                <w:szCs w:val="20"/>
              </w:rPr>
            </w:pPr>
            <w:r>
              <w:rPr>
                <w:rFonts w:cs="Arial"/>
                <w:color w:val="000000"/>
                <w:sz w:val="20"/>
                <w:szCs w:val="20"/>
              </w:rPr>
              <w:t>Capital Social</w:t>
            </w:r>
          </w:p>
        </w:tc>
        <w:tc>
          <w:tcPr>
            <w:tcW w:w="968" w:type="pct"/>
            <w:vAlign w:val="center"/>
          </w:tcPr>
          <w:p w14:paraId="7DAE87D9" w14:textId="1025C1F7"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203 103</w:t>
            </w:r>
          </w:p>
        </w:tc>
        <w:tc>
          <w:tcPr>
            <w:tcW w:w="968" w:type="pct"/>
            <w:vAlign w:val="center"/>
          </w:tcPr>
          <w:p w14:paraId="2B9E8FE3" w14:textId="138EE7FE"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203 103</w:t>
            </w:r>
          </w:p>
        </w:tc>
        <w:tc>
          <w:tcPr>
            <w:tcW w:w="968" w:type="pct"/>
            <w:vAlign w:val="center"/>
          </w:tcPr>
          <w:p w14:paraId="7D02BB46" w14:textId="6C66A4C8" w:rsidR="00C56961" w:rsidRPr="006E6390" w:rsidRDefault="002071D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203 103</w:t>
            </w:r>
            <w:r w:rsidR="00C56961">
              <w:rPr>
                <w:rFonts w:cs="Arial"/>
                <w:color w:val="000000"/>
                <w:sz w:val="20"/>
                <w:szCs w:val="20"/>
              </w:rPr>
              <w:t> </w:t>
            </w:r>
          </w:p>
        </w:tc>
      </w:tr>
      <w:tr w:rsidR="00C56961" w:rsidRPr="006E6390" w14:paraId="3A267BA8"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1BE5DD43" w14:textId="38CC7E9F" w:rsidR="00C56961" w:rsidRPr="006E6390" w:rsidRDefault="00C56961" w:rsidP="00C56961">
            <w:pPr>
              <w:pStyle w:val="Tablas"/>
              <w:tabs>
                <w:tab w:val="left" w:pos="9270"/>
              </w:tabs>
              <w:rPr>
                <w:rFonts w:cs="Arial"/>
                <w:b w:val="0"/>
                <w:bCs w:val="0"/>
                <w:sz w:val="20"/>
                <w:szCs w:val="20"/>
              </w:rPr>
            </w:pPr>
            <w:r>
              <w:rPr>
                <w:rFonts w:cs="Arial"/>
                <w:color w:val="000000"/>
                <w:sz w:val="20"/>
                <w:szCs w:val="20"/>
              </w:rPr>
              <w:t>Reserva Legal (Código de Comercio)</w:t>
            </w:r>
          </w:p>
        </w:tc>
        <w:tc>
          <w:tcPr>
            <w:tcW w:w="968" w:type="pct"/>
            <w:vAlign w:val="center"/>
          </w:tcPr>
          <w:p w14:paraId="5C662695" w14:textId="18227E3E" w:rsidR="00C56961" w:rsidRPr="006E6390"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3 797</w:t>
            </w:r>
          </w:p>
        </w:tc>
        <w:tc>
          <w:tcPr>
            <w:tcW w:w="968" w:type="pct"/>
            <w:vAlign w:val="center"/>
          </w:tcPr>
          <w:p w14:paraId="55E31AC3" w14:textId="7E51DA40" w:rsidR="00C56961" w:rsidRPr="006E6390"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7 036</w:t>
            </w:r>
          </w:p>
        </w:tc>
        <w:tc>
          <w:tcPr>
            <w:tcW w:w="968" w:type="pct"/>
            <w:vAlign w:val="center"/>
          </w:tcPr>
          <w:p w14:paraId="0486959E" w14:textId="252EBF44" w:rsidR="00C56961" w:rsidRPr="006E6390" w:rsidRDefault="002071D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9 794</w:t>
            </w:r>
            <w:r w:rsidR="00C56961">
              <w:rPr>
                <w:rFonts w:cs="Arial"/>
                <w:color w:val="000000"/>
                <w:sz w:val="20"/>
                <w:szCs w:val="20"/>
              </w:rPr>
              <w:t> </w:t>
            </w:r>
          </w:p>
        </w:tc>
      </w:tr>
      <w:tr w:rsidR="00C56961" w:rsidRPr="006E6390" w14:paraId="040AB3CD"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7162AAC7" w14:textId="0D6C4A7B" w:rsidR="00C56961" w:rsidRPr="006E6390" w:rsidRDefault="00C56961" w:rsidP="00C56961">
            <w:pPr>
              <w:pStyle w:val="Tablas"/>
              <w:tabs>
                <w:tab w:val="left" w:pos="9270"/>
              </w:tabs>
              <w:rPr>
                <w:rFonts w:cs="Arial"/>
                <w:b w:val="0"/>
                <w:bCs w:val="0"/>
                <w:sz w:val="20"/>
                <w:szCs w:val="20"/>
              </w:rPr>
            </w:pPr>
            <w:r>
              <w:rPr>
                <w:rFonts w:cs="Arial"/>
                <w:color w:val="000000"/>
                <w:sz w:val="20"/>
                <w:szCs w:val="20"/>
              </w:rPr>
              <w:t>Reserva para Inversiones</w:t>
            </w:r>
          </w:p>
        </w:tc>
        <w:tc>
          <w:tcPr>
            <w:tcW w:w="968" w:type="pct"/>
            <w:vAlign w:val="center"/>
          </w:tcPr>
          <w:p w14:paraId="713E90D2" w14:textId="0E71FBB2"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0</w:t>
            </w:r>
          </w:p>
        </w:tc>
        <w:tc>
          <w:tcPr>
            <w:tcW w:w="968" w:type="pct"/>
            <w:vAlign w:val="center"/>
          </w:tcPr>
          <w:p w14:paraId="0846C44D" w14:textId="45D1992E"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0</w:t>
            </w:r>
          </w:p>
        </w:tc>
        <w:tc>
          <w:tcPr>
            <w:tcW w:w="968" w:type="pct"/>
            <w:vAlign w:val="center"/>
          </w:tcPr>
          <w:p w14:paraId="1DE562C4" w14:textId="14EE586C" w:rsidR="00C56961" w:rsidRPr="006E6390" w:rsidRDefault="002071D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40 215</w:t>
            </w:r>
            <w:r w:rsidR="00C56961">
              <w:rPr>
                <w:rFonts w:cs="Arial"/>
                <w:color w:val="000000"/>
                <w:sz w:val="20"/>
                <w:szCs w:val="20"/>
              </w:rPr>
              <w:t> </w:t>
            </w:r>
          </w:p>
        </w:tc>
      </w:tr>
      <w:tr w:rsidR="00C56961" w:rsidRPr="006E6390" w14:paraId="5C446E5A"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tcPr>
          <w:p w14:paraId="29A07499" w14:textId="16C2F17E" w:rsidR="00C56961" w:rsidRPr="006E6390" w:rsidRDefault="00C56961" w:rsidP="00C56961">
            <w:pPr>
              <w:pStyle w:val="Tablas"/>
              <w:tabs>
                <w:tab w:val="left" w:pos="9270"/>
              </w:tabs>
              <w:rPr>
                <w:rFonts w:cs="Arial"/>
                <w:b w:val="0"/>
                <w:bCs w:val="0"/>
                <w:sz w:val="20"/>
                <w:szCs w:val="20"/>
              </w:rPr>
            </w:pPr>
            <w:r>
              <w:rPr>
                <w:rFonts w:cs="Arial"/>
                <w:color w:val="000000"/>
                <w:sz w:val="20"/>
                <w:szCs w:val="20"/>
              </w:rPr>
              <w:t>Superávit por Avalúo Técnico</w:t>
            </w:r>
          </w:p>
        </w:tc>
        <w:tc>
          <w:tcPr>
            <w:tcW w:w="968" w:type="pct"/>
            <w:vAlign w:val="center"/>
          </w:tcPr>
          <w:p w14:paraId="0BA5E31C" w14:textId="4FB72279" w:rsidR="00C56961" w:rsidRPr="006E6390"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175 994</w:t>
            </w:r>
          </w:p>
        </w:tc>
        <w:tc>
          <w:tcPr>
            <w:tcW w:w="968" w:type="pct"/>
            <w:vAlign w:val="center"/>
          </w:tcPr>
          <w:p w14:paraId="76064E42" w14:textId="3FB26289" w:rsidR="00C56961" w:rsidRPr="006E6390" w:rsidDel="00785915"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185 541</w:t>
            </w:r>
          </w:p>
        </w:tc>
        <w:tc>
          <w:tcPr>
            <w:tcW w:w="968" w:type="pct"/>
            <w:vAlign w:val="center"/>
          </w:tcPr>
          <w:p w14:paraId="6AF536CE" w14:textId="397AEECC" w:rsidR="00C56961" w:rsidRPr="006E6390" w:rsidRDefault="002071D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176 502</w:t>
            </w:r>
            <w:r w:rsidR="00C56961">
              <w:rPr>
                <w:rFonts w:cs="Arial"/>
                <w:color w:val="000000"/>
                <w:sz w:val="20"/>
                <w:szCs w:val="20"/>
              </w:rPr>
              <w:t> </w:t>
            </w:r>
          </w:p>
        </w:tc>
      </w:tr>
      <w:tr w:rsidR="00C56961" w:rsidRPr="006E6390" w14:paraId="3BE6B936"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4ED082DB" w14:textId="2C0FEE0C" w:rsidR="00C56961" w:rsidRPr="006E6390" w:rsidRDefault="00C56961" w:rsidP="00C56961">
            <w:pPr>
              <w:pStyle w:val="Tablas"/>
              <w:tabs>
                <w:tab w:val="left" w:pos="9270"/>
              </w:tabs>
              <w:rPr>
                <w:rFonts w:cs="Arial"/>
                <w:b w:val="0"/>
                <w:bCs w:val="0"/>
                <w:sz w:val="20"/>
                <w:szCs w:val="20"/>
              </w:rPr>
            </w:pPr>
            <w:r>
              <w:rPr>
                <w:rFonts w:cs="Arial"/>
                <w:color w:val="000000"/>
                <w:sz w:val="20"/>
                <w:szCs w:val="20"/>
              </w:rPr>
              <w:t>Utilidades Acumuladas</w:t>
            </w:r>
          </w:p>
        </w:tc>
        <w:tc>
          <w:tcPr>
            <w:tcW w:w="968" w:type="pct"/>
            <w:vAlign w:val="center"/>
          </w:tcPr>
          <w:p w14:paraId="3038E074" w14:textId="7A2C1E5E"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209 204</w:t>
            </w:r>
          </w:p>
        </w:tc>
        <w:tc>
          <w:tcPr>
            <w:tcW w:w="968" w:type="pct"/>
            <w:vAlign w:val="center"/>
          </w:tcPr>
          <w:p w14:paraId="11079444" w14:textId="0995FE74" w:rsidR="00C56961" w:rsidRPr="006E6390" w:rsidRDefault="00C5696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263 745</w:t>
            </w:r>
          </w:p>
        </w:tc>
        <w:tc>
          <w:tcPr>
            <w:tcW w:w="968" w:type="pct"/>
            <w:vAlign w:val="center"/>
          </w:tcPr>
          <w:p w14:paraId="6ACFAB2C" w14:textId="5A4F56D2" w:rsidR="00C56961" w:rsidRPr="006E6390" w:rsidRDefault="002071D1" w:rsidP="00C56961">
            <w:pPr>
              <w:pStyle w:val="Tablas"/>
              <w:tabs>
                <w:tab w:val="left" w:pos="9270"/>
              </w:tabs>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283 160</w:t>
            </w:r>
            <w:r w:rsidR="00C56961">
              <w:rPr>
                <w:rFonts w:cs="Arial"/>
                <w:color w:val="000000"/>
                <w:sz w:val="20"/>
                <w:szCs w:val="20"/>
              </w:rPr>
              <w:t> </w:t>
            </w:r>
          </w:p>
        </w:tc>
      </w:tr>
      <w:tr w:rsidR="00C56961" w:rsidRPr="006E6390" w14:paraId="23286987"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2095" w:type="pct"/>
            <w:vAlign w:val="center"/>
            <w:hideMark/>
          </w:tcPr>
          <w:p w14:paraId="1D5C1AC5" w14:textId="30C29659" w:rsidR="00C56961" w:rsidRPr="00C66E3E" w:rsidRDefault="00C56961" w:rsidP="00C56961">
            <w:pPr>
              <w:pStyle w:val="Tablas"/>
              <w:tabs>
                <w:tab w:val="left" w:pos="9270"/>
              </w:tabs>
              <w:rPr>
                <w:rFonts w:cs="Arial"/>
                <w:sz w:val="20"/>
                <w:szCs w:val="20"/>
              </w:rPr>
            </w:pPr>
            <w:r w:rsidRPr="00C66E3E">
              <w:rPr>
                <w:rFonts w:cs="Arial"/>
                <w:color w:val="000000"/>
                <w:sz w:val="20"/>
                <w:szCs w:val="20"/>
              </w:rPr>
              <w:t>PATRIMONIO TOTAL</w:t>
            </w:r>
          </w:p>
        </w:tc>
        <w:tc>
          <w:tcPr>
            <w:tcW w:w="968" w:type="pct"/>
            <w:vAlign w:val="center"/>
          </w:tcPr>
          <w:p w14:paraId="717BBC59" w14:textId="317368B6" w:rsidR="00C56961" w:rsidRPr="006E6390"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bCs/>
                <w:color w:val="000000"/>
                <w:sz w:val="20"/>
                <w:szCs w:val="20"/>
              </w:rPr>
              <w:t>589 098</w:t>
            </w:r>
          </w:p>
        </w:tc>
        <w:tc>
          <w:tcPr>
            <w:tcW w:w="968" w:type="pct"/>
            <w:noWrap/>
            <w:vAlign w:val="center"/>
          </w:tcPr>
          <w:p w14:paraId="32F598CB" w14:textId="3384D513" w:rsidR="00C56961" w:rsidRPr="006E6390" w:rsidRDefault="00C5696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bCs/>
                <w:color w:val="000000"/>
                <w:sz w:val="20"/>
                <w:szCs w:val="20"/>
              </w:rPr>
              <w:t>656 425</w:t>
            </w:r>
          </w:p>
        </w:tc>
        <w:tc>
          <w:tcPr>
            <w:tcW w:w="968" w:type="pct"/>
            <w:vAlign w:val="center"/>
          </w:tcPr>
          <w:p w14:paraId="12F38455" w14:textId="09EF1445" w:rsidR="00C56961" w:rsidRPr="006E6390" w:rsidRDefault="002071D1" w:rsidP="00C56961">
            <w:pPr>
              <w:pStyle w:val="Tablas"/>
              <w:tabs>
                <w:tab w:val="left" w:pos="9270"/>
              </w:tabs>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bCs/>
                <w:color w:val="000000"/>
                <w:sz w:val="20"/>
                <w:szCs w:val="20"/>
              </w:rPr>
              <w:t>709 774</w:t>
            </w:r>
            <w:r w:rsidR="00C56961">
              <w:rPr>
                <w:rFonts w:cs="Arial"/>
                <w:b/>
                <w:bCs/>
                <w:color w:val="000000"/>
                <w:sz w:val="20"/>
                <w:szCs w:val="20"/>
              </w:rPr>
              <w:t> </w:t>
            </w:r>
          </w:p>
        </w:tc>
      </w:tr>
    </w:tbl>
    <w:p w14:paraId="60651FCE" w14:textId="77777777" w:rsidR="00873CC3" w:rsidRPr="006E6390" w:rsidRDefault="00873CC3" w:rsidP="00873CC3">
      <w:pPr>
        <w:pStyle w:val="Sinespaciado"/>
        <w:tabs>
          <w:tab w:val="left" w:pos="9270"/>
        </w:tabs>
        <w:spacing w:line="276" w:lineRule="auto"/>
        <w:rPr>
          <w:rFonts w:ascii="Arial" w:hAnsi="Arial" w:cs="Arial"/>
          <w:sz w:val="22"/>
        </w:rPr>
      </w:pPr>
    </w:p>
    <w:p w14:paraId="228211C8" w14:textId="47B9E2E4" w:rsidR="00873CC3" w:rsidRDefault="00873CC3" w:rsidP="00640333">
      <w:pPr>
        <w:spacing w:after="0"/>
        <w:rPr>
          <w:rFonts w:cs="Arial"/>
        </w:rPr>
      </w:pPr>
      <w:r w:rsidRPr="006E6390">
        <w:rPr>
          <w:rFonts w:cs="Arial"/>
        </w:rPr>
        <w:t>Dentro del patrimonio se incluye la cuenta de reservas para inversiones, la cual corresponde con los recursos para cubrir las inversiones en infraestructura y en el inventario de productos.  Esta reserva se crea con fundamento en las disposiciones de la Ley 7722 “Ley de Sujeción de Instituciones Estatales al Pago de Impuesto sobre la Renta” y la resolución RRG-8988-2008, emitida por ARESEP, en relación con el destino que debe darse a la utilidad contable de la empresa.</w:t>
      </w:r>
    </w:p>
    <w:p w14:paraId="414230A6" w14:textId="77777777" w:rsidR="000D1201" w:rsidRPr="006E6390" w:rsidRDefault="000D1201" w:rsidP="00640333">
      <w:pPr>
        <w:spacing w:after="0"/>
        <w:rPr>
          <w:rFonts w:cs="Arial"/>
        </w:rPr>
      </w:pPr>
    </w:p>
    <w:p w14:paraId="72F0E75E" w14:textId="33E950CB" w:rsidR="00E94C05" w:rsidRDefault="00E94C05" w:rsidP="00640333">
      <w:pPr>
        <w:spacing w:after="0"/>
      </w:pPr>
      <w:r w:rsidRPr="006E6390">
        <w:t xml:space="preserve">Por otra parte, el superávit por donación fue reclasificado a la cuenta utilidades acumuladas por la suma de </w:t>
      </w:r>
      <w:r w:rsidR="00B90051" w:rsidRPr="006E6390">
        <w:rPr>
          <w:rFonts w:cs="Arial"/>
          <w:lang w:eastAsia="es-MX"/>
        </w:rPr>
        <w:t>₡</w:t>
      </w:r>
      <w:r w:rsidRPr="006E6390">
        <w:t>1</w:t>
      </w:r>
      <w:r w:rsidR="00C10F6B" w:rsidRPr="006E6390">
        <w:t> </w:t>
      </w:r>
      <w:r w:rsidRPr="006E6390">
        <w:t>553</w:t>
      </w:r>
      <w:r w:rsidR="00C10F6B" w:rsidRPr="006E6390">
        <w:t xml:space="preserve"> millones</w:t>
      </w:r>
      <w:r w:rsidRPr="006E6390">
        <w:t>, lo anterior a fin de cumplir con lo indicado en la Carta de Gerencia de los Estados Financieros al cierre 2019 y</w:t>
      </w:r>
      <w:r w:rsidR="00003535" w:rsidRPr="006E6390">
        <w:t xml:space="preserve"> luego de la aprobación de la Junta Directiva</w:t>
      </w:r>
      <w:r w:rsidRPr="006E6390">
        <w:t xml:space="preserve"> </w:t>
      </w:r>
      <w:r w:rsidR="00003535" w:rsidRPr="006E6390">
        <w:t>mediante el</w:t>
      </w:r>
      <w:r w:rsidRPr="006E6390">
        <w:t xml:space="preserve"> JD-0201-2020 del 9 de junio 2020, artículo #5, de la Sesión Ordinaria #5157-129, celebrada </w:t>
      </w:r>
      <w:r w:rsidR="00003535" w:rsidRPr="006E6390">
        <w:t>el miércoles 3 de junio de 2020</w:t>
      </w:r>
      <w:r w:rsidRPr="006E6390">
        <w:t>.</w:t>
      </w:r>
    </w:p>
    <w:p w14:paraId="67035BCF" w14:textId="77777777" w:rsidR="00FA1D61" w:rsidRPr="006E6390" w:rsidRDefault="00FA1D61" w:rsidP="00640333">
      <w:pPr>
        <w:spacing w:after="0"/>
      </w:pPr>
    </w:p>
    <w:p w14:paraId="1EE8E674" w14:textId="6E07D91F" w:rsidR="00873CC3" w:rsidRDefault="00873CC3" w:rsidP="00640333">
      <w:pPr>
        <w:spacing w:after="0"/>
        <w:rPr>
          <w:rFonts w:cs="Arial"/>
          <w:lang w:eastAsia="es-MX"/>
        </w:rPr>
      </w:pPr>
      <w:r w:rsidRPr="006E6390">
        <w:rPr>
          <w:rFonts w:cs="Arial"/>
          <w:lang w:eastAsia="es-MX"/>
        </w:rPr>
        <w:t xml:space="preserve">Por último, RECOPE no distribuye dividendos por lo que no tiene política de distribución de </w:t>
      </w:r>
      <w:r w:rsidR="00CE64D0" w:rsidRPr="006E6390">
        <w:rPr>
          <w:rFonts w:cs="Arial"/>
          <w:lang w:eastAsia="es-MX"/>
        </w:rPr>
        <w:t>estos</w:t>
      </w:r>
      <w:r w:rsidRPr="006E6390">
        <w:rPr>
          <w:rFonts w:cs="Arial"/>
          <w:lang w:eastAsia="es-MX"/>
        </w:rPr>
        <w:t>.  Adicionalmente la empresa no cuenta con acciones en tesorería.</w:t>
      </w:r>
    </w:p>
    <w:p w14:paraId="3E217957" w14:textId="77777777" w:rsidR="000D1201" w:rsidRPr="006E6390" w:rsidRDefault="000D1201" w:rsidP="00873CC3">
      <w:pPr>
        <w:rPr>
          <w:rFonts w:cs="Arial"/>
          <w:lang w:eastAsia="es-MX"/>
        </w:rPr>
      </w:pPr>
    </w:p>
    <w:p w14:paraId="67DDB9CB" w14:textId="77777777" w:rsidR="00873CC3" w:rsidRPr="006E6390" w:rsidRDefault="00873CC3" w:rsidP="00873CC3">
      <w:pPr>
        <w:pStyle w:val="Ttulo2"/>
        <w:rPr>
          <w:rFonts w:cs="Arial"/>
        </w:rPr>
      </w:pPr>
      <w:bookmarkStart w:id="76" w:name="_Toc38630801"/>
      <w:r w:rsidRPr="006E6390">
        <w:rPr>
          <w:rFonts w:cs="Arial"/>
        </w:rPr>
        <w:lastRenderedPageBreak/>
        <w:t>2.6. Exposición cambiaria</w:t>
      </w:r>
      <w:bookmarkEnd w:id="76"/>
    </w:p>
    <w:p w14:paraId="402D8FCA" w14:textId="0A23B689" w:rsidR="00873CC3" w:rsidRDefault="00C028CC" w:rsidP="00640333">
      <w:pPr>
        <w:spacing w:after="0"/>
        <w:rPr>
          <w:rFonts w:cs="Arial"/>
          <w:lang w:eastAsia="es-MX"/>
        </w:rPr>
      </w:pPr>
      <w:r w:rsidRPr="006E6390">
        <w:rPr>
          <w:rFonts w:cs="Arial"/>
          <w:lang w:eastAsia="es-MX"/>
        </w:rPr>
        <w:t>Seguidamente se</w:t>
      </w:r>
      <w:r w:rsidR="00873CC3" w:rsidRPr="006E6390">
        <w:rPr>
          <w:rFonts w:cs="Arial"/>
          <w:lang w:eastAsia="es-MX"/>
        </w:rPr>
        <w:t xml:space="preserve"> describe la exposición cambiaria de RECOPE, según categoría de activos y pasivos.  Se observa que RECOPE ha mantenido una exposición cambiaria respecto al dólar estadounidense, generado principalmente por sus pasivos financieros, que se encuentran denominados casi en su totalidad en dicha moneda.</w:t>
      </w:r>
    </w:p>
    <w:p w14:paraId="42D2ED0D" w14:textId="77777777" w:rsidR="00095404" w:rsidRPr="006E6390" w:rsidRDefault="00095404" w:rsidP="00873CC3">
      <w:pPr>
        <w:rPr>
          <w:rFonts w:cs="Arial"/>
          <w:lang w:eastAsia="es-MX"/>
        </w:rPr>
      </w:pPr>
    </w:p>
    <w:p w14:paraId="2EF21991" w14:textId="77777777" w:rsidR="00873CC3" w:rsidRPr="006E6390" w:rsidRDefault="00873CC3" w:rsidP="00873CC3">
      <w:pPr>
        <w:pStyle w:val="Ttuloscuadros"/>
        <w:tabs>
          <w:tab w:val="left" w:pos="9270"/>
        </w:tabs>
        <w:rPr>
          <w:rFonts w:cs="Arial"/>
        </w:rPr>
      </w:pPr>
      <w:r w:rsidRPr="006E6390">
        <w:rPr>
          <w:rFonts w:cs="Arial"/>
        </w:rPr>
        <w:t>Cuadro N°</w:t>
      </w:r>
      <w:r w:rsidR="00BC795D" w:rsidRPr="006E6390">
        <w:rPr>
          <w:rFonts w:cs="Arial"/>
        </w:rPr>
        <w:t>19</w:t>
      </w:r>
    </w:p>
    <w:p w14:paraId="18CB99B5" w14:textId="77777777" w:rsidR="00873CC3" w:rsidRPr="006E6390" w:rsidRDefault="00873CC3" w:rsidP="00873CC3">
      <w:pPr>
        <w:pStyle w:val="Ttuloscuadros"/>
        <w:tabs>
          <w:tab w:val="left" w:pos="9270"/>
        </w:tabs>
        <w:spacing w:after="240"/>
        <w:rPr>
          <w:rFonts w:cs="Arial"/>
        </w:rPr>
      </w:pPr>
      <w:r w:rsidRPr="006E6390">
        <w:rPr>
          <w:rFonts w:cs="Arial"/>
        </w:rPr>
        <w:t>Saldo en moneda extranjera</w:t>
      </w:r>
      <w:r w:rsidR="00BC2DD8">
        <w:rPr>
          <w:rFonts w:cs="Arial"/>
        </w:rPr>
        <w:t xml:space="preserve"> (e</w:t>
      </w:r>
      <w:r w:rsidR="00BC2DD8" w:rsidRPr="00640333">
        <w:rPr>
          <w:rFonts w:cs="Arial"/>
        </w:rPr>
        <w:t>n miles de dólares)</w:t>
      </w:r>
    </w:p>
    <w:tbl>
      <w:tblPr>
        <w:tblStyle w:val="Tablanormal1"/>
        <w:tblW w:w="5000" w:type="pct"/>
        <w:jc w:val="center"/>
        <w:tblLook w:val="04A0" w:firstRow="1" w:lastRow="0" w:firstColumn="1" w:lastColumn="0" w:noHBand="0" w:noVBand="1"/>
      </w:tblPr>
      <w:tblGrid>
        <w:gridCol w:w="3067"/>
        <w:gridCol w:w="1968"/>
        <w:gridCol w:w="1968"/>
        <w:gridCol w:w="1966"/>
      </w:tblGrid>
      <w:tr w:rsidR="00A73177" w:rsidRPr="006E6390" w14:paraId="71D3AEF2" w14:textId="77777777" w:rsidTr="0064033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10" w:type="pct"/>
            <w:hideMark/>
          </w:tcPr>
          <w:p w14:paraId="55D479E9" w14:textId="7AC7650B" w:rsidR="00A73177" w:rsidRPr="006E6390" w:rsidRDefault="00A73177" w:rsidP="00A73177">
            <w:pPr>
              <w:spacing w:after="0" w:line="240" w:lineRule="auto"/>
              <w:jc w:val="left"/>
              <w:rPr>
                <w:rFonts w:cs="Arial"/>
                <w:b w:val="0"/>
                <w:bCs w:val="0"/>
                <w:sz w:val="20"/>
                <w:szCs w:val="20"/>
                <w:lang w:val="es-ES" w:eastAsia="es-ES"/>
              </w:rPr>
            </w:pPr>
            <w:r>
              <w:rPr>
                <w:rFonts w:ascii="Calibri" w:hAnsi="Calibri" w:cs="Calibri"/>
                <w:color w:val="000000"/>
                <w:sz w:val="20"/>
                <w:szCs w:val="20"/>
              </w:rPr>
              <w:t> </w:t>
            </w:r>
          </w:p>
        </w:tc>
        <w:tc>
          <w:tcPr>
            <w:tcW w:w="1097" w:type="pct"/>
            <w:vAlign w:val="center"/>
            <w:hideMark/>
          </w:tcPr>
          <w:p w14:paraId="5355D295" w14:textId="4E7C4BBC" w:rsidR="00A73177" w:rsidRPr="00640333" w:rsidRDefault="00A73177" w:rsidP="00A73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640333">
              <w:rPr>
                <w:rFonts w:cs="Arial"/>
                <w:color w:val="002060"/>
                <w:sz w:val="20"/>
                <w:szCs w:val="20"/>
              </w:rPr>
              <w:t>2020</w:t>
            </w:r>
          </w:p>
        </w:tc>
        <w:tc>
          <w:tcPr>
            <w:tcW w:w="1097" w:type="pct"/>
            <w:vAlign w:val="center"/>
            <w:hideMark/>
          </w:tcPr>
          <w:p w14:paraId="1E7C9066" w14:textId="11724524" w:rsidR="00A73177" w:rsidRPr="00640333" w:rsidRDefault="00A73177" w:rsidP="00A73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640333">
              <w:rPr>
                <w:rFonts w:cs="Arial"/>
                <w:color w:val="002060"/>
                <w:sz w:val="20"/>
                <w:szCs w:val="20"/>
              </w:rPr>
              <w:t>2021</w:t>
            </w:r>
          </w:p>
        </w:tc>
        <w:tc>
          <w:tcPr>
            <w:tcW w:w="1097" w:type="pct"/>
            <w:vAlign w:val="center"/>
            <w:hideMark/>
          </w:tcPr>
          <w:p w14:paraId="2BBC4C9B" w14:textId="67D32162" w:rsidR="00A73177" w:rsidRPr="00640333" w:rsidRDefault="00A73177" w:rsidP="00A73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640333">
              <w:rPr>
                <w:rFonts w:cs="Arial"/>
                <w:color w:val="002060"/>
                <w:sz w:val="20"/>
                <w:szCs w:val="20"/>
              </w:rPr>
              <w:t>2022</w:t>
            </w:r>
          </w:p>
        </w:tc>
      </w:tr>
      <w:tr w:rsidR="00A65696" w:rsidRPr="006E6390" w14:paraId="13BA6217"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60EB758B" w14:textId="29B4AC5B" w:rsidR="00A65696" w:rsidRPr="006E6390" w:rsidRDefault="00A65696" w:rsidP="00A65696">
            <w:pPr>
              <w:spacing w:after="0" w:line="240" w:lineRule="auto"/>
              <w:jc w:val="left"/>
              <w:rPr>
                <w:rFonts w:cs="Arial"/>
                <w:sz w:val="20"/>
                <w:szCs w:val="20"/>
                <w:u w:val="single"/>
                <w:lang w:val="es-ES" w:eastAsia="es-ES"/>
              </w:rPr>
            </w:pPr>
            <w:r>
              <w:rPr>
                <w:rFonts w:cs="Arial"/>
                <w:b w:val="0"/>
                <w:bCs w:val="0"/>
                <w:color w:val="000000"/>
                <w:sz w:val="20"/>
                <w:szCs w:val="20"/>
                <w:u w:val="single"/>
              </w:rPr>
              <w:t>Activos en dólares</w:t>
            </w:r>
          </w:p>
        </w:tc>
        <w:tc>
          <w:tcPr>
            <w:tcW w:w="1097" w:type="pct"/>
            <w:vAlign w:val="center"/>
            <w:hideMark/>
          </w:tcPr>
          <w:p w14:paraId="44094A9C" w14:textId="1344ED49"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109 441</w:t>
            </w:r>
          </w:p>
        </w:tc>
        <w:tc>
          <w:tcPr>
            <w:tcW w:w="1097" w:type="pct"/>
            <w:vAlign w:val="center"/>
            <w:hideMark/>
          </w:tcPr>
          <w:p w14:paraId="338018D7" w14:textId="564FD545"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285 505</w:t>
            </w:r>
          </w:p>
        </w:tc>
        <w:tc>
          <w:tcPr>
            <w:tcW w:w="1097" w:type="pct"/>
            <w:vAlign w:val="center"/>
          </w:tcPr>
          <w:p w14:paraId="5445C599" w14:textId="4FB5AA68"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236 215</w:t>
            </w:r>
          </w:p>
        </w:tc>
      </w:tr>
      <w:tr w:rsidR="00A65696" w:rsidRPr="006E6390" w14:paraId="574BABB3"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7051C838" w14:textId="3825A647"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Efectivo</w:t>
            </w:r>
          </w:p>
        </w:tc>
        <w:tc>
          <w:tcPr>
            <w:tcW w:w="1097" w:type="pct"/>
            <w:vAlign w:val="center"/>
            <w:hideMark/>
          </w:tcPr>
          <w:p w14:paraId="0C7B1192" w14:textId="1768C770"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40 975</w:t>
            </w:r>
          </w:p>
        </w:tc>
        <w:tc>
          <w:tcPr>
            <w:tcW w:w="1097" w:type="pct"/>
            <w:vAlign w:val="center"/>
            <w:hideMark/>
          </w:tcPr>
          <w:p w14:paraId="685DC004" w14:textId="29B7DEC4"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201 153</w:t>
            </w:r>
          </w:p>
        </w:tc>
        <w:tc>
          <w:tcPr>
            <w:tcW w:w="1097" w:type="pct"/>
            <w:vAlign w:val="center"/>
          </w:tcPr>
          <w:p w14:paraId="6F9C3935" w14:textId="0DE9DF32"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142 950</w:t>
            </w:r>
          </w:p>
        </w:tc>
      </w:tr>
      <w:tr w:rsidR="00A65696" w:rsidRPr="006E6390" w14:paraId="67C01E24"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0D06DF34" w14:textId="60243A68"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Inversiones en activos financieros (FAB)</w:t>
            </w:r>
          </w:p>
        </w:tc>
        <w:tc>
          <w:tcPr>
            <w:tcW w:w="1097" w:type="pct"/>
            <w:vAlign w:val="center"/>
            <w:hideMark/>
          </w:tcPr>
          <w:p w14:paraId="5BAD73F4" w14:textId="68E19F4A"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63 519</w:t>
            </w:r>
          </w:p>
        </w:tc>
        <w:tc>
          <w:tcPr>
            <w:tcW w:w="1097" w:type="pct"/>
            <w:vAlign w:val="center"/>
            <w:hideMark/>
          </w:tcPr>
          <w:p w14:paraId="28463BF9" w14:textId="32A8CF39"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79 320</w:t>
            </w:r>
          </w:p>
        </w:tc>
        <w:tc>
          <w:tcPr>
            <w:tcW w:w="1097" w:type="pct"/>
            <w:vAlign w:val="center"/>
          </w:tcPr>
          <w:p w14:paraId="29777B40" w14:textId="1122826B"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90 019</w:t>
            </w:r>
          </w:p>
        </w:tc>
      </w:tr>
      <w:tr w:rsidR="00A65696" w:rsidRPr="006E6390" w14:paraId="4E09C2BB"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50512764" w14:textId="73F20C00"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Adelantos a contratistas</w:t>
            </w:r>
          </w:p>
        </w:tc>
        <w:tc>
          <w:tcPr>
            <w:tcW w:w="1097" w:type="pct"/>
            <w:vAlign w:val="center"/>
            <w:hideMark/>
          </w:tcPr>
          <w:p w14:paraId="5460F8C6" w14:textId="27C340A1"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4 948</w:t>
            </w:r>
          </w:p>
        </w:tc>
        <w:tc>
          <w:tcPr>
            <w:tcW w:w="1097" w:type="pct"/>
            <w:vAlign w:val="center"/>
            <w:hideMark/>
          </w:tcPr>
          <w:p w14:paraId="2734AEC7" w14:textId="0893383C"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5 033</w:t>
            </w:r>
          </w:p>
        </w:tc>
        <w:tc>
          <w:tcPr>
            <w:tcW w:w="1097" w:type="pct"/>
            <w:vAlign w:val="center"/>
          </w:tcPr>
          <w:p w14:paraId="2B21E2E2" w14:textId="12E0FDD0"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3 246</w:t>
            </w:r>
          </w:p>
        </w:tc>
      </w:tr>
      <w:tr w:rsidR="00A65696" w:rsidRPr="006E6390" w14:paraId="4C573F1C"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67805679" w14:textId="5C75C7E3" w:rsidR="00A65696" w:rsidRPr="006E6390" w:rsidRDefault="00A65696" w:rsidP="00A65696">
            <w:pPr>
              <w:spacing w:after="0" w:line="240" w:lineRule="auto"/>
              <w:jc w:val="left"/>
              <w:rPr>
                <w:rFonts w:cs="Arial"/>
                <w:sz w:val="20"/>
                <w:szCs w:val="20"/>
                <w:u w:val="single"/>
                <w:lang w:val="es-ES" w:eastAsia="es-ES"/>
              </w:rPr>
            </w:pPr>
            <w:r>
              <w:rPr>
                <w:rFonts w:cs="Arial"/>
                <w:b w:val="0"/>
                <w:bCs w:val="0"/>
                <w:color w:val="000000"/>
                <w:sz w:val="20"/>
                <w:szCs w:val="20"/>
                <w:u w:val="single"/>
              </w:rPr>
              <w:t>Pasivos en dólares</w:t>
            </w:r>
          </w:p>
        </w:tc>
        <w:tc>
          <w:tcPr>
            <w:tcW w:w="1097" w:type="pct"/>
            <w:vAlign w:val="center"/>
            <w:hideMark/>
          </w:tcPr>
          <w:p w14:paraId="4182584B" w14:textId="77E72AF1"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250 406</w:t>
            </w:r>
          </w:p>
        </w:tc>
        <w:tc>
          <w:tcPr>
            <w:tcW w:w="1097" w:type="pct"/>
            <w:vAlign w:val="center"/>
            <w:hideMark/>
          </w:tcPr>
          <w:p w14:paraId="40820425" w14:textId="7A675363"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-452 258</w:t>
            </w:r>
          </w:p>
        </w:tc>
        <w:tc>
          <w:tcPr>
            <w:tcW w:w="1097" w:type="pct"/>
            <w:vAlign w:val="center"/>
          </w:tcPr>
          <w:p w14:paraId="56E5E38B" w14:textId="68F6F646"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u w:val="single"/>
                <w:lang w:val="es-ES" w:eastAsia="es-ES"/>
              </w:rPr>
            </w:pPr>
            <w:r>
              <w:rPr>
                <w:rFonts w:cs="Arial"/>
                <w:color w:val="000000"/>
                <w:sz w:val="20"/>
                <w:szCs w:val="20"/>
                <w:u w:val="single"/>
              </w:rPr>
              <w:t>-304 536</w:t>
            </w:r>
          </w:p>
        </w:tc>
      </w:tr>
      <w:tr w:rsidR="00A65696" w:rsidRPr="006E6390" w14:paraId="09529571"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4A1CF96D" w14:textId="6552B844"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Cuentas por pagar</w:t>
            </w:r>
          </w:p>
        </w:tc>
        <w:tc>
          <w:tcPr>
            <w:tcW w:w="1097" w:type="pct"/>
            <w:vAlign w:val="center"/>
            <w:hideMark/>
          </w:tcPr>
          <w:p w14:paraId="5499A5C9" w14:textId="3173E491"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-99 938</w:t>
            </w:r>
          </w:p>
        </w:tc>
        <w:tc>
          <w:tcPr>
            <w:tcW w:w="1097" w:type="pct"/>
            <w:vAlign w:val="center"/>
            <w:hideMark/>
          </w:tcPr>
          <w:p w14:paraId="2579EC09" w14:textId="46145CAD"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-303 446</w:t>
            </w:r>
          </w:p>
        </w:tc>
        <w:tc>
          <w:tcPr>
            <w:tcW w:w="1097" w:type="pct"/>
            <w:vAlign w:val="center"/>
          </w:tcPr>
          <w:p w14:paraId="5160CAD8" w14:textId="16343610"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-207 382</w:t>
            </w:r>
          </w:p>
        </w:tc>
      </w:tr>
      <w:tr w:rsidR="00A65696" w:rsidRPr="006E6390" w14:paraId="36E1D739" w14:textId="77777777" w:rsidTr="0064033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403BC2C7" w14:textId="6C0AB5CA"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Deuda</w:t>
            </w:r>
          </w:p>
        </w:tc>
        <w:tc>
          <w:tcPr>
            <w:tcW w:w="1097" w:type="pct"/>
            <w:vAlign w:val="center"/>
            <w:hideMark/>
          </w:tcPr>
          <w:p w14:paraId="4FAC2502" w14:textId="71ECE623"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-150 469</w:t>
            </w:r>
          </w:p>
        </w:tc>
        <w:tc>
          <w:tcPr>
            <w:tcW w:w="1097" w:type="pct"/>
            <w:vAlign w:val="center"/>
            <w:hideMark/>
          </w:tcPr>
          <w:p w14:paraId="1A1499F7" w14:textId="2845D250"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-148 812</w:t>
            </w:r>
          </w:p>
        </w:tc>
        <w:tc>
          <w:tcPr>
            <w:tcW w:w="1097" w:type="pct"/>
            <w:vAlign w:val="center"/>
          </w:tcPr>
          <w:p w14:paraId="23636336" w14:textId="19A21BCF" w:rsidR="00A65696" w:rsidRPr="006E6390" w:rsidRDefault="00A65696" w:rsidP="00A65696">
            <w:pPr>
              <w:spacing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color w:val="000000"/>
                <w:sz w:val="20"/>
                <w:szCs w:val="20"/>
              </w:rPr>
              <w:t>-97 155</w:t>
            </w:r>
          </w:p>
        </w:tc>
      </w:tr>
      <w:tr w:rsidR="00A65696" w:rsidRPr="006E6390" w14:paraId="3BDBF8D7" w14:textId="77777777" w:rsidTr="00640333">
        <w:trPr>
          <w:trHeight w:val="340"/>
          <w:jc w:val="center"/>
        </w:trPr>
        <w:tc>
          <w:tcPr>
            <w:cnfStyle w:val="001000000000" w:firstRow="0" w:lastRow="0" w:firstColumn="1" w:lastColumn="0" w:oddVBand="0" w:evenVBand="0" w:oddHBand="0" w:evenHBand="0" w:firstRowFirstColumn="0" w:firstRowLastColumn="0" w:lastRowFirstColumn="0" w:lastRowLastColumn="0"/>
            <w:tcW w:w="1710" w:type="pct"/>
            <w:vAlign w:val="center"/>
            <w:hideMark/>
          </w:tcPr>
          <w:p w14:paraId="110A7FED" w14:textId="6D0FCCAD" w:rsidR="00A65696" w:rsidRPr="006E6390" w:rsidRDefault="00A65696" w:rsidP="00A65696">
            <w:pPr>
              <w:spacing w:after="0" w:line="240" w:lineRule="auto"/>
              <w:jc w:val="left"/>
              <w:rPr>
                <w:rFonts w:cs="Arial"/>
                <w:sz w:val="20"/>
                <w:szCs w:val="20"/>
                <w:lang w:val="es-ES" w:eastAsia="es-ES"/>
              </w:rPr>
            </w:pPr>
            <w:r>
              <w:rPr>
                <w:rFonts w:cs="Arial"/>
                <w:b w:val="0"/>
                <w:bCs w:val="0"/>
                <w:color w:val="000000"/>
                <w:sz w:val="20"/>
                <w:szCs w:val="20"/>
              </w:rPr>
              <w:t>Posición cambiaria neta</w:t>
            </w:r>
          </w:p>
        </w:tc>
        <w:tc>
          <w:tcPr>
            <w:tcW w:w="1097" w:type="pct"/>
            <w:vAlign w:val="center"/>
            <w:hideMark/>
          </w:tcPr>
          <w:p w14:paraId="5ADA4EE2" w14:textId="122C0A67"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-140 965</w:t>
            </w:r>
          </w:p>
        </w:tc>
        <w:tc>
          <w:tcPr>
            <w:tcW w:w="1097" w:type="pct"/>
            <w:vAlign w:val="center"/>
            <w:hideMark/>
          </w:tcPr>
          <w:p w14:paraId="04111F41" w14:textId="3E97C724"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-166 753</w:t>
            </w:r>
          </w:p>
        </w:tc>
        <w:tc>
          <w:tcPr>
            <w:tcW w:w="1097" w:type="pct"/>
            <w:vAlign w:val="center"/>
          </w:tcPr>
          <w:p w14:paraId="1FE8AA5A" w14:textId="5FBF92FB" w:rsidR="00A65696" w:rsidRPr="006E6390" w:rsidRDefault="00A65696" w:rsidP="00A65696">
            <w:pPr>
              <w:spacing w:after="0"/>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color w:val="000000"/>
                <w:sz w:val="20"/>
                <w:szCs w:val="20"/>
              </w:rPr>
              <w:t>-68 322</w:t>
            </w:r>
          </w:p>
        </w:tc>
      </w:tr>
    </w:tbl>
    <w:p w14:paraId="00E62826" w14:textId="77777777" w:rsidR="00873CC3" w:rsidRPr="006E6390" w:rsidRDefault="00873CC3" w:rsidP="00873CC3">
      <w:pPr>
        <w:tabs>
          <w:tab w:val="left" w:pos="9270"/>
        </w:tabs>
        <w:spacing w:after="0"/>
        <w:rPr>
          <w:rFonts w:cs="Arial"/>
          <w:lang w:eastAsia="es-MX"/>
        </w:rPr>
      </w:pPr>
    </w:p>
    <w:p w14:paraId="26773882" w14:textId="6779DEC6" w:rsidR="00873CC3" w:rsidRDefault="00873CC3" w:rsidP="00697312">
      <w:pPr>
        <w:spacing w:after="0"/>
        <w:rPr>
          <w:rFonts w:cs="Arial"/>
          <w:lang w:eastAsia="es-MX"/>
        </w:rPr>
      </w:pPr>
      <w:r w:rsidRPr="006E6390">
        <w:rPr>
          <w:rFonts w:cs="Arial"/>
          <w:lang w:eastAsia="es-MX"/>
        </w:rPr>
        <w:t xml:space="preserve">En </w:t>
      </w:r>
      <w:r w:rsidR="0083357D" w:rsidRPr="006E6390">
        <w:rPr>
          <w:rFonts w:cs="Arial"/>
          <w:lang w:eastAsia="es-MX"/>
        </w:rPr>
        <w:t>20</w:t>
      </w:r>
      <w:r w:rsidR="001F15AD" w:rsidRPr="006E6390">
        <w:rPr>
          <w:rFonts w:cs="Arial"/>
          <w:lang w:eastAsia="es-MX"/>
        </w:rPr>
        <w:t>20</w:t>
      </w:r>
      <w:r w:rsidR="0083357D" w:rsidRPr="006E6390">
        <w:rPr>
          <w:rFonts w:cs="Arial"/>
          <w:lang w:eastAsia="es-MX"/>
        </w:rPr>
        <w:t xml:space="preserve">, </w:t>
      </w:r>
      <w:r w:rsidR="00DC6EC8" w:rsidRPr="006E6390">
        <w:rPr>
          <w:rFonts w:cs="Arial"/>
          <w:lang w:eastAsia="es-MX"/>
        </w:rPr>
        <w:t>se da un</w:t>
      </w:r>
      <w:r w:rsidR="003A2DA1" w:rsidRPr="006E6390">
        <w:rPr>
          <w:rFonts w:cs="Arial"/>
          <w:lang w:eastAsia="es-MX"/>
        </w:rPr>
        <w:t>a</w:t>
      </w:r>
      <w:r w:rsidR="001F15AD" w:rsidRPr="006E6390">
        <w:rPr>
          <w:rFonts w:cs="Arial"/>
          <w:lang w:eastAsia="es-MX"/>
        </w:rPr>
        <w:t xml:space="preserve"> </w:t>
      </w:r>
      <w:r w:rsidR="00DC6EC8" w:rsidRPr="006E6390">
        <w:rPr>
          <w:rFonts w:cs="Arial"/>
          <w:lang w:eastAsia="es-MX"/>
        </w:rPr>
        <w:t>mejora de la posición cambiaria neta respecto de 201</w:t>
      </w:r>
      <w:r w:rsidR="001F15AD" w:rsidRPr="006E6390">
        <w:rPr>
          <w:rFonts w:cs="Arial"/>
          <w:lang w:eastAsia="es-MX"/>
        </w:rPr>
        <w:t>9</w:t>
      </w:r>
      <w:r w:rsidR="00DC6EC8" w:rsidRPr="006E6390">
        <w:rPr>
          <w:rFonts w:cs="Arial"/>
          <w:lang w:eastAsia="es-MX"/>
        </w:rPr>
        <w:t xml:space="preserve">, </w:t>
      </w:r>
      <w:r w:rsidR="001F15AD" w:rsidRPr="006E6390">
        <w:rPr>
          <w:rFonts w:cs="Arial"/>
          <w:lang w:eastAsia="es-MX"/>
        </w:rPr>
        <w:t>por la disminución en</w:t>
      </w:r>
      <w:r w:rsidRPr="006E6390">
        <w:rPr>
          <w:rFonts w:cs="Arial"/>
          <w:lang w:eastAsia="es-MX"/>
        </w:rPr>
        <w:t xml:space="preserve"> las cuentas por pagar a proveedores </w:t>
      </w:r>
      <w:r w:rsidR="00DC6EC8" w:rsidRPr="006E6390">
        <w:rPr>
          <w:rFonts w:cs="Arial"/>
          <w:lang w:eastAsia="es-MX"/>
        </w:rPr>
        <w:t>de casi US</w:t>
      </w:r>
      <w:r w:rsidR="00576376" w:rsidRPr="006E6390">
        <w:rPr>
          <w:rFonts w:cs="Arial"/>
          <w:lang w:eastAsia="es-MX"/>
        </w:rPr>
        <w:t>D</w:t>
      </w:r>
      <w:r w:rsidR="00662F29">
        <w:rPr>
          <w:rFonts w:cs="Arial"/>
          <w:lang w:eastAsia="es-MX"/>
        </w:rPr>
        <w:t xml:space="preserve"> </w:t>
      </w:r>
      <w:r w:rsidR="001F15AD" w:rsidRPr="006E6390">
        <w:rPr>
          <w:rFonts w:cs="Arial"/>
          <w:lang w:eastAsia="es-MX"/>
        </w:rPr>
        <w:t>48</w:t>
      </w:r>
      <w:r w:rsidR="00332F95" w:rsidRPr="006E6390">
        <w:rPr>
          <w:rFonts w:cs="Arial"/>
          <w:lang w:eastAsia="es-MX"/>
        </w:rPr>
        <w:t>,8</w:t>
      </w:r>
      <w:r w:rsidRPr="006E6390">
        <w:rPr>
          <w:rFonts w:cs="Arial"/>
          <w:lang w:eastAsia="es-MX"/>
        </w:rPr>
        <w:t xml:space="preserve"> millones</w:t>
      </w:r>
      <w:r w:rsidR="00DC6EC8" w:rsidRPr="006E6390">
        <w:rPr>
          <w:rFonts w:cs="Arial"/>
          <w:lang w:eastAsia="es-MX"/>
        </w:rPr>
        <w:t xml:space="preserve">. </w:t>
      </w:r>
      <w:r w:rsidR="002C16E7" w:rsidRPr="006E6390">
        <w:rPr>
          <w:rFonts w:cs="Arial"/>
          <w:lang w:eastAsia="es-MX"/>
        </w:rPr>
        <w:t xml:space="preserve"> </w:t>
      </w:r>
      <w:r w:rsidR="00DC6EC8" w:rsidRPr="006E6390">
        <w:rPr>
          <w:rFonts w:cs="Arial"/>
          <w:lang w:eastAsia="es-MX"/>
        </w:rPr>
        <w:t>Para 202</w:t>
      </w:r>
      <w:r w:rsidR="00332F95" w:rsidRPr="006E6390">
        <w:rPr>
          <w:rFonts w:cs="Arial"/>
          <w:lang w:eastAsia="es-MX"/>
        </w:rPr>
        <w:t>1</w:t>
      </w:r>
      <w:r w:rsidR="00DC6EC8" w:rsidRPr="006E6390">
        <w:rPr>
          <w:rFonts w:cs="Arial"/>
          <w:lang w:eastAsia="es-MX"/>
        </w:rPr>
        <w:t xml:space="preserve">, </w:t>
      </w:r>
      <w:r w:rsidR="00A10899" w:rsidRPr="006E6390">
        <w:rPr>
          <w:rFonts w:cs="Arial"/>
          <w:lang w:eastAsia="es-MX"/>
        </w:rPr>
        <w:t>se da un</w:t>
      </w:r>
      <w:r w:rsidR="00332F95" w:rsidRPr="006E6390">
        <w:rPr>
          <w:rFonts w:cs="Arial"/>
          <w:lang w:eastAsia="es-MX"/>
        </w:rPr>
        <w:t xml:space="preserve"> aumento </w:t>
      </w:r>
      <w:r w:rsidR="00A10899" w:rsidRPr="006E6390">
        <w:rPr>
          <w:rFonts w:cs="Arial"/>
          <w:lang w:eastAsia="es-MX"/>
        </w:rPr>
        <w:t>en las cuentas por pagar, con</w:t>
      </w:r>
      <w:r w:rsidR="00332F95" w:rsidRPr="006E6390">
        <w:rPr>
          <w:rFonts w:cs="Arial"/>
          <w:lang w:eastAsia="es-MX"/>
        </w:rPr>
        <w:t>sistente</w:t>
      </w:r>
      <w:r w:rsidR="00A10899" w:rsidRPr="006E6390">
        <w:rPr>
          <w:rFonts w:cs="Arial"/>
          <w:lang w:eastAsia="es-MX"/>
        </w:rPr>
        <w:t xml:space="preserve"> con </w:t>
      </w:r>
      <w:r w:rsidR="00332F95" w:rsidRPr="006E6390">
        <w:rPr>
          <w:rFonts w:cs="Arial"/>
          <w:lang w:eastAsia="es-MX"/>
        </w:rPr>
        <w:t>e</w:t>
      </w:r>
      <w:r w:rsidR="00A10899" w:rsidRPr="006E6390">
        <w:rPr>
          <w:rFonts w:cs="Arial"/>
          <w:lang w:eastAsia="es-MX"/>
        </w:rPr>
        <w:t>l</w:t>
      </w:r>
      <w:r w:rsidR="005900B6" w:rsidRPr="006E6390">
        <w:rPr>
          <w:rFonts w:cs="Arial"/>
          <w:lang w:eastAsia="es-MX"/>
        </w:rPr>
        <w:t xml:space="preserve"> </w:t>
      </w:r>
      <w:r w:rsidR="00332F95" w:rsidRPr="006E6390">
        <w:rPr>
          <w:rFonts w:cs="Arial"/>
          <w:lang w:eastAsia="es-MX"/>
        </w:rPr>
        <w:t>aumento</w:t>
      </w:r>
      <w:r w:rsidR="00A10899" w:rsidRPr="006E6390">
        <w:rPr>
          <w:rFonts w:cs="Arial"/>
          <w:lang w:eastAsia="es-MX"/>
        </w:rPr>
        <w:t xml:space="preserve"> en los volúmenes y pagos de factura petrolera</w:t>
      </w:r>
      <w:r w:rsidR="003E17E8" w:rsidRPr="006E6390">
        <w:rPr>
          <w:rFonts w:cs="Arial"/>
          <w:lang w:eastAsia="es-MX"/>
        </w:rPr>
        <w:t xml:space="preserve"> (US</w:t>
      </w:r>
      <w:r w:rsidR="00662F29">
        <w:rPr>
          <w:rFonts w:cs="Arial"/>
          <w:lang w:eastAsia="es-MX"/>
        </w:rPr>
        <w:t xml:space="preserve">D </w:t>
      </w:r>
      <w:r w:rsidR="00332F95" w:rsidRPr="006E6390">
        <w:rPr>
          <w:rFonts w:cs="Arial"/>
          <w:lang w:eastAsia="es-MX"/>
        </w:rPr>
        <w:t>203</w:t>
      </w:r>
      <w:r w:rsidR="003E17E8" w:rsidRPr="006E6390">
        <w:rPr>
          <w:rFonts w:cs="Arial"/>
          <w:lang w:eastAsia="es-MX"/>
        </w:rPr>
        <w:t xml:space="preserve"> millones)</w:t>
      </w:r>
      <w:r w:rsidR="005900B6" w:rsidRPr="006E6390">
        <w:rPr>
          <w:rFonts w:cs="Arial"/>
          <w:lang w:eastAsia="es-MX"/>
        </w:rPr>
        <w:t xml:space="preserve">, por otro lado, se da un crecimiento de la posición en dólares </w:t>
      </w:r>
      <w:r w:rsidR="00332F95" w:rsidRPr="006E6390">
        <w:rPr>
          <w:rFonts w:cs="Arial"/>
          <w:lang w:eastAsia="es-MX"/>
        </w:rPr>
        <w:t>por</w:t>
      </w:r>
      <w:r w:rsidR="005900B6" w:rsidRPr="006E6390">
        <w:rPr>
          <w:rFonts w:cs="Arial"/>
          <w:lang w:eastAsia="es-MX"/>
        </w:rPr>
        <w:t xml:space="preserve"> los aportes al FAB </w:t>
      </w:r>
      <w:r w:rsidR="00332F95" w:rsidRPr="006E6390">
        <w:rPr>
          <w:rFonts w:cs="Arial"/>
          <w:lang w:eastAsia="es-MX"/>
        </w:rPr>
        <w:t>y el aumento de las ventas.</w:t>
      </w:r>
      <w:r w:rsidR="00640333">
        <w:rPr>
          <w:rFonts w:cs="Arial"/>
          <w:lang w:eastAsia="es-MX"/>
        </w:rPr>
        <w:t xml:space="preserve"> </w:t>
      </w:r>
      <w:r w:rsidRPr="006E6390">
        <w:rPr>
          <w:rFonts w:cs="Arial"/>
          <w:lang w:eastAsia="es-MX"/>
        </w:rPr>
        <w:t xml:space="preserve">En </w:t>
      </w:r>
      <w:r w:rsidR="004C717F" w:rsidRPr="006E6390">
        <w:rPr>
          <w:rFonts w:cs="Arial"/>
          <w:lang w:eastAsia="es-MX"/>
        </w:rPr>
        <w:t>202</w:t>
      </w:r>
      <w:r w:rsidR="00B1560F" w:rsidRPr="006E6390">
        <w:rPr>
          <w:rFonts w:cs="Arial"/>
          <w:lang w:eastAsia="es-MX"/>
        </w:rPr>
        <w:t>1</w:t>
      </w:r>
      <w:r w:rsidR="00640333">
        <w:rPr>
          <w:rFonts w:cs="Arial"/>
          <w:lang w:eastAsia="es-MX"/>
        </w:rPr>
        <w:t xml:space="preserve"> y 2022</w:t>
      </w:r>
      <w:r w:rsidRPr="006E6390">
        <w:rPr>
          <w:rFonts w:cs="Arial"/>
          <w:lang w:eastAsia="es-MX"/>
        </w:rPr>
        <w:t xml:space="preserve">, </w:t>
      </w:r>
      <w:r w:rsidR="00B1560F" w:rsidRPr="006E6390">
        <w:rPr>
          <w:rFonts w:cs="Arial"/>
          <w:lang w:eastAsia="es-MX"/>
        </w:rPr>
        <w:t>no se</w:t>
      </w:r>
      <w:r w:rsidRPr="006E6390">
        <w:rPr>
          <w:rFonts w:cs="Arial"/>
          <w:lang w:eastAsia="es-MX"/>
        </w:rPr>
        <w:t xml:space="preserve"> utiliza</w:t>
      </w:r>
      <w:r w:rsidR="00B1560F" w:rsidRPr="006E6390">
        <w:rPr>
          <w:rFonts w:cs="Arial"/>
          <w:lang w:eastAsia="es-MX"/>
        </w:rPr>
        <w:t>ron líneas de crédito</w:t>
      </w:r>
      <w:r w:rsidRPr="006E6390">
        <w:rPr>
          <w:rFonts w:cs="Arial"/>
          <w:lang w:eastAsia="es-MX"/>
        </w:rPr>
        <w:t>.</w:t>
      </w:r>
    </w:p>
    <w:p w14:paraId="67AA8BD8" w14:textId="77777777" w:rsidR="00095404" w:rsidRPr="006E6390" w:rsidRDefault="00095404" w:rsidP="00697312">
      <w:pPr>
        <w:spacing w:after="0"/>
        <w:rPr>
          <w:rFonts w:cs="Arial"/>
          <w:lang w:eastAsia="es-MX"/>
        </w:rPr>
      </w:pPr>
    </w:p>
    <w:p w14:paraId="46BFA3F6" w14:textId="0DA1D1E4" w:rsidR="00873CC3" w:rsidRDefault="00873CC3" w:rsidP="00640333">
      <w:pPr>
        <w:spacing w:after="0"/>
        <w:rPr>
          <w:rFonts w:cs="Arial"/>
          <w:lang w:eastAsia="es-MX"/>
        </w:rPr>
      </w:pPr>
      <w:r w:rsidRPr="006E6390">
        <w:rPr>
          <w:rFonts w:cs="Arial"/>
          <w:lang w:eastAsia="es-MX"/>
        </w:rPr>
        <w:t>Al analizar la exposición cambiaria neta, se observa que representa</w:t>
      </w:r>
      <w:r w:rsidR="00053E2A" w:rsidRPr="006E6390">
        <w:rPr>
          <w:rFonts w:cs="Arial"/>
          <w:lang w:eastAsia="es-MX"/>
        </w:rPr>
        <w:t xml:space="preserve"> </w:t>
      </w:r>
      <w:r w:rsidR="007A416E" w:rsidRPr="006E6390">
        <w:rPr>
          <w:rFonts w:cs="Arial"/>
          <w:lang w:eastAsia="es-MX"/>
        </w:rPr>
        <w:t>1</w:t>
      </w:r>
      <w:r w:rsidR="007A416E">
        <w:rPr>
          <w:rFonts w:cs="Arial"/>
          <w:lang w:eastAsia="es-MX"/>
        </w:rPr>
        <w:t>4</w:t>
      </w:r>
      <w:r w:rsidRPr="006E6390">
        <w:rPr>
          <w:rFonts w:cs="Arial"/>
          <w:lang w:eastAsia="es-MX"/>
        </w:rPr>
        <w:t>,</w:t>
      </w:r>
      <w:r w:rsidR="007A416E">
        <w:rPr>
          <w:rFonts w:cs="Arial"/>
          <w:lang w:eastAsia="es-MX"/>
        </w:rPr>
        <w:t>7</w:t>
      </w:r>
      <w:r w:rsidRPr="006E6390">
        <w:rPr>
          <w:rFonts w:cs="Arial"/>
          <w:lang w:eastAsia="es-MX"/>
        </w:rPr>
        <w:t>%</w:t>
      </w:r>
      <w:r w:rsidR="00AD0CCC" w:rsidRPr="006E6390">
        <w:rPr>
          <w:rFonts w:cs="Arial"/>
          <w:lang w:eastAsia="es-MX"/>
        </w:rPr>
        <w:t>,</w:t>
      </w:r>
      <w:r w:rsidR="007A416E" w:rsidRPr="006E6390">
        <w:rPr>
          <w:rFonts w:cs="Arial"/>
          <w:lang w:eastAsia="es-MX"/>
        </w:rPr>
        <w:t>1</w:t>
      </w:r>
      <w:r w:rsidR="007A416E">
        <w:rPr>
          <w:rFonts w:cs="Arial"/>
          <w:lang w:eastAsia="es-MX"/>
        </w:rPr>
        <w:t>6</w:t>
      </w:r>
      <w:r w:rsidR="00336EB3" w:rsidRPr="006E6390">
        <w:rPr>
          <w:rFonts w:cs="Arial"/>
          <w:lang w:eastAsia="es-MX"/>
        </w:rPr>
        <w:t>,</w:t>
      </w:r>
      <w:r w:rsidR="007A416E">
        <w:rPr>
          <w:rFonts w:cs="Arial"/>
          <w:lang w:eastAsia="es-MX"/>
        </w:rPr>
        <w:t>3</w:t>
      </w:r>
      <w:r w:rsidR="00053E2A" w:rsidRPr="006E6390">
        <w:rPr>
          <w:rFonts w:cs="Arial"/>
          <w:lang w:eastAsia="es-MX"/>
        </w:rPr>
        <w:t>%</w:t>
      </w:r>
      <w:r w:rsidR="00AD0CCC" w:rsidRPr="006E6390">
        <w:rPr>
          <w:rFonts w:cs="Arial"/>
          <w:lang w:eastAsia="es-MX"/>
        </w:rPr>
        <w:t xml:space="preserve"> y </w:t>
      </w:r>
      <w:r w:rsidR="00A864D2">
        <w:rPr>
          <w:rFonts w:cs="Arial"/>
          <w:lang w:eastAsia="es-MX"/>
        </w:rPr>
        <w:t>5,8</w:t>
      </w:r>
      <w:r w:rsidR="00AD0CCC" w:rsidRPr="006E6390">
        <w:rPr>
          <w:rFonts w:cs="Arial"/>
          <w:lang w:eastAsia="es-MX"/>
        </w:rPr>
        <w:t>%</w:t>
      </w:r>
      <w:r w:rsidR="00053E2A" w:rsidRPr="006E6390">
        <w:rPr>
          <w:rFonts w:cs="Arial"/>
          <w:lang w:eastAsia="es-MX"/>
        </w:rPr>
        <w:t xml:space="preserve"> </w:t>
      </w:r>
      <w:r w:rsidRPr="006E6390">
        <w:rPr>
          <w:rFonts w:cs="Arial"/>
          <w:lang w:eastAsia="es-MX"/>
        </w:rPr>
        <w:t xml:space="preserve">del patrimonio de los </w:t>
      </w:r>
      <w:r w:rsidR="00AD0CCC" w:rsidRPr="006E6390">
        <w:rPr>
          <w:rFonts w:cs="Arial"/>
          <w:lang w:eastAsia="es-MX"/>
        </w:rPr>
        <w:t xml:space="preserve">años </w:t>
      </w:r>
      <w:r w:rsidR="007A416E" w:rsidRPr="006E6390">
        <w:rPr>
          <w:rFonts w:cs="Arial"/>
          <w:lang w:eastAsia="es-MX"/>
        </w:rPr>
        <w:t>20</w:t>
      </w:r>
      <w:r w:rsidR="007A416E">
        <w:rPr>
          <w:rFonts w:cs="Arial"/>
          <w:lang w:eastAsia="es-MX"/>
        </w:rPr>
        <w:t>20</w:t>
      </w:r>
      <w:r w:rsidR="00AD0CCC" w:rsidRPr="006E6390">
        <w:rPr>
          <w:rFonts w:cs="Arial"/>
          <w:lang w:eastAsia="es-MX"/>
        </w:rPr>
        <w:t xml:space="preserve">, </w:t>
      </w:r>
      <w:r w:rsidR="007A416E" w:rsidRPr="006E6390">
        <w:rPr>
          <w:rFonts w:cs="Arial"/>
          <w:lang w:eastAsia="es-MX"/>
        </w:rPr>
        <w:t>202</w:t>
      </w:r>
      <w:r w:rsidR="007A416E">
        <w:rPr>
          <w:rFonts w:cs="Arial"/>
          <w:lang w:eastAsia="es-MX"/>
        </w:rPr>
        <w:t>1</w:t>
      </w:r>
      <w:r w:rsidR="007A416E" w:rsidRPr="006E6390">
        <w:rPr>
          <w:rFonts w:cs="Arial"/>
          <w:lang w:eastAsia="es-MX"/>
        </w:rPr>
        <w:t xml:space="preserve"> </w:t>
      </w:r>
      <w:r w:rsidRPr="006E6390">
        <w:rPr>
          <w:rFonts w:cs="Arial"/>
          <w:lang w:eastAsia="es-MX"/>
        </w:rPr>
        <w:t xml:space="preserve">y </w:t>
      </w:r>
      <w:r w:rsidR="007A416E" w:rsidRPr="006E6390">
        <w:rPr>
          <w:rFonts w:cs="Arial"/>
          <w:lang w:eastAsia="es-MX"/>
        </w:rPr>
        <w:t>202</w:t>
      </w:r>
      <w:r w:rsidR="007A416E">
        <w:rPr>
          <w:rFonts w:cs="Arial"/>
          <w:lang w:eastAsia="es-MX"/>
        </w:rPr>
        <w:t>2</w:t>
      </w:r>
      <w:r w:rsidRPr="006E6390">
        <w:rPr>
          <w:rFonts w:cs="Arial"/>
          <w:lang w:eastAsia="es-MX"/>
        </w:rPr>
        <w:t xml:space="preserve">, respectivamente.  </w:t>
      </w:r>
      <w:r w:rsidR="00A864D2">
        <w:rPr>
          <w:rFonts w:cs="Arial"/>
          <w:lang w:eastAsia="es-MX"/>
        </w:rPr>
        <w:t xml:space="preserve">La posición neta de la empresa en moneda extranjera </w:t>
      </w:r>
      <w:r w:rsidR="61315663" w:rsidRPr="61315663">
        <w:rPr>
          <w:rFonts w:cs="Arial"/>
          <w:lang w:eastAsia="es-MX"/>
        </w:rPr>
        <w:t>en 2022 respecto de 2021 mejoró</w:t>
      </w:r>
      <w:r w:rsidR="00A864D2">
        <w:rPr>
          <w:rFonts w:cs="Arial"/>
          <w:lang w:eastAsia="es-MX"/>
        </w:rPr>
        <w:t xml:space="preserve"> en US$98,4 millones, equivalente a una reducción del 59%, esto con una combinación de una reducción de 17,3% en los activos en dólares y una reducción de 32,7%</w:t>
      </w:r>
      <w:r w:rsidR="5DE0F1EB" w:rsidRPr="5DE0F1EB">
        <w:rPr>
          <w:rFonts w:cs="Arial"/>
          <w:lang w:eastAsia="es-MX"/>
        </w:rPr>
        <w:t xml:space="preserve"> en los pasivos en </w:t>
      </w:r>
      <w:r w:rsidR="0E11BDCC" w:rsidRPr="0E11BDCC">
        <w:rPr>
          <w:rFonts w:cs="Arial"/>
          <w:lang w:eastAsia="es-MX"/>
        </w:rPr>
        <w:t>dólares</w:t>
      </w:r>
      <w:r w:rsidR="00697312">
        <w:rPr>
          <w:rFonts w:cs="Arial"/>
          <w:lang w:eastAsia="es-MX"/>
        </w:rPr>
        <w:t>.</w:t>
      </w:r>
      <w:r w:rsidR="00A864D2">
        <w:rPr>
          <w:rFonts w:cs="Arial"/>
          <w:lang w:eastAsia="es-MX"/>
        </w:rPr>
        <w:t xml:space="preserve"> </w:t>
      </w:r>
    </w:p>
    <w:p w14:paraId="76B70BE0" w14:textId="77777777" w:rsidR="00A864D2" w:rsidRDefault="00A864D2" w:rsidP="00697312">
      <w:pPr>
        <w:spacing w:after="0"/>
        <w:rPr>
          <w:rFonts w:cs="Arial"/>
          <w:lang w:eastAsia="es-MX"/>
        </w:rPr>
      </w:pPr>
    </w:p>
    <w:p w14:paraId="4101F690" w14:textId="77777777" w:rsidR="00A018E5" w:rsidRDefault="00A018E5">
      <w:pPr>
        <w:spacing w:after="0" w:line="240" w:lineRule="auto"/>
        <w:jc w:val="left"/>
        <w:rPr>
          <w:rFonts w:cs="Arial"/>
          <w:lang w:eastAsia="es-MX"/>
        </w:rPr>
      </w:pPr>
      <w:r>
        <w:rPr>
          <w:rFonts w:cs="Arial"/>
          <w:lang w:eastAsia="es-MX"/>
        </w:rPr>
        <w:br w:type="page"/>
      </w:r>
    </w:p>
    <w:p w14:paraId="035CBA8C" w14:textId="77777777" w:rsidR="00A018E5" w:rsidRPr="006E6390" w:rsidRDefault="00A018E5" w:rsidP="00873CC3">
      <w:pPr>
        <w:rPr>
          <w:rFonts w:cs="Arial"/>
          <w:lang w:eastAsia="es-MX"/>
        </w:rPr>
      </w:pPr>
    </w:p>
    <w:p w14:paraId="55DF6E30" w14:textId="77777777" w:rsidR="00873CC3" w:rsidRPr="006E6390" w:rsidRDefault="00873CC3" w:rsidP="00514A16">
      <w:pPr>
        <w:pStyle w:val="Ttulo1"/>
      </w:pPr>
      <w:bookmarkStart w:id="77" w:name="_Toc38630802"/>
      <w:r w:rsidRPr="006E6390">
        <w:t>3. Información sobre la empresa</w:t>
      </w:r>
      <w:bookmarkEnd w:id="77"/>
    </w:p>
    <w:p w14:paraId="779310B5" w14:textId="77777777" w:rsidR="00873CC3" w:rsidRPr="006E6390" w:rsidRDefault="00873CC3" w:rsidP="00873CC3">
      <w:pPr>
        <w:pStyle w:val="Ttulo2"/>
        <w:rPr>
          <w:rFonts w:cs="Arial"/>
        </w:rPr>
      </w:pPr>
      <w:bookmarkStart w:id="78" w:name="_Toc38630803"/>
      <w:r w:rsidRPr="006E6390">
        <w:rPr>
          <w:rFonts w:cs="Arial"/>
        </w:rPr>
        <w:t>3.1. Historia y desarrollo de RECOPE</w:t>
      </w:r>
      <w:bookmarkEnd w:id="78"/>
    </w:p>
    <w:p w14:paraId="5FF4F7D2" w14:textId="77777777" w:rsidR="00873CC3" w:rsidRPr="006E6390" w:rsidRDefault="00873CC3" w:rsidP="00873CC3">
      <w:pPr>
        <w:pStyle w:val="Ttulo3"/>
        <w:rPr>
          <w:rFonts w:cs="Arial"/>
        </w:rPr>
      </w:pPr>
      <w:bookmarkStart w:id="79" w:name="_Toc38630804"/>
      <w:r w:rsidRPr="006E6390">
        <w:rPr>
          <w:rFonts w:cs="Arial"/>
        </w:rPr>
        <w:t>3.1.1. Razón Social</w:t>
      </w:r>
      <w:bookmarkEnd w:id="79"/>
    </w:p>
    <w:p w14:paraId="53D42E18" w14:textId="567313D7" w:rsidR="00873CC3" w:rsidRDefault="00873CC3" w:rsidP="00697312">
      <w:pPr>
        <w:tabs>
          <w:tab w:val="left" w:pos="9270"/>
        </w:tabs>
        <w:spacing w:after="0"/>
        <w:rPr>
          <w:rFonts w:cs="Arial"/>
          <w:lang w:eastAsia="es-MX"/>
        </w:rPr>
      </w:pPr>
      <w:r w:rsidRPr="006E6390">
        <w:rPr>
          <w:rFonts w:cs="Arial"/>
          <w:lang w:eastAsia="es-MX"/>
        </w:rPr>
        <w:t>Refinadora Costarricense de Petróleo S.A.</w:t>
      </w:r>
    </w:p>
    <w:p w14:paraId="17CCFCB2" w14:textId="77777777" w:rsidR="00095404" w:rsidRPr="006E6390" w:rsidRDefault="00095404" w:rsidP="00873CC3">
      <w:pPr>
        <w:tabs>
          <w:tab w:val="left" w:pos="9270"/>
        </w:tabs>
        <w:rPr>
          <w:rFonts w:cs="Arial"/>
          <w:lang w:eastAsia="es-MX"/>
        </w:rPr>
      </w:pPr>
    </w:p>
    <w:p w14:paraId="0DF943C3" w14:textId="77777777" w:rsidR="00873CC3" w:rsidRPr="006E6390" w:rsidRDefault="00873CC3" w:rsidP="00873CC3">
      <w:pPr>
        <w:pStyle w:val="Ttulo3"/>
        <w:rPr>
          <w:rFonts w:cs="Arial"/>
        </w:rPr>
      </w:pPr>
      <w:bookmarkStart w:id="80" w:name="_Toc38630805"/>
      <w:r w:rsidRPr="006E6390">
        <w:rPr>
          <w:rFonts w:cs="Arial"/>
        </w:rPr>
        <w:t>3.1.2. Nombre comercial</w:t>
      </w:r>
      <w:bookmarkEnd w:id="80"/>
    </w:p>
    <w:p w14:paraId="2EA938AD" w14:textId="02085476" w:rsidR="00873CC3" w:rsidRDefault="00873CC3" w:rsidP="00697312">
      <w:pPr>
        <w:spacing w:after="0"/>
        <w:rPr>
          <w:rFonts w:cs="Arial"/>
          <w:lang w:eastAsia="es-MX"/>
        </w:rPr>
      </w:pPr>
      <w:r w:rsidRPr="006E6390">
        <w:rPr>
          <w:rFonts w:cs="Arial"/>
          <w:lang w:eastAsia="es-MX"/>
        </w:rPr>
        <w:t>El nombre comercial de la empresa es el mismo nombre de la sociedad.</w:t>
      </w:r>
    </w:p>
    <w:p w14:paraId="149CEDFD" w14:textId="77777777" w:rsidR="00095404" w:rsidRPr="006E6390" w:rsidRDefault="00095404" w:rsidP="00873CC3">
      <w:pPr>
        <w:rPr>
          <w:rFonts w:cs="Arial"/>
          <w:lang w:eastAsia="es-MX"/>
        </w:rPr>
      </w:pPr>
    </w:p>
    <w:p w14:paraId="2CF01E77" w14:textId="77777777" w:rsidR="00873CC3" w:rsidRPr="006E6390" w:rsidRDefault="00873CC3" w:rsidP="00873CC3">
      <w:pPr>
        <w:pStyle w:val="Ttulo3"/>
        <w:rPr>
          <w:rFonts w:cs="Arial"/>
        </w:rPr>
      </w:pPr>
      <w:bookmarkStart w:id="81" w:name="_Toc38630806"/>
      <w:r w:rsidRPr="006E6390">
        <w:rPr>
          <w:rFonts w:cs="Arial"/>
        </w:rPr>
        <w:t>3.1.3. Jurisdicción bajo la cual está constituida</w:t>
      </w:r>
      <w:bookmarkEnd w:id="81"/>
    </w:p>
    <w:p w14:paraId="12CD7800" w14:textId="111B352D" w:rsidR="00873CC3" w:rsidRDefault="00873CC3" w:rsidP="00697312">
      <w:pPr>
        <w:spacing w:after="0"/>
        <w:rPr>
          <w:rFonts w:cs="Arial"/>
          <w:lang w:eastAsia="es-MX"/>
        </w:rPr>
      </w:pPr>
      <w:r w:rsidRPr="006E6390">
        <w:rPr>
          <w:rFonts w:cs="Arial"/>
          <w:lang w:eastAsia="es-MX"/>
        </w:rPr>
        <w:t xml:space="preserve">RECOPE es una </w:t>
      </w:r>
      <w:bookmarkStart w:id="82" w:name="_Hlk114149875"/>
      <w:r w:rsidRPr="006E6390">
        <w:rPr>
          <w:rFonts w:cs="Arial"/>
          <w:lang w:eastAsia="es-MX"/>
        </w:rPr>
        <w:t>empresa pública de propiedad del Estado de Costa Rica</w:t>
      </w:r>
      <w:bookmarkEnd w:id="82"/>
      <w:r w:rsidRPr="006E6390">
        <w:rPr>
          <w:rFonts w:cs="Arial"/>
          <w:lang w:eastAsia="es-MX"/>
        </w:rPr>
        <w:t>, constituida bajo la jurisdicción costarricense.</w:t>
      </w:r>
    </w:p>
    <w:p w14:paraId="5BD3C70D" w14:textId="77777777" w:rsidR="00095404" w:rsidRPr="006E6390" w:rsidRDefault="00095404" w:rsidP="00873CC3">
      <w:pPr>
        <w:rPr>
          <w:rFonts w:cs="Arial"/>
          <w:lang w:eastAsia="es-MX"/>
        </w:rPr>
      </w:pPr>
    </w:p>
    <w:p w14:paraId="6F815763" w14:textId="77777777" w:rsidR="00873CC3" w:rsidRPr="006E6390" w:rsidRDefault="00873CC3" w:rsidP="00873CC3">
      <w:pPr>
        <w:pStyle w:val="Ttulo3"/>
        <w:rPr>
          <w:rFonts w:cs="Arial"/>
        </w:rPr>
      </w:pPr>
      <w:bookmarkStart w:id="83" w:name="_Toc38630807"/>
      <w:r w:rsidRPr="006E6390">
        <w:rPr>
          <w:rFonts w:cs="Arial"/>
        </w:rPr>
        <w:t>3.1.4. Fecha de constitución y cita de inscripción del Registro Público</w:t>
      </w:r>
      <w:bookmarkEnd w:id="83"/>
    </w:p>
    <w:p w14:paraId="5002646E" w14:textId="2D7DF3EE" w:rsidR="00873CC3" w:rsidRDefault="00873CC3" w:rsidP="00697312">
      <w:pPr>
        <w:spacing w:after="0"/>
        <w:rPr>
          <w:rFonts w:cs="Arial"/>
          <w:lang w:eastAsia="es-MX"/>
        </w:rPr>
      </w:pPr>
      <w:r w:rsidRPr="006E6390">
        <w:rPr>
          <w:rFonts w:cs="Arial"/>
          <w:lang w:eastAsia="es-MX"/>
        </w:rPr>
        <w:t xml:space="preserve">RECOPE se constituyó originalmente, mediante escritura pública, como una sociedad anónima de capital privado el 16 de mayo de 1961.  En 1974, mediante la Ley No. 5508, se ratificó el convenio entre </w:t>
      </w:r>
      <w:r w:rsidRPr="006E6390">
        <w:rPr>
          <w:rFonts w:cs="Arial"/>
          <w:i/>
          <w:iCs/>
          <w:lang w:eastAsia="es-MX"/>
        </w:rPr>
        <w:t>Allied Chemical Interamerican</w:t>
      </w:r>
      <w:r w:rsidRPr="006E6390">
        <w:rPr>
          <w:rFonts w:cs="Arial"/>
          <w:lang w:eastAsia="es-MX"/>
        </w:rPr>
        <w:t xml:space="preserve"> (dueño del capital de RECOPE) y el Gobierno de Costa Rica, bajo el cual se acordó que el primero traspasaría la totalidad de sus acciones de RECOPE al segundo.  La entidad está inscrita en la Sección Personas del Registro Público, al tomo 0049, folio 515, asiento 00369.</w:t>
      </w:r>
    </w:p>
    <w:p w14:paraId="5403BDF6" w14:textId="77777777" w:rsidR="00095404" w:rsidRPr="006E6390" w:rsidRDefault="00095404" w:rsidP="00873CC3">
      <w:pPr>
        <w:rPr>
          <w:rFonts w:cs="Arial"/>
          <w:lang w:eastAsia="es-MX"/>
        </w:rPr>
      </w:pPr>
    </w:p>
    <w:p w14:paraId="06D3A65B" w14:textId="77777777" w:rsidR="00873CC3" w:rsidRPr="006E6390" w:rsidRDefault="00873CC3" w:rsidP="00873CC3">
      <w:pPr>
        <w:pStyle w:val="Ttulo3"/>
        <w:rPr>
          <w:rFonts w:cs="Arial"/>
        </w:rPr>
      </w:pPr>
      <w:bookmarkStart w:id="84" w:name="_Toc38630808"/>
      <w:r w:rsidRPr="006E6390">
        <w:rPr>
          <w:rFonts w:cs="Arial"/>
        </w:rPr>
        <w:t>3.1.5. Número de cédula jurídica</w:t>
      </w:r>
      <w:bookmarkEnd w:id="84"/>
    </w:p>
    <w:p w14:paraId="00A1B519" w14:textId="1950A919" w:rsidR="00873CC3" w:rsidRDefault="00873CC3" w:rsidP="00697312">
      <w:pPr>
        <w:spacing w:after="0"/>
        <w:rPr>
          <w:rFonts w:cs="Arial"/>
          <w:lang w:eastAsia="es-MX"/>
        </w:rPr>
      </w:pPr>
      <w:r w:rsidRPr="006E6390">
        <w:rPr>
          <w:rFonts w:cs="Arial"/>
          <w:lang w:eastAsia="es-MX"/>
        </w:rPr>
        <w:t>3-101-007749</w:t>
      </w:r>
    </w:p>
    <w:p w14:paraId="4673D9A8" w14:textId="77777777" w:rsidR="00095404" w:rsidRPr="006E6390" w:rsidRDefault="00095404" w:rsidP="00873CC3">
      <w:pPr>
        <w:rPr>
          <w:rFonts w:cs="Arial"/>
          <w:lang w:eastAsia="es-MX"/>
        </w:rPr>
      </w:pPr>
    </w:p>
    <w:p w14:paraId="56AD30DC" w14:textId="77777777" w:rsidR="00873CC3" w:rsidRPr="006E6390" w:rsidRDefault="00873CC3" w:rsidP="00873CC3">
      <w:pPr>
        <w:pStyle w:val="Ttulo3"/>
        <w:rPr>
          <w:rFonts w:cs="Arial"/>
        </w:rPr>
      </w:pPr>
      <w:bookmarkStart w:id="85" w:name="_Toc38630809"/>
      <w:r w:rsidRPr="006E6390">
        <w:rPr>
          <w:rFonts w:cs="Arial"/>
        </w:rPr>
        <w:t>3.1.6. Composición del capital</w:t>
      </w:r>
      <w:bookmarkEnd w:id="85"/>
    </w:p>
    <w:p w14:paraId="4D384B47" w14:textId="163AABB3" w:rsidR="00873CC3" w:rsidRDefault="00873CC3" w:rsidP="00697312">
      <w:pPr>
        <w:spacing w:after="0"/>
        <w:rPr>
          <w:rFonts w:cs="Arial"/>
          <w:lang w:eastAsia="es-MX"/>
        </w:rPr>
      </w:pPr>
      <w:r w:rsidRPr="006E6390">
        <w:rPr>
          <w:rFonts w:cs="Arial"/>
          <w:lang w:eastAsia="es-MX"/>
        </w:rPr>
        <w:t xml:space="preserve">RECOPE es una empresa pública </w:t>
      </w:r>
      <w:bookmarkStart w:id="86" w:name="_Hlk114149934"/>
      <w:r w:rsidRPr="006E6390">
        <w:rPr>
          <w:rFonts w:cs="Arial"/>
          <w:lang w:eastAsia="es-MX"/>
        </w:rPr>
        <w:t>propiedad 100% del Estado de Costa Rica.</w:t>
      </w:r>
    </w:p>
    <w:p w14:paraId="63D9A56D" w14:textId="77777777" w:rsidR="00095404" w:rsidRPr="006E6390" w:rsidRDefault="00095404" w:rsidP="00873CC3">
      <w:pPr>
        <w:rPr>
          <w:rFonts w:cs="Arial"/>
          <w:lang w:eastAsia="es-MX"/>
        </w:rPr>
      </w:pPr>
    </w:p>
    <w:p w14:paraId="03ACC28E" w14:textId="77777777" w:rsidR="00873CC3" w:rsidRPr="006E6390" w:rsidRDefault="00873CC3" w:rsidP="00873CC3">
      <w:pPr>
        <w:pStyle w:val="Ttulo3"/>
        <w:rPr>
          <w:rFonts w:cs="Arial"/>
        </w:rPr>
      </w:pPr>
      <w:bookmarkStart w:id="87" w:name="_Toc38630810"/>
      <w:bookmarkEnd w:id="86"/>
      <w:r w:rsidRPr="006E6390">
        <w:rPr>
          <w:rFonts w:cs="Arial"/>
        </w:rPr>
        <w:t>3.1.7. Domicilio legal</w:t>
      </w:r>
      <w:bookmarkEnd w:id="87"/>
    </w:p>
    <w:p w14:paraId="15B07A4F" w14:textId="3E1DD5CF" w:rsidR="00873CC3" w:rsidRDefault="00873CC3" w:rsidP="00697312">
      <w:pPr>
        <w:spacing w:after="0"/>
        <w:rPr>
          <w:rFonts w:cs="Arial"/>
          <w:lang w:eastAsia="es-MX"/>
        </w:rPr>
      </w:pPr>
      <w:r w:rsidRPr="006E6390">
        <w:rPr>
          <w:rFonts w:cs="Arial"/>
          <w:lang w:eastAsia="es-MX"/>
        </w:rPr>
        <w:t>RECOPE tiene ubicadas sus oficinas centrales en San Francisco de Calle Blancos de Goicoechea, de la Iglesia de Ladrillo, 200 metros oeste, edificio Hernán Garrón, provincia de San José, Costa Rica.</w:t>
      </w:r>
    </w:p>
    <w:p w14:paraId="19A036E6" w14:textId="77777777" w:rsidR="00095404" w:rsidRPr="006E6390" w:rsidRDefault="00095404" w:rsidP="00873CC3">
      <w:pPr>
        <w:rPr>
          <w:rFonts w:cs="Arial"/>
          <w:lang w:eastAsia="es-MX"/>
        </w:rPr>
      </w:pPr>
    </w:p>
    <w:p w14:paraId="2E50EF6F" w14:textId="77777777" w:rsidR="00873CC3" w:rsidRPr="006E6390" w:rsidRDefault="00873CC3" w:rsidP="00873CC3">
      <w:pPr>
        <w:pStyle w:val="Ttulo3"/>
        <w:rPr>
          <w:rFonts w:cs="Arial"/>
        </w:rPr>
      </w:pPr>
      <w:bookmarkStart w:id="88" w:name="_Toc38630811"/>
      <w:r w:rsidRPr="006E6390">
        <w:rPr>
          <w:rFonts w:cs="Arial"/>
        </w:rPr>
        <w:t>3.1.8. Fecha de cierre fiscal y económico</w:t>
      </w:r>
      <w:bookmarkEnd w:id="88"/>
    </w:p>
    <w:p w14:paraId="71FE3AC8" w14:textId="235264C8" w:rsidR="00873CC3" w:rsidRDefault="00873CC3" w:rsidP="00697312">
      <w:pPr>
        <w:spacing w:after="0"/>
        <w:rPr>
          <w:rFonts w:cs="Arial"/>
          <w:lang w:eastAsia="es-MX"/>
        </w:rPr>
      </w:pPr>
      <w:r w:rsidRPr="006E6390">
        <w:rPr>
          <w:rFonts w:cs="Arial"/>
          <w:lang w:eastAsia="es-MX"/>
        </w:rPr>
        <w:t>31 de diciem</w:t>
      </w:r>
      <w:r w:rsidRPr="006E6390">
        <w:rPr>
          <w:rFonts w:cs="Arial"/>
        </w:rPr>
        <w:t>b</w:t>
      </w:r>
      <w:r w:rsidRPr="006E6390">
        <w:rPr>
          <w:rFonts w:cs="Arial"/>
          <w:lang w:eastAsia="es-MX"/>
        </w:rPr>
        <w:t>re de cada año.</w:t>
      </w:r>
    </w:p>
    <w:p w14:paraId="2AF102C2" w14:textId="77777777" w:rsidR="00095404" w:rsidRPr="006E6390" w:rsidRDefault="00095404" w:rsidP="00873CC3">
      <w:pPr>
        <w:rPr>
          <w:rFonts w:cs="Arial"/>
          <w:lang w:eastAsia="es-MX"/>
        </w:rPr>
      </w:pPr>
    </w:p>
    <w:p w14:paraId="4121F31B" w14:textId="77777777" w:rsidR="00873CC3" w:rsidRPr="006E6390" w:rsidRDefault="00873CC3" w:rsidP="00873CC3">
      <w:pPr>
        <w:pStyle w:val="Ttulo3"/>
        <w:rPr>
          <w:rFonts w:cs="Arial"/>
        </w:rPr>
      </w:pPr>
      <w:bookmarkStart w:id="89" w:name="_Toc38630812"/>
      <w:r w:rsidRPr="006E6390">
        <w:rPr>
          <w:rFonts w:cs="Arial"/>
        </w:rPr>
        <w:t>3.1.9. Auditoría externa</w:t>
      </w:r>
      <w:bookmarkEnd w:id="89"/>
    </w:p>
    <w:p w14:paraId="748C2002" w14:textId="5EEFB74E" w:rsidR="00873CC3" w:rsidRDefault="00873CC3" w:rsidP="00697312">
      <w:pPr>
        <w:spacing w:after="0"/>
        <w:rPr>
          <w:rFonts w:cs="Arial"/>
          <w:lang w:eastAsia="es-MX"/>
        </w:rPr>
      </w:pPr>
      <w:r w:rsidRPr="006E6390">
        <w:rPr>
          <w:rFonts w:cs="Arial"/>
          <w:lang w:eastAsia="es-MX"/>
        </w:rPr>
        <w:t xml:space="preserve">Deloitte&amp;Touche S.A. en los </w:t>
      </w:r>
      <w:r w:rsidR="007B446F" w:rsidRPr="006E6390">
        <w:rPr>
          <w:rFonts w:cs="Arial"/>
          <w:lang w:eastAsia="es-MX"/>
        </w:rPr>
        <w:t>períodos 2018</w:t>
      </w:r>
      <w:r w:rsidR="007A211A" w:rsidRPr="006E6390">
        <w:rPr>
          <w:rFonts w:cs="Arial"/>
          <w:lang w:eastAsia="es-MX"/>
        </w:rPr>
        <w:t>, 2019</w:t>
      </w:r>
      <w:r w:rsidR="00644EBC" w:rsidRPr="006E6390">
        <w:rPr>
          <w:rFonts w:cs="Arial"/>
          <w:lang w:eastAsia="es-MX"/>
        </w:rPr>
        <w:t>,</w:t>
      </w:r>
      <w:r w:rsidR="00985DFB">
        <w:rPr>
          <w:rFonts w:cs="Arial"/>
          <w:lang w:eastAsia="es-MX"/>
        </w:rPr>
        <w:t xml:space="preserve"> </w:t>
      </w:r>
      <w:r w:rsidR="00D17D4D" w:rsidRPr="006E6390">
        <w:rPr>
          <w:rFonts w:cs="Arial"/>
          <w:lang w:eastAsia="es-MX"/>
        </w:rPr>
        <w:t>2020</w:t>
      </w:r>
      <w:r w:rsidR="00985DFB">
        <w:rPr>
          <w:rFonts w:cs="Arial"/>
          <w:lang w:eastAsia="es-MX"/>
        </w:rPr>
        <w:t>, 2021</w:t>
      </w:r>
      <w:r w:rsidR="00644EBC" w:rsidRPr="006E6390">
        <w:rPr>
          <w:rFonts w:cs="Arial"/>
          <w:lang w:eastAsia="es-MX"/>
        </w:rPr>
        <w:t xml:space="preserve"> y </w:t>
      </w:r>
      <w:r w:rsidR="00985DFB" w:rsidRPr="006E6390">
        <w:rPr>
          <w:rFonts w:cs="Arial"/>
          <w:lang w:eastAsia="es-MX"/>
        </w:rPr>
        <w:t>202</w:t>
      </w:r>
      <w:r w:rsidR="00985DFB">
        <w:rPr>
          <w:rFonts w:cs="Arial"/>
          <w:lang w:eastAsia="es-MX"/>
        </w:rPr>
        <w:t>2</w:t>
      </w:r>
      <w:r w:rsidRPr="006E6390">
        <w:rPr>
          <w:rFonts w:cs="Arial"/>
          <w:lang w:eastAsia="es-MX"/>
        </w:rPr>
        <w:t>.</w:t>
      </w:r>
    </w:p>
    <w:p w14:paraId="7DB45C61" w14:textId="77777777" w:rsidR="00095404" w:rsidRPr="006E6390" w:rsidRDefault="00095404" w:rsidP="00873CC3">
      <w:pPr>
        <w:rPr>
          <w:rFonts w:cs="Arial"/>
          <w:lang w:eastAsia="es-MX"/>
        </w:rPr>
      </w:pPr>
    </w:p>
    <w:p w14:paraId="3EB4D567" w14:textId="77777777" w:rsidR="00873CC3" w:rsidRPr="006E6390" w:rsidRDefault="00873CC3" w:rsidP="00873CC3">
      <w:pPr>
        <w:pStyle w:val="Ttulo3"/>
        <w:rPr>
          <w:rFonts w:cs="Arial"/>
        </w:rPr>
      </w:pPr>
      <w:bookmarkStart w:id="90" w:name="_Toc38630813"/>
      <w:r w:rsidRPr="006E6390">
        <w:rPr>
          <w:rFonts w:cs="Arial"/>
        </w:rPr>
        <w:t>3.1.10. Asesoría legal</w:t>
      </w:r>
      <w:bookmarkEnd w:id="90"/>
    </w:p>
    <w:p w14:paraId="3A6BA0D1" w14:textId="46A40E8C" w:rsidR="00873CC3" w:rsidRDefault="00873CC3" w:rsidP="00697312">
      <w:pPr>
        <w:spacing w:after="0"/>
        <w:rPr>
          <w:rFonts w:cs="Arial"/>
          <w:lang w:eastAsia="es-MX"/>
        </w:rPr>
      </w:pPr>
      <w:r w:rsidRPr="006E6390">
        <w:rPr>
          <w:rFonts w:cs="Arial"/>
          <w:lang w:eastAsia="es-MX"/>
        </w:rPr>
        <w:t xml:space="preserve">RECOPE cuenta con una Asesoría Jurídica, siendo director </w:t>
      </w:r>
      <w:r w:rsidR="00D17D4D" w:rsidRPr="006E6390">
        <w:rPr>
          <w:rFonts w:cs="Arial"/>
          <w:lang w:eastAsia="es-MX"/>
        </w:rPr>
        <w:t>el licenciado Manuel Rey González</w:t>
      </w:r>
      <w:r w:rsidRPr="006E6390">
        <w:rPr>
          <w:rFonts w:cs="Arial"/>
          <w:lang w:eastAsia="es-MX"/>
        </w:rPr>
        <w:t>.</w:t>
      </w:r>
    </w:p>
    <w:p w14:paraId="1ECEFC16" w14:textId="77777777" w:rsidR="00095404" w:rsidRPr="006E6390" w:rsidRDefault="00095404" w:rsidP="00873CC3">
      <w:pPr>
        <w:rPr>
          <w:rFonts w:cs="Arial"/>
          <w:lang w:eastAsia="es-MX"/>
        </w:rPr>
      </w:pPr>
    </w:p>
    <w:p w14:paraId="4E0547F1" w14:textId="77777777" w:rsidR="00873CC3" w:rsidRPr="006E6390" w:rsidRDefault="00873CC3" w:rsidP="00873CC3">
      <w:pPr>
        <w:pStyle w:val="Ttulo3"/>
        <w:rPr>
          <w:rFonts w:cs="Arial"/>
        </w:rPr>
      </w:pPr>
      <w:bookmarkStart w:id="91" w:name="_Toc38630814"/>
      <w:r w:rsidRPr="006E6390">
        <w:rPr>
          <w:rFonts w:cs="Arial"/>
        </w:rPr>
        <w:t>3.1.11. Moneda de la información financiera</w:t>
      </w:r>
      <w:bookmarkEnd w:id="91"/>
    </w:p>
    <w:p w14:paraId="3BA5D679" w14:textId="0A7A4133" w:rsidR="00873CC3" w:rsidRDefault="00873CC3" w:rsidP="00697312">
      <w:pPr>
        <w:spacing w:after="0"/>
        <w:rPr>
          <w:rFonts w:cs="Arial"/>
          <w:lang w:eastAsia="es-MX"/>
        </w:rPr>
      </w:pPr>
      <w:r w:rsidRPr="006E6390">
        <w:rPr>
          <w:rFonts w:cs="Arial"/>
          <w:lang w:eastAsia="es-MX"/>
        </w:rPr>
        <w:t>RECOPE reporta sus estados financieros en colones.</w:t>
      </w:r>
    </w:p>
    <w:p w14:paraId="0F24062A" w14:textId="77777777" w:rsidR="00095404" w:rsidRPr="006E6390" w:rsidRDefault="00095404" w:rsidP="00873CC3">
      <w:pPr>
        <w:rPr>
          <w:rFonts w:cs="Arial"/>
          <w:lang w:eastAsia="es-MX"/>
        </w:rPr>
      </w:pPr>
    </w:p>
    <w:p w14:paraId="6421A557" w14:textId="77777777" w:rsidR="00873CC3" w:rsidRPr="006E6390" w:rsidRDefault="00873CC3" w:rsidP="00873CC3">
      <w:pPr>
        <w:pStyle w:val="Ttulo3"/>
        <w:rPr>
          <w:rFonts w:cs="Arial"/>
        </w:rPr>
      </w:pPr>
      <w:bookmarkStart w:id="92" w:name="_Toc38630815"/>
      <w:r w:rsidRPr="006E6390">
        <w:rPr>
          <w:rFonts w:cs="Arial"/>
        </w:rPr>
        <w:t>3.1.12. Números de teléfono</w:t>
      </w:r>
      <w:bookmarkEnd w:id="92"/>
    </w:p>
    <w:p w14:paraId="79D0DC15" w14:textId="7E0514AC" w:rsidR="00873CC3" w:rsidRDefault="00873CC3" w:rsidP="00697312">
      <w:pPr>
        <w:spacing w:after="0"/>
        <w:rPr>
          <w:rFonts w:cs="Arial"/>
          <w:lang w:eastAsia="es-MX"/>
        </w:rPr>
      </w:pPr>
      <w:r w:rsidRPr="006E6390">
        <w:rPr>
          <w:rFonts w:cs="Arial"/>
          <w:lang w:eastAsia="es-MX"/>
        </w:rPr>
        <w:t>(506) 2284-2700</w:t>
      </w:r>
    </w:p>
    <w:p w14:paraId="23F713D4" w14:textId="77777777" w:rsidR="00095404" w:rsidRPr="006E6390" w:rsidRDefault="00095404" w:rsidP="00873CC3">
      <w:pPr>
        <w:rPr>
          <w:rFonts w:cs="Arial"/>
          <w:lang w:eastAsia="es-MX"/>
        </w:rPr>
      </w:pPr>
    </w:p>
    <w:p w14:paraId="5C981DE5" w14:textId="77777777" w:rsidR="00873CC3" w:rsidRPr="006E6390" w:rsidRDefault="00873CC3" w:rsidP="00873CC3">
      <w:pPr>
        <w:pStyle w:val="Ttulo3"/>
        <w:rPr>
          <w:rFonts w:cs="Arial"/>
        </w:rPr>
      </w:pPr>
      <w:bookmarkStart w:id="93" w:name="_Toc38630816"/>
      <w:r w:rsidRPr="006E6390">
        <w:rPr>
          <w:rFonts w:cs="Arial"/>
        </w:rPr>
        <w:t>3.1.13. Apartado postal</w:t>
      </w:r>
      <w:bookmarkEnd w:id="93"/>
    </w:p>
    <w:p w14:paraId="52BFB53A" w14:textId="2656A54D" w:rsidR="00873CC3" w:rsidRDefault="00873CC3" w:rsidP="00697312">
      <w:pPr>
        <w:spacing w:after="0"/>
        <w:rPr>
          <w:rFonts w:cs="Arial"/>
          <w:lang w:eastAsia="es-MX"/>
        </w:rPr>
      </w:pPr>
      <w:r w:rsidRPr="006E6390">
        <w:rPr>
          <w:rFonts w:cs="Arial"/>
          <w:lang w:eastAsia="es-MX"/>
        </w:rPr>
        <w:t>4351-1000, San José, Costa Rica</w:t>
      </w:r>
      <w:r w:rsidR="00095404">
        <w:rPr>
          <w:rFonts w:cs="Arial"/>
          <w:lang w:eastAsia="es-MX"/>
        </w:rPr>
        <w:t>.</w:t>
      </w:r>
    </w:p>
    <w:p w14:paraId="6510339B" w14:textId="77777777" w:rsidR="00095404" w:rsidRPr="006E6390" w:rsidRDefault="00095404" w:rsidP="00873CC3">
      <w:pPr>
        <w:rPr>
          <w:rFonts w:cs="Arial"/>
          <w:lang w:eastAsia="es-MX"/>
        </w:rPr>
      </w:pPr>
    </w:p>
    <w:p w14:paraId="1F986683" w14:textId="77777777" w:rsidR="00873CC3" w:rsidRPr="006E6390" w:rsidRDefault="00873CC3" w:rsidP="00873CC3">
      <w:pPr>
        <w:pStyle w:val="Ttulo3"/>
        <w:rPr>
          <w:rFonts w:cs="Arial"/>
        </w:rPr>
      </w:pPr>
      <w:bookmarkStart w:id="94" w:name="_Toc38630817"/>
      <w:r w:rsidRPr="006E6390">
        <w:rPr>
          <w:rFonts w:cs="Arial"/>
        </w:rPr>
        <w:t>3.1.14. Sitio web</w:t>
      </w:r>
      <w:bookmarkEnd w:id="94"/>
    </w:p>
    <w:p w14:paraId="34A16D68" w14:textId="17BB8170" w:rsidR="00873CC3" w:rsidRDefault="00000000" w:rsidP="00697312">
      <w:pPr>
        <w:spacing w:after="0"/>
        <w:rPr>
          <w:rFonts w:cs="Arial"/>
          <w:lang w:eastAsia="es-MX"/>
        </w:rPr>
      </w:pPr>
      <w:hyperlink r:id="rId21" w:history="1">
        <w:r w:rsidR="00873CC3" w:rsidRPr="006E6390">
          <w:rPr>
            <w:rFonts w:cs="Arial"/>
            <w:lang w:eastAsia="es-MX"/>
          </w:rPr>
          <w:t>www.recope.go.cr</w:t>
        </w:r>
      </w:hyperlink>
    </w:p>
    <w:p w14:paraId="0F616634" w14:textId="77777777" w:rsidR="00095404" w:rsidRPr="006E6390" w:rsidRDefault="00095404" w:rsidP="00873CC3">
      <w:pPr>
        <w:rPr>
          <w:rFonts w:cs="Arial"/>
          <w:lang w:eastAsia="es-MX"/>
        </w:rPr>
      </w:pPr>
    </w:p>
    <w:p w14:paraId="2FEF0301" w14:textId="77777777" w:rsidR="00873CC3" w:rsidRPr="006E6390" w:rsidRDefault="00873CC3" w:rsidP="00873CC3">
      <w:pPr>
        <w:pStyle w:val="Ttulo3"/>
        <w:rPr>
          <w:rFonts w:cs="Arial"/>
        </w:rPr>
      </w:pPr>
      <w:bookmarkStart w:id="95" w:name="_Toc38630818"/>
      <w:r w:rsidRPr="006E6390">
        <w:rPr>
          <w:rFonts w:cs="Arial"/>
        </w:rPr>
        <w:t>3.1.15. Correo electrónico</w:t>
      </w:r>
      <w:bookmarkEnd w:id="95"/>
    </w:p>
    <w:p w14:paraId="7F52F721" w14:textId="044B79E2" w:rsidR="00873CC3" w:rsidRDefault="00873CC3" w:rsidP="00697312">
      <w:pPr>
        <w:spacing w:after="0"/>
        <w:rPr>
          <w:rFonts w:cs="Arial"/>
          <w:lang w:eastAsia="es-MX"/>
        </w:rPr>
      </w:pPr>
      <w:r w:rsidRPr="006E6390">
        <w:rPr>
          <w:rFonts w:cs="Arial"/>
          <w:lang w:eastAsia="es-MX"/>
        </w:rPr>
        <w:t>recopecomunicacion@recope.go.cr</w:t>
      </w:r>
    </w:p>
    <w:p w14:paraId="5E8F79FD" w14:textId="77777777" w:rsidR="00095404" w:rsidRPr="006E6390" w:rsidRDefault="00095404" w:rsidP="00873CC3">
      <w:pPr>
        <w:rPr>
          <w:rFonts w:cs="Arial"/>
          <w:lang w:eastAsia="es-MX"/>
        </w:rPr>
      </w:pPr>
    </w:p>
    <w:p w14:paraId="2CDFAEEA" w14:textId="77777777" w:rsidR="00873CC3" w:rsidRPr="006E6390" w:rsidRDefault="00873CC3" w:rsidP="00873CC3">
      <w:pPr>
        <w:pStyle w:val="Ttulo3"/>
        <w:rPr>
          <w:rFonts w:cs="Arial"/>
        </w:rPr>
      </w:pPr>
      <w:bookmarkStart w:id="96" w:name="_Toc38630819"/>
      <w:r w:rsidRPr="006E6390">
        <w:rPr>
          <w:rFonts w:cs="Arial"/>
        </w:rPr>
        <w:t>3.1.16. Fax</w:t>
      </w:r>
      <w:bookmarkEnd w:id="96"/>
    </w:p>
    <w:p w14:paraId="1C461FA7" w14:textId="252BDD11" w:rsidR="00873CC3" w:rsidRDefault="00873CC3" w:rsidP="00697312">
      <w:pPr>
        <w:spacing w:after="0"/>
        <w:rPr>
          <w:rFonts w:cs="Arial"/>
          <w:lang w:eastAsia="es-MX"/>
        </w:rPr>
      </w:pPr>
      <w:r w:rsidRPr="006E6390">
        <w:rPr>
          <w:rFonts w:cs="Arial"/>
          <w:lang w:eastAsia="es-MX"/>
        </w:rPr>
        <w:t>(506) 2258-4240</w:t>
      </w:r>
    </w:p>
    <w:p w14:paraId="1ECCAB58" w14:textId="77777777" w:rsidR="00095404" w:rsidRPr="006E6390" w:rsidRDefault="00095404" w:rsidP="00873CC3">
      <w:pPr>
        <w:rPr>
          <w:rFonts w:cs="Arial"/>
          <w:lang w:eastAsia="es-MX"/>
        </w:rPr>
      </w:pPr>
    </w:p>
    <w:p w14:paraId="4938F893" w14:textId="77777777" w:rsidR="00873CC3" w:rsidRPr="006E6390" w:rsidRDefault="00873CC3" w:rsidP="00873CC3">
      <w:pPr>
        <w:pStyle w:val="Ttulo3"/>
        <w:rPr>
          <w:rFonts w:cs="Arial"/>
        </w:rPr>
      </w:pPr>
      <w:bookmarkStart w:id="97" w:name="_Toc38630820"/>
      <w:r w:rsidRPr="006E6390">
        <w:rPr>
          <w:rFonts w:cs="Arial"/>
        </w:rPr>
        <w:lastRenderedPageBreak/>
        <w:t>3.1.17. Asistencia Técnica</w:t>
      </w:r>
      <w:bookmarkEnd w:id="97"/>
    </w:p>
    <w:p w14:paraId="29A4EE01" w14:textId="77777777" w:rsidR="00873CC3" w:rsidRPr="006E6390" w:rsidRDefault="00873CC3" w:rsidP="00873CC3">
      <w:pPr>
        <w:pStyle w:val="Prrafodelista"/>
        <w:numPr>
          <w:ilvl w:val="0"/>
          <w:numId w:val="17"/>
        </w:numPr>
        <w:ind w:left="714" w:hanging="357"/>
        <w:contextualSpacing w:val="0"/>
        <w:rPr>
          <w:rFonts w:cs="Arial"/>
          <w:lang w:eastAsia="es-MX"/>
        </w:rPr>
      </w:pPr>
      <w:r w:rsidRPr="006E6390">
        <w:rPr>
          <w:rFonts w:cs="Arial"/>
          <w:lang w:eastAsia="es-MX"/>
        </w:rPr>
        <w:t xml:space="preserve">RECOPE se afilió en el 2005 a </w:t>
      </w:r>
      <w:r w:rsidRPr="006E6390">
        <w:rPr>
          <w:rFonts w:cs="Arial"/>
          <w:i/>
          <w:lang w:eastAsia="es-MX"/>
        </w:rPr>
        <w:t>Clean Caribbean Americas</w:t>
      </w:r>
      <w:r w:rsidRPr="006E6390">
        <w:rPr>
          <w:rFonts w:cs="Arial"/>
          <w:lang w:eastAsia="es-MX"/>
        </w:rPr>
        <w:t xml:space="preserve"> una corporación de los Estados Unidos sin fines de lucro que brinda asistencia inmediata con equipos y personal, ante eventuales derrames de hidrocarburos en el mar.</w:t>
      </w:r>
    </w:p>
    <w:p w14:paraId="374B6498" w14:textId="77777777" w:rsidR="00873CC3" w:rsidRPr="006E6390" w:rsidRDefault="00873CC3" w:rsidP="00873CC3">
      <w:pPr>
        <w:pStyle w:val="Prrafodelista"/>
        <w:numPr>
          <w:ilvl w:val="0"/>
          <w:numId w:val="17"/>
        </w:numPr>
        <w:ind w:left="714" w:hanging="357"/>
        <w:contextualSpacing w:val="0"/>
        <w:rPr>
          <w:rFonts w:cs="Arial"/>
          <w:lang w:eastAsia="es-MX"/>
        </w:rPr>
      </w:pPr>
      <w:r w:rsidRPr="006E6390">
        <w:rPr>
          <w:rFonts w:cs="Arial"/>
          <w:lang w:eastAsia="es-MX"/>
        </w:rPr>
        <w:t>En 1984 RECOPE se afilia a ARPEL, asociación sin fines de lucro ubicada en Uruguay, que promueve la integración y crecimiento de la industria y de maximizar su contribución al desarrollo energético sostenible de la región.</w:t>
      </w:r>
    </w:p>
    <w:p w14:paraId="625EF8F4" w14:textId="53225FF8" w:rsidR="00873CC3" w:rsidRDefault="00873CC3" w:rsidP="00697312">
      <w:pPr>
        <w:pStyle w:val="Prrafodelista"/>
        <w:numPr>
          <w:ilvl w:val="0"/>
          <w:numId w:val="17"/>
        </w:numPr>
        <w:spacing w:after="0"/>
        <w:ind w:left="714" w:hanging="357"/>
        <w:contextualSpacing w:val="0"/>
        <w:rPr>
          <w:rFonts w:cs="Arial"/>
          <w:lang w:eastAsia="es-MX"/>
        </w:rPr>
      </w:pPr>
      <w:r w:rsidRPr="006E6390">
        <w:rPr>
          <w:rFonts w:cs="Arial"/>
          <w:lang w:eastAsia="es-MX"/>
        </w:rPr>
        <w:t>Con OLADE (Organización Latinoamericana de Energía) se tiene un convenio-país, donde Costa Rica pertenece desde 1973.  Dicho convenio cubre a todas las empresas e instituciones estatales.  OLADE es un organismo de cooperación entre los países de la Región para desarrollar sus recursos energéticos y atender conjuntamente los aspectos relativos a su eficiente y racional aprovechamiento a fin de contribuir al desarrollo económico y social de América Latina y el Caribe.  Dicho organismo se ubica en Ecuador.</w:t>
      </w:r>
    </w:p>
    <w:p w14:paraId="68C89624" w14:textId="77777777" w:rsidR="002B44B8" w:rsidRPr="002B44B8" w:rsidRDefault="002B44B8" w:rsidP="00697312">
      <w:pPr>
        <w:rPr>
          <w:rFonts w:cs="Arial"/>
          <w:lang w:eastAsia="es-MX"/>
        </w:rPr>
      </w:pPr>
    </w:p>
    <w:p w14:paraId="70818B65" w14:textId="77777777" w:rsidR="00873CC3" w:rsidRPr="006E6390" w:rsidRDefault="00873CC3" w:rsidP="00873CC3">
      <w:pPr>
        <w:pStyle w:val="Ttulo3"/>
        <w:rPr>
          <w:rFonts w:cs="Arial"/>
        </w:rPr>
      </w:pPr>
      <w:bookmarkStart w:id="98" w:name="_Toc38630821"/>
      <w:r w:rsidRPr="006E6390">
        <w:rPr>
          <w:rFonts w:cs="Arial"/>
        </w:rPr>
        <w:t>3.1.18. Acontecimientos más relevantes</w:t>
      </w:r>
      <w:bookmarkEnd w:id="98"/>
    </w:p>
    <w:p w14:paraId="34CD8AF7"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1961:</w:t>
      </w:r>
      <w:r w:rsidRPr="006E6390">
        <w:rPr>
          <w:rFonts w:cs="Arial"/>
          <w:lang w:eastAsia="es-MX"/>
        </w:rPr>
        <w:t xml:space="preserve"> el 16 de diciembre se constituye la Refinadora Costarricense de Petróleo como una sociedad anónima de capital privado.</w:t>
      </w:r>
    </w:p>
    <w:p w14:paraId="4C590783"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1963: </w:t>
      </w:r>
      <w:r w:rsidRPr="006E6390">
        <w:rPr>
          <w:rFonts w:cs="Arial"/>
          <w:lang w:eastAsia="es-MX"/>
        </w:rPr>
        <w:t>el 28 de junio, la Asamblea Legislativa aprueba el contrato de Protección y Desarrollo Industrial, con lo cual RECOPE se convirtió en la primera industria nacional dedicada a la refinación y producción de combustibles derivados del petróleo.</w:t>
      </w:r>
    </w:p>
    <w:p w14:paraId="0E820801" w14:textId="77777777" w:rsidR="00873CC3" w:rsidRPr="006E6390" w:rsidRDefault="00873CC3" w:rsidP="00873CC3">
      <w:pPr>
        <w:pStyle w:val="Prrafodelista"/>
        <w:numPr>
          <w:ilvl w:val="0"/>
          <w:numId w:val="18"/>
        </w:numPr>
        <w:contextualSpacing w:val="0"/>
        <w:rPr>
          <w:rFonts w:cs="Arial"/>
          <w:lang w:eastAsia="es-MX"/>
        </w:rPr>
      </w:pPr>
      <w:r w:rsidRPr="006E6390">
        <w:rPr>
          <w:rFonts w:cs="Arial"/>
          <w:lang w:eastAsia="es-MX"/>
        </w:rPr>
        <w:t>En este año se inició la construcción de la Refinería en Moín, provincia de Limón.  El proyecto se completó en 1967.</w:t>
      </w:r>
    </w:p>
    <w:p w14:paraId="2D79D8EB" w14:textId="71CA892E" w:rsidR="00873CC3" w:rsidRPr="006E6390" w:rsidRDefault="00873CC3" w:rsidP="00697312">
      <w:pPr>
        <w:pStyle w:val="Prrafodelista"/>
        <w:contextualSpacing w:val="0"/>
        <w:rPr>
          <w:rFonts w:cs="Arial"/>
          <w:b/>
          <w:lang w:eastAsia="es-MX"/>
        </w:rPr>
      </w:pPr>
      <w:r w:rsidRPr="006E6390">
        <w:rPr>
          <w:rFonts w:cs="Arial"/>
          <w:b/>
          <w:lang w:eastAsia="es-MX"/>
        </w:rPr>
        <w:t xml:space="preserve">1967: </w:t>
      </w:r>
      <w:r w:rsidRPr="006E6390">
        <w:rPr>
          <w:rFonts w:cs="Arial"/>
          <w:lang w:eastAsia="es-MX"/>
        </w:rPr>
        <w:t>se inicia la construcción de</w:t>
      </w:r>
      <w:r w:rsidR="00640333">
        <w:rPr>
          <w:rFonts w:cs="Arial"/>
          <w:lang w:eastAsia="es-MX"/>
        </w:rPr>
        <w:t xml:space="preserve"> </w:t>
      </w:r>
      <w:r w:rsidRPr="006E6390">
        <w:rPr>
          <w:rFonts w:cs="Arial"/>
          <w:lang w:eastAsia="es-MX"/>
        </w:rPr>
        <w:t>l</w:t>
      </w:r>
      <w:r w:rsidR="00640333">
        <w:rPr>
          <w:rFonts w:cs="Arial"/>
          <w:lang w:eastAsia="es-MX"/>
        </w:rPr>
        <w:t>a</w:t>
      </w:r>
      <w:r w:rsidRPr="006E6390">
        <w:rPr>
          <w:rFonts w:cs="Arial"/>
          <w:lang w:eastAsia="es-MX"/>
        </w:rPr>
        <w:t xml:space="preserve"> </w:t>
      </w:r>
      <w:r w:rsidR="00465C19">
        <w:rPr>
          <w:rFonts w:cs="Arial"/>
          <w:lang w:eastAsia="es-MX"/>
        </w:rPr>
        <w:t>Terminal</w:t>
      </w:r>
      <w:r w:rsidRPr="006E6390">
        <w:rPr>
          <w:rFonts w:cs="Arial"/>
          <w:lang w:eastAsia="es-MX"/>
        </w:rPr>
        <w:t xml:space="preserve"> El Alto y de la primera línea de poliducto entre Moín y El Alto, lo que permitió desconcentrar la venta de combustibles y reducir el costo de trasiego.</w:t>
      </w:r>
    </w:p>
    <w:p w14:paraId="36837EF2"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1974:</w:t>
      </w:r>
      <w:r w:rsidRPr="006E6390">
        <w:rPr>
          <w:rFonts w:cs="Arial"/>
          <w:lang w:eastAsia="es-MX"/>
        </w:rPr>
        <w:t xml:space="preserve"> se negocia la venta de RECOPE al Gobierno de Costa Rica con la transnacional </w:t>
      </w:r>
      <w:r w:rsidRPr="00662F29">
        <w:rPr>
          <w:rFonts w:cs="Arial"/>
          <w:i/>
          <w:iCs/>
          <w:lang w:eastAsia="es-MX"/>
        </w:rPr>
        <w:t>Allied Chemical</w:t>
      </w:r>
      <w:r w:rsidRPr="006E6390">
        <w:rPr>
          <w:rFonts w:cs="Arial"/>
          <w:lang w:eastAsia="es-MX"/>
        </w:rPr>
        <w:t xml:space="preserve">, propietaria de la mayoría del capital social.  La venta se concreta con la aprobación de la Ley No. 5508, en la cual también se da potestad a RECOPE, ahora como empresa pública, a </w:t>
      </w:r>
      <w:r w:rsidRPr="006E6390">
        <w:rPr>
          <w:rFonts w:cs="Arial"/>
          <w:i/>
          <w:lang w:eastAsia="es-MX"/>
        </w:rPr>
        <w:t>“…celebrar cualquier convenio o convenios con los inversionistas nacionales o extranjeros para obtener el financiamiento necesario para modernizar o ampliar sus instalaciones, a fin de que pueda atender debidamente la demanda de combustible y otros derivados del petróleo para satisfacer las necesidades de estos productos en el país, para la expansión de la empresa…”</w:t>
      </w:r>
      <w:r w:rsidRPr="006E6390">
        <w:rPr>
          <w:rFonts w:cs="Arial"/>
          <w:lang w:eastAsia="es-MX"/>
        </w:rPr>
        <w:t>.</w:t>
      </w:r>
    </w:p>
    <w:p w14:paraId="6DA9E001"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lastRenderedPageBreak/>
        <w:t>1975:</w:t>
      </w:r>
      <w:r w:rsidRPr="006E6390">
        <w:rPr>
          <w:rFonts w:cs="Arial"/>
          <w:lang w:eastAsia="es-MX"/>
        </w:rPr>
        <w:t xml:space="preserve"> por Decreto Ejecutivo se nacionaliza la distribución de combustibles. Se le prohíbe a RECOPE la venta de combustibles al detalle, por lo que las estaciones de servicio pasan a manos privadas.</w:t>
      </w:r>
    </w:p>
    <w:p w14:paraId="29037B41"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1977: </w:t>
      </w:r>
      <w:r w:rsidRPr="006E6390">
        <w:rPr>
          <w:rFonts w:cs="Arial"/>
          <w:lang w:eastAsia="es-MX"/>
        </w:rPr>
        <w:t>RECOPE emprende un agresivo plan de inversión, mediante el cual se inicia la construcción del Complejo Portuario Moín, la segunda línea de poliducto, paralela a la que operaba entre Moín y El Alto, el edificio de oficinas centrales y una terminal de distribución en el Aeropuerto Juan Santamaría.</w:t>
      </w:r>
    </w:p>
    <w:p w14:paraId="059C2DE1" w14:textId="77DD10D3"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1980: </w:t>
      </w:r>
      <w:r w:rsidRPr="006E6390">
        <w:rPr>
          <w:rFonts w:cs="Arial"/>
          <w:lang w:eastAsia="es-MX"/>
        </w:rPr>
        <w:t xml:space="preserve">entra en operación </w:t>
      </w:r>
      <w:r w:rsidR="00697312">
        <w:rPr>
          <w:rFonts w:cs="Arial"/>
          <w:lang w:eastAsia="es-MX"/>
        </w:rPr>
        <w:t>la</w:t>
      </w:r>
      <w:r w:rsidR="00697312" w:rsidRPr="006E6390">
        <w:rPr>
          <w:rFonts w:cs="Arial"/>
          <w:lang w:eastAsia="es-MX"/>
        </w:rPr>
        <w:t xml:space="preserve"> </w:t>
      </w:r>
      <w:r w:rsidR="00465C19">
        <w:rPr>
          <w:rFonts w:cs="Arial"/>
          <w:lang w:eastAsia="es-MX"/>
        </w:rPr>
        <w:t>Terminal</w:t>
      </w:r>
      <w:r w:rsidRPr="006E6390">
        <w:rPr>
          <w:rFonts w:cs="Arial"/>
          <w:lang w:eastAsia="es-MX"/>
        </w:rPr>
        <w:t xml:space="preserve"> de Distribución de La Garita y da inicio un estudio geológico para determinar el potencial petrolero del país. Se instala también la primera plataforma del pozo San José 1 en Baja Talamanca.</w:t>
      </w:r>
    </w:p>
    <w:p w14:paraId="27DFD5D1" w14:textId="77777777" w:rsidR="00873CC3" w:rsidRPr="0001038D" w:rsidRDefault="00873CC3" w:rsidP="00873CC3">
      <w:pPr>
        <w:pStyle w:val="Prrafodelista"/>
        <w:numPr>
          <w:ilvl w:val="0"/>
          <w:numId w:val="18"/>
        </w:numPr>
        <w:contextualSpacing w:val="0"/>
        <w:rPr>
          <w:rFonts w:cs="Arial"/>
          <w:lang w:eastAsia="es-MX"/>
        </w:rPr>
      </w:pPr>
      <w:r w:rsidRPr="006E6390">
        <w:rPr>
          <w:rFonts w:cs="Arial"/>
          <w:b/>
          <w:lang w:eastAsia="es-MX"/>
        </w:rPr>
        <w:t xml:space="preserve">1981: </w:t>
      </w:r>
      <w:r w:rsidRPr="006E6390">
        <w:rPr>
          <w:rFonts w:cs="Arial"/>
          <w:lang w:eastAsia="es-MX"/>
        </w:rPr>
        <w:t>mediante la aprobación de la Ley No. 6588 “Ley Reguladora de RECOPE” se somete a la empresa a la regulación del entonces Servicio Nacional de Electricidad (</w:t>
      </w:r>
      <w:r w:rsidRPr="0001038D">
        <w:rPr>
          <w:rFonts w:cs="Arial"/>
          <w:lang w:eastAsia="es-MX"/>
        </w:rPr>
        <w:t>hoy ARESEP) y a la fiscalización de la Contraloría General de la República. Adicionalmente, se establecen los objetivos funcionales y el régimen de prohibición de la empresa.</w:t>
      </w:r>
    </w:p>
    <w:p w14:paraId="511A795C" w14:textId="7861363A" w:rsidR="00873CC3" w:rsidRPr="0001038D" w:rsidRDefault="00873CC3" w:rsidP="008E2266">
      <w:pPr>
        <w:pStyle w:val="Prrafodelista"/>
        <w:contextualSpacing w:val="0"/>
        <w:rPr>
          <w:rFonts w:cs="Arial"/>
          <w:lang w:eastAsia="es-MX"/>
        </w:rPr>
      </w:pPr>
      <w:r w:rsidRPr="0001038D">
        <w:rPr>
          <w:rFonts w:cs="Arial"/>
          <w:lang w:eastAsia="es-MX"/>
        </w:rPr>
        <w:t xml:space="preserve">En este año se inicia la construcción de </w:t>
      </w:r>
      <w:r w:rsidR="00697312">
        <w:rPr>
          <w:rFonts w:cs="Arial"/>
          <w:lang w:eastAsia="es-MX"/>
        </w:rPr>
        <w:t>la</w:t>
      </w:r>
      <w:r w:rsidR="00697312" w:rsidRPr="0001038D">
        <w:rPr>
          <w:rFonts w:cs="Arial"/>
          <w:lang w:eastAsia="es-MX"/>
        </w:rPr>
        <w:t xml:space="preserve"> </w:t>
      </w:r>
      <w:r w:rsidR="00465C19">
        <w:rPr>
          <w:rFonts w:cs="Arial"/>
          <w:lang w:eastAsia="es-MX"/>
        </w:rPr>
        <w:t>terminal</w:t>
      </w:r>
      <w:r w:rsidRPr="0001038D">
        <w:rPr>
          <w:rFonts w:cs="Arial"/>
          <w:lang w:eastAsia="es-MX"/>
        </w:rPr>
        <w:t xml:space="preserve"> de distribución en Barranca, en la provincia de Puntarenas, la cual concluyó en 1985.</w:t>
      </w:r>
    </w:p>
    <w:p w14:paraId="7FAE8E5E" w14:textId="77777777" w:rsidR="00873CC3" w:rsidRPr="0001038D" w:rsidRDefault="00873CC3" w:rsidP="00873CC3">
      <w:pPr>
        <w:pStyle w:val="Prrafodelista"/>
        <w:numPr>
          <w:ilvl w:val="0"/>
          <w:numId w:val="18"/>
        </w:numPr>
        <w:contextualSpacing w:val="0"/>
        <w:rPr>
          <w:rFonts w:cs="Arial"/>
          <w:lang w:eastAsia="es-MX"/>
        </w:rPr>
      </w:pPr>
      <w:r w:rsidRPr="0001038D">
        <w:rPr>
          <w:rFonts w:cs="Arial"/>
          <w:b/>
          <w:lang w:eastAsia="es-MX"/>
        </w:rPr>
        <w:t>1987:</w:t>
      </w:r>
      <w:r w:rsidRPr="0001038D">
        <w:rPr>
          <w:rFonts w:cs="Arial"/>
          <w:lang w:eastAsia="es-MX"/>
        </w:rPr>
        <w:t xml:space="preserve"> se introduce la gasolina súper al país, con lo cual se inicia un proceso de eliminación del plomo en las gasolinas consumidas en Costa Rica.</w:t>
      </w:r>
    </w:p>
    <w:p w14:paraId="6698A515" w14:textId="77777777" w:rsidR="00873CC3" w:rsidRPr="0001038D" w:rsidRDefault="00873CC3" w:rsidP="00873CC3">
      <w:pPr>
        <w:pStyle w:val="Prrafodelista"/>
        <w:numPr>
          <w:ilvl w:val="0"/>
          <w:numId w:val="18"/>
        </w:numPr>
        <w:contextualSpacing w:val="0"/>
        <w:rPr>
          <w:rFonts w:cs="Arial"/>
          <w:lang w:eastAsia="es-MX"/>
        </w:rPr>
      </w:pPr>
      <w:r w:rsidRPr="0001038D">
        <w:rPr>
          <w:rFonts w:cs="Arial"/>
          <w:b/>
          <w:lang w:eastAsia="es-MX"/>
        </w:rPr>
        <w:t xml:space="preserve">1990: </w:t>
      </w:r>
      <w:r w:rsidRPr="0001038D">
        <w:rPr>
          <w:rFonts w:cs="Arial"/>
          <w:lang w:eastAsia="es-MX"/>
        </w:rPr>
        <w:t>RECOPE cesa las labores de exploración petrolera, debido a que resultaba necesario el establecimiento del marco jurídico para continuar con dicha actividad.</w:t>
      </w:r>
    </w:p>
    <w:p w14:paraId="0901F711" w14:textId="77777777" w:rsidR="00873CC3" w:rsidRPr="0001038D" w:rsidRDefault="00873CC3" w:rsidP="00873CC3">
      <w:pPr>
        <w:pStyle w:val="Prrafodelista"/>
        <w:numPr>
          <w:ilvl w:val="0"/>
          <w:numId w:val="18"/>
        </w:numPr>
        <w:contextualSpacing w:val="0"/>
        <w:rPr>
          <w:rFonts w:cs="Arial"/>
          <w:lang w:eastAsia="es-MX"/>
        </w:rPr>
      </w:pPr>
      <w:r w:rsidRPr="0001038D">
        <w:rPr>
          <w:rFonts w:cs="Arial"/>
          <w:b/>
          <w:lang w:eastAsia="es-MX"/>
        </w:rPr>
        <w:t>1993</w:t>
      </w:r>
      <w:r w:rsidRPr="0001038D">
        <w:rPr>
          <w:rFonts w:cs="Arial"/>
          <w:lang w:eastAsia="es-MX"/>
        </w:rPr>
        <w:t xml:space="preserve">: se aprueba la </w:t>
      </w:r>
      <w:bookmarkStart w:id="99" w:name="_Hlk114151409"/>
      <w:r w:rsidRPr="0001038D">
        <w:rPr>
          <w:rFonts w:cs="Arial"/>
          <w:lang w:eastAsia="es-MX"/>
        </w:rPr>
        <w:t>Ley No.7356 “Ley del Monopolio”, mediante la cual se otorga a RECOPE la administración del monopolio de la importación, refinación y distribución al mayoreo de petróleo crudo y sus derivados.</w:t>
      </w:r>
    </w:p>
    <w:p w14:paraId="2B6FF1E3" w14:textId="712AD0C8" w:rsidR="00873CC3" w:rsidRPr="004B2844" w:rsidRDefault="00873CC3" w:rsidP="00697312">
      <w:pPr>
        <w:pStyle w:val="Prrafodelista"/>
        <w:numPr>
          <w:ilvl w:val="0"/>
          <w:numId w:val="18"/>
        </w:numPr>
        <w:spacing w:after="0"/>
        <w:contextualSpacing w:val="0"/>
        <w:rPr>
          <w:rFonts w:cs="Arial"/>
          <w:lang w:eastAsia="es-MX"/>
        </w:rPr>
      </w:pPr>
      <w:bookmarkStart w:id="100" w:name="MonopolioIII"/>
      <w:bookmarkEnd w:id="99"/>
      <w:bookmarkEnd w:id="100"/>
      <w:r w:rsidRPr="0001038D">
        <w:rPr>
          <w:rFonts w:cs="Arial"/>
          <w:b/>
          <w:lang w:eastAsia="es-MX"/>
        </w:rPr>
        <w:t>1994</w:t>
      </w:r>
      <w:r w:rsidRPr="0001038D">
        <w:rPr>
          <w:rFonts w:cs="Arial"/>
          <w:lang w:eastAsia="es-MX"/>
        </w:rPr>
        <w:t>: se aprueba la Ley No.7399 “Ley de Hidrocarburos”,</w:t>
      </w:r>
      <w:r w:rsidRPr="006E6390">
        <w:rPr>
          <w:rFonts w:cs="Arial"/>
          <w:lang w:eastAsia="es-MX"/>
        </w:rPr>
        <w:t xml:space="preserve"> mediante la cual se autoriza a RECOPE a participar, individualmente o en titularidad compartida, en las licitaciones para </w:t>
      </w:r>
      <w:r w:rsidRPr="004B2844">
        <w:rPr>
          <w:rFonts w:cs="Arial"/>
          <w:lang w:eastAsia="es-MX"/>
        </w:rPr>
        <w:t>la exploración y la explotación de los hidrocarburos.</w:t>
      </w:r>
    </w:p>
    <w:p w14:paraId="12987648" w14:textId="77777777" w:rsidR="004B2844" w:rsidRPr="00697312" w:rsidRDefault="004B2844" w:rsidP="00697312">
      <w:pPr>
        <w:pStyle w:val="Prrafodelista"/>
        <w:spacing w:after="0"/>
        <w:contextualSpacing w:val="0"/>
        <w:rPr>
          <w:rFonts w:cs="Arial"/>
          <w:lang w:eastAsia="es-MX"/>
        </w:rPr>
      </w:pPr>
    </w:p>
    <w:p w14:paraId="009F597A" w14:textId="77777777" w:rsidR="00873CC3" w:rsidRPr="006E6390" w:rsidRDefault="00873CC3" w:rsidP="00697312">
      <w:pPr>
        <w:pStyle w:val="Prrafodelista"/>
        <w:contextualSpacing w:val="0"/>
        <w:rPr>
          <w:rFonts w:cs="Arial"/>
          <w:lang w:eastAsia="es-MX"/>
        </w:rPr>
      </w:pPr>
      <w:r w:rsidRPr="006E6390">
        <w:rPr>
          <w:rFonts w:cs="Arial"/>
          <w:lang w:eastAsia="es-MX"/>
        </w:rPr>
        <w:t xml:space="preserve">Se le solicitó al Instituto Francés de Petróleo que replanteara la ingeniería básica del proyecto de ampliación y modernización de la Refinería para que se adecuara a las nuevas tendencias ambientales. </w:t>
      </w:r>
    </w:p>
    <w:p w14:paraId="7C383FC9"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1995:</w:t>
      </w:r>
      <w:r w:rsidRPr="006E6390">
        <w:rPr>
          <w:rFonts w:cs="Arial"/>
          <w:lang w:eastAsia="es-MX"/>
        </w:rPr>
        <w:t xml:space="preserve"> se introduce la gasolina Súper Eco, de alto octanaje, sin plomo y oxigenada.</w:t>
      </w:r>
    </w:p>
    <w:p w14:paraId="14F3F124"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1996:</w:t>
      </w:r>
      <w:r w:rsidRPr="006E6390">
        <w:rPr>
          <w:rFonts w:cs="Arial"/>
          <w:lang w:eastAsia="es-MX"/>
        </w:rPr>
        <w:t xml:space="preserve"> se logra la eliminación total del plomo en las dos gasolinas distribuidas en el país.</w:t>
      </w:r>
    </w:p>
    <w:p w14:paraId="6D76BF7A" w14:textId="7A3F8260" w:rsidR="00873CC3" w:rsidRDefault="00873CC3" w:rsidP="00697312">
      <w:pPr>
        <w:pStyle w:val="Prrafodelista"/>
        <w:numPr>
          <w:ilvl w:val="0"/>
          <w:numId w:val="18"/>
        </w:numPr>
        <w:spacing w:after="0"/>
        <w:contextualSpacing w:val="0"/>
        <w:rPr>
          <w:rFonts w:cs="Arial"/>
          <w:lang w:eastAsia="es-MX"/>
        </w:rPr>
      </w:pPr>
      <w:r w:rsidRPr="006E6390">
        <w:rPr>
          <w:rFonts w:cs="Arial"/>
          <w:b/>
          <w:lang w:eastAsia="es-MX"/>
        </w:rPr>
        <w:lastRenderedPageBreak/>
        <w:t>1998:</w:t>
      </w:r>
      <w:r w:rsidRPr="006E6390">
        <w:rPr>
          <w:rFonts w:cs="Arial"/>
          <w:lang w:eastAsia="es-MX"/>
        </w:rPr>
        <w:t xml:space="preserve"> inicia la construcción de la I Fase del Proyecto Ampliación y Modernización de la Refinería, con el cual la capacidad de refinación aumenta de 15.000 barriles por día a 25.000 barriles.  Este proyecto fue financiado parcialmente con un préstamo otorgado por el Instituto Crédito Oficial (ICO) del Gobierno de España. El proyecto entra en operación en 2001.</w:t>
      </w:r>
    </w:p>
    <w:p w14:paraId="71798FF6" w14:textId="77777777" w:rsidR="00D56B01" w:rsidRPr="006E6390" w:rsidRDefault="00D56B01" w:rsidP="008E2266">
      <w:pPr>
        <w:pStyle w:val="Prrafodelista"/>
        <w:spacing w:after="0"/>
        <w:contextualSpacing w:val="0"/>
        <w:rPr>
          <w:rFonts w:cs="Arial"/>
          <w:lang w:eastAsia="es-MX"/>
        </w:rPr>
      </w:pPr>
    </w:p>
    <w:p w14:paraId="7F9C9D82" w14:textId="3ABE2137" w:rsidR="00873CC3" w:rsidRPr="006E6390" w:rsidRDefault="00873CC3" w:rsidP="00873CC3">
      <w:pPr>
        <w:ind w:left="720"/>
        <w:rPr>
          <w:rFonts w:cs="Arial"/>
          <w:lang w:eastAsia="es-MX"/>
        </w:rPr>
      </w:pPr>
      <w:r w:rsidRPr="006E6390">
        <w:rPr>
          <w:rFonts w:cs="Arial"/>
          <w:lang w:eastAsia="es-MX"/>
        </w:rPr>
        <w:t>En este a</w:t>
      </w:r>
      <w:r w:rsidRPr="006E6390">
        <w:rPr>
          <w:rFonts w:cs="Arial"/>
        </w:rPr>
        <w:t>ñ</w:t>
      </w:r>
      <w:r w:rsidRPr="006E6390">
        <w:rPr>
          <w:rFonts w:cs="Arial"/>
          <w:lang w:eastAsia="es-MX"/>
        </w:rPr>
        <w:t xml:space="preserve">o se construye el Laboratorio Nacional de Grandes Masas y Volumen, en </w:t>
      </w:r>
      <w:r w:rsidR="00697312">
        <w:rPr>
          <w:rFonts w:cs="Arial"/>
          <w:lang w:eastAsia="es-MX"/>
        </w:rPr>
        <w:t>la</w:t>
      </w:r>
      <w:r w:rsidR="00697312" w:rsidRPr="006E6390">
        <w:rPr>
          <w:rFonts w:cs="Arial"/>
          <w:lang w:eastAsia="es-MX"/>
        </w:rPr>
        <w:t xml:space="preserve"> </w:t>
      </w:r>
      <w:r w:rsidR="00465C19">
        <w:rPr>
          <w:rFonts w:cs="Arial"/>
          <w:lang w:eastAsia="es-MX"/>
        </w:rPr>
        <w:t>Terminal</w:t>
      </w:r>
      <w:r w:rsidRPr="006E6390">
        <w:rPr>
          <w:rFonts w:cs="Arial"/>
          <w:lang w:eastAsia="es-MX"/>
        </w:rPr>
        <w:t xml:space="preserve"> de El Alto, primero en su tipo en toda la región centroamericana.</w:t>
      </w:r>
    </w:p>
    <w:p w14:paraId="36537D89"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1999:</w:t>
      </w:r>
      <w:r w:rsidRPr="006E6390">
        <w:rPr>
          <w:rFonts w:cs="Arial"/>
          <w:lang w:eastAsia="es-MX"/>
        </w:rPr>
        <w:t xml:space="preserve"> finaliza la construcción de la I Etapa del Proyecto Poliducto Limón-La Garita y da inicio la segunda etapa.  Este proyecto fue la primera prioridad hasta el 2008.</w:t>
      </w:r>
    </w:p>
    <w:p w14:paraId="3C03CD9B"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2002: </w:t>
      </w:r>
      <w:r w:rsidRPr="006E6390">
        <w:rPr>
          <w:rFonts w:cs="Arial"/>
          <w:lang w:eastAsia="es-MX"/>
        </w:rPr>
        <w:t>mediante el Decreto NC 30690-MINAE, se reduce el contenido de azufre en el diésel.</w:t>
      </w:r>
    </w:p>
    <w:p w14:paraId="78F38F2B" w14:textId="5BAEAF1F" w:rsidR="00873CC3" w:rsidRDefault="00873CC3" w:rsidP="00697312">
      <w:pPr>
        <w:pStyle w:val="Prrafodelista"/>
        <w:numPr>
          <w:ilvl w:val="0"/>
          <w:numId w:val="18"/>
        </w:numPr>
        <w:spacing w:after="0"/>
        <w:contextualSpacing w:val="0"/>
        <w:rPr>
          <w:rFonts w:cs="Arial"/>
          <w:lang w:eastAsia="es-MX"/>
        </w:rPr>
      </w:pPr>
      <w:r w:rsidRPr="006E6390">
        <w:rPr>
          <w:rFonts w:cs="Arial"/>
          <w:b/>
          <w:lang w:eastAsia="es-MX"/>
        </w:rPr>
        <w:t xml:space="preserve">2003: </w:t>
      </w:r>
      <w:r w:rsidRPr="006E6390">
        <w:rPr>
          <w:rFonts w:cs="Arial"/>
          <w:lang w:eastAsia="es-MX"/>
        </w:rPr>
        <w:t xml:space="preserve">el primer paso en la disminución de azufre en el diésel se da con una reducción en la concentración máxima a 0,45 fracción masa. </w:t>
      </w:r>
    </w:p>
    <w:p w14:paraId="5781201C" w14:textId="77777777" w:rsidR="00D56B01" w:rsidRPr="006E6390" w:rsidRDefault="00D56B01" w:rsidP="00697312">
      <w:pPr>
        <w:pStyle w:val="Prrafodelista"/>
        <w:spacing w:after="0"/>
        <w:contextualSpacing w:val="0"/>
        <w:rPr>
          <w:rFonts w:cs="Arial"/>
          <w:lang w:eastAsia="es-MX"/>
        </w:rPr>
      </w:pPr>
    </w:p>
    <w:p w14:paraId="32C858FC" w14:textId="77777777" w:rsidR="00873CC3" w:rsidRPr="006E6390" w:rsidRDefault="00873CC3" w:rsidP="00873CC3">
      <w:pPr>
        <w:ind w:left="720"/>
        <w:rPr>
          <w:rFonts w:cs="Arial"/>
          <w:b/>
          <w:lang w:eastAsia="es-MX"/>
        </w:rPr>
      </w:pPr>
      <w:r w:rsidRPr="006E6390">
        <w:rPr>
          <w:rFonts w:cs="Arial"/>
          <w:lang w:eastAsia="es-MX"/>
        </w:rPr>
        <w:t>Se inauguró la II Etapa del Proyecto Poliducto Limón-La Garita, la cual aumentaría la capacidad de trasiego de las líneas actuales con el reemplazo de 39,5 km de tubería de 6 pulgadas de diámetro por tubería de 12 pulgadas.</w:t>
      </w:r>
    </w:p>
    <w:p w14:paraId="4B0A98D5"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2005: </w:t>
      </w:r>
      <w:r w:rsidRPr="006E6390">
        <w:rPr>
          <w:rFonts w:cs="Arial"/>
          <w:lang w:eastAsia="es-MX"/>
        </w:rPr>
        <w:t>se adjudicó la construcción de la III Etapa del Proyecto Poliducto Limón-La Garita.  La orden de inicio de la construcción se dio el 14 de noviembre. Este proyecto fue financiado por el Banco Centroamericano de Integración Económica (BCIE) y la Corporación Andina de Fomento (CAF).</w:t>
      </w:r>
    </w:p>
    <w:p w14:paraId="709602AF" w14:textId="199F50DF" w:rsidR="00873CC3" w:rsidRDefault="00873CC3" w:rsidP="00697312">
      <w:pPr>
        <w:pStyle w:val="Prrafodelista"/>
        <w:numPr>
          <w:ilvl w:val="0"/>
          <w:numId w:val="18"/>
        </w:numPr>
        <w:spacing w:after="0"/>
        <w:contextualSpacing w:val="0"/>
        <w:rPr>
          <w:rFonts w:cs="Arial"/>
          <w:lang w:eastAsia="es-MX"/>
        </w:rPr>
      </w:pPr>
      <w:r w:rsidRPr="006E6390">
        <w:rPr>
          <w:rFonts w:cs="Arial"/>
          <w:b/>
          <w:lang w:eastAsia="es-MX"/>
        </w:rPr>
        <w:t xml:space="preserve">2007: </w:t>
      </w:r>
      <w:r w:rsidRPr="006E6390">
        <w:rPr>
          <w:rFonts w:cs="Arial"/>
          <w:lang w:eastAsia="es-MX"/>
        </w:rPr>
        <w:t>se modifica el procedimiento de fijación de precios de los combustibles y se introduce el concepto de precio paridad de importación</w:t>
      </w:r>
      <w:r w:rsidRPr="008E2266">
        <w:rPr>
          <w:rFonts w:cs="Arial"/>
          <w:vertAlign w:val="superscript"/>
        </w:rPr>
        <w:footnoteReference w:id="2"/>
      </w:r>
      <w:r w:rsidRPr="006E6390">
        <w:rPr>
          <w:rFonts w:cs="Arial"/>
          <w:lang w:eastAsia="es-MX"/>
        </w:rPr>
        <w:t xml:space="preserve"> en la fórmula de precios.</w:t>
      </w:r>
    </w:p>
    <w:p w14:paraId="0FEE3695" w14:textId="77777777" w:rsidR="00D56B01" w:rsidRPr="006E6390" w:rsidRDefault="00D56B01" w:rsidP="00697312">
      <w:pPr>
        <w:pStyle w:val="Prrafodelista"/>
        <w:spacing w:after="0"/>
        <w:contextualSpacing w:val="0"/>
        <w:rPr>
          <w:rFonts w:cs="Arial"/>
          <w:lang w:eastAsia="es-MX"/>
        </w:rPr>
      </w:pPr>
    </w:p>
    <w:p w14:paraId="45F1F593" w14:textId="2F9CB132" w:rsidR="00873CC3" w:rsidRDefault="00873CC3" w:rsidP="00697312">
      <w:pPr>
        <w:spacing w:after="0"/>
        <w:ind w:left="720"/>
        <w:rPr>
          <w:rFonts w:cs="Arial"/>
          <w:lang w:eastAsia="es-MX"/>
        </w:rPr>
      </w:pPr>
      <w:r w:rsidRPr="0001038D">
        <w:rPr>
          <w:rFonts w:cs="Arial"/>
          <w:lang w:eastAsia="es-MX"/>
        </w:rPr>
        <w:t>L</w:t>
      </w:r>
      <w:r w:rsidR="00697312">
        <w:rPr>
          <w:rFonts w:cs="Arial"/>
          <w:lang w:eastAsia="es-MX"/>
        </w:rPr>
        <w:t>a</w:t>
      </w:r>
      <w:r w:rsidRPr="0001038D">
        <w:rPr>
          <w:rFonts w:cs="Arial"/>
          <w:lang w:eastAsia="es-MX"/>
        </w:rPr>
        <w:t xml:space="preserve">s </w:t>
      </w:r>
      <w:r w:rsidR="00465C19">
        <w:rPr>
          <w:rFonts w:cs="Arial"/>
          <w:lang w:eastAsia="es-MX"/>
        </w:rPr>
        <w:t>terminal</w:t>
      </w:r>
      <w:r w:rsidRPr="0001038D">
        <w:rPr>
          <w:rFonts w:cs="Arial"/>
          <w:lang w:eastAsia="es-MX"/>
        </w:rPr>
        <w:t xml:space="preserve">es de distribución en La Garita y Barranca recibieron, por segundo año consecutivo, la certificación ambiental “Bandera Ecológica” del Ministerio de Ambiente y Energía. </w:t>
      </w:r>
    </w:p>
    <w:p w14:paraId="1046904B" w14:textId="77777777" w:rsidR="00D56B01" w:rsidRPr="0001038D" w:rsidRDefault="00D56B01" w:rsidP="00697312">
      <w:pPr>
        <w:spacing w:after="0"/>
        <w:ind w:left="720"/>
        <w:rPr>
          <w:rFonts w:cs="Arial"/>
          <w:lang w:eastAsia="es-MX"/>
        </w:rPr>
      </w:pPr>
    </w:p>
    <w:p w14:paraId="6E66E7EF" w14:textId="77777777" w:rsidR="00873CC3" w:rsidRPr="0001038D" w:rsidRDefault="00873CC3" w:rsidP="00873CC3">
      <w:pPr>
        <w:pStyle w:val="Prrafodelista"/>
        <w:numPr>
          <w:ilvl w:val="0"/>
          <w:numId w:val="18"/>
        </w:numPr>
        <w:contextualSpacing w:val="0"/>
        <w:rPr>
          <w:rFonts w:cs="Arial"/>
          <w:lang w:eastAsia="es-MX"/>
        </w:rPr>
      </w:pPr>
      <w:r w:rsidRPr="0001038D">
        <w:rPr>
          <w:rFonts w:cs="Arial"/>
          <w:b/>
          <w:lang w:eastAsia="es-MX"/>
        </w:rPr>
        <w:lastRenderedPageBreak/>
        <w:t xml:space="preserve">2008: </w:t>
      </w:r>
      <w:r w:rsidRPr="0001038D">
        <w:rPr>
          <w:rFonts w:cs="Arial"/>
          <w:lang w:eastAsia="es-MX"/>
        </w:rPr>
        <w:t xml:space="preserve">se acreditan pruebas de calibración de los laboratorios de Metrología, tanto en el Laboratorio Nacional de Grandes Masas y Volumen como en el Laboratorio Metrológico Empresarial. </w:t>
      </w:r>
    </w:p>
    <w:p w14:paraId="7CDCAC5D" w14:textId="77777777" w:rsidR="00873CC3" w:rsidRPr="0001038D" w:rsidRDefault="00873CC3" w:rsidP="00873CC3">
      <w:pPr>
        <w:ind w:left="720"/>
        <w:rPr>
          <w:rFonts w:cs="Arial"/>
          <w:lang w:eastAsia="es-MX"/>
        </w:rPr>
      </w:pPr>
      <w:r w:rsidRPr="0001038D">
        <w:rPr>
          <w:rFonts w:cs="Arial"/>
          <w:lang w:eastAsia="es-MX"/>
        </w:rPr>
        <w:t xml:space="preserve">RECOPE firma un Acuerdo de Empresa Conjunta con la empresa </w:t>
      </w:r>
      <w:bookmarkStart w:id="101" w:name="_Hlk115425831"/>
      <w:r w:rsidRPr="0001038D">
        <w:rPr>
          <w:rFonts w:cs="Arial"/>
          <w:i/>
          <w:iCs/>
          <w:lang w:eastAsia="es-MX"/>
        </w:rPr>
        <w:t>China National Petroleum Corporation International</w:t>
      </w:r>
      <w:r w:rsidRPr="0001038D">
        <w:rPr>
          <w:rFonts w:cs="Arial"/>
          <w:lang w:eastAsia="es-MX"/>
        </w:rPr>
        <w:t xml:space="preserve"> (CNPCI), </w:t>
      </w:r>
      <w:bookmarkEnd w:id="101"/>
      <w:r w:rsidRPr="0001038D">
        <w:rPr>
          <w:rFonts w:cs="Arial"/>
          <w:lang w:eastAsia="es-MX"/>
        </w:rPr>
        <w:t xml:space="preserve">con el objeto de construir una refinería de alta conversión con una capacidad de 60.000 barriles por día </w:t>
      </w:r>
    </w:p>
    <w:p w14:paraId="38CD6565" w14:textId="597668F9" w:rsidR="00873CC3" w:rsidRDefault="00873CC3" w:rsidP="008E2266">
      <w:pPr>
        <w:pStyle w:val="Prrafodelista"/>
        <w:numPr>
          <w:ilvl w:val="0"/>
          <w:numId w:val="18"/>
        </w:numPr>
        <w:spacing w:after="0"/>
        <w:contextualSpacing w:val="0"/>
        <w:rPr>
          <w:rFonts w:cs="Arial"/>
          <w:lang w:eastAsia="es-MX"/>
        </w:rPr>
      </w:pPr>
      <w:r w:rsidRPr="0001038D">
        <w:rPr>
          <w:rFonts w:cs="Arial"/>
          <w:b/>
          <w:lang w:eastAsia="es-MX"/>
        </w:rPr>
        <w:t xml:space="preserve">2009: </w:t>
      </w:r>
      <w:r w:rsidRPr="0001038D">
        <w:rPr>
          <w:rFonts w:cs="Arial"/>
          <w:lang w:eastAsia="es-MX"/>
        </w:rPr>
        <w:t>inicio el desarrollo de la nueva Terminal de Ventas en el Aeropuerto Internacional Juan Santamaría.</w:t>
      </w:r>
    </w:p>
    <w:p w14:paraId="2EA5F0CD" w14:textId="77777777" w:rsidR="00D56B01" w:rsidRPr="0001038D" w:rsidRDefault="00D56B01" w:rsidP="008E2266">
      <w:pPr>
        <w:pStyle w:val="Prrafodelista"/>
        <w:spacing w:after="0"/>
        <w:contextualSpacing w:val="0"/>
        <w:rPr>
          <w:rFonts w:cs="Arial"/>
          <w:lang w:eastAsia="es-MX"/>
        </w:rPr>
      </w:pPr>
    </w:p>
    <w:p w14:paraId="3AB7A60A" w14:textId="77777777" w:rsidR="00873CC3" w:rsidRPr="006E6390" w:rsidRDefault="00873CC3" w:rsidP="00873CC3">
      <w:pPr>
        <w:ind w:left="720"/>
        <w:rPr>
          <w:rFonts w:cs="Arial"/>
          <w:lang w:eastAsia="es-MX"/>
        </w:rPr>
      </w:pPr>
      <w:r w:rsidRPr="0001038D">
        <w:rPr>
          <w:rFonts w:cs="Arial"/>
          <w:lang w:eastAsia="es-MX"/>
        </w:rPr>
        <w:t xml:space="preserve">En diciembre se constituye SORESCO, que </w:t>
      </w:r>
      <w:r w:rsidR="00474304" w:rsidRPr="0001038D">
        <w:rPr>
          <w:rFonts w:cs="Arial"/>
          <w:lang w:eastAsia="es-MX"/>
        </w:rPr>
        <w:t xml:space="preserve">era </w:t>
      </w:r>
      <w:r w:rsidRPr="0001038D">
        <w:rPr>
          <w:rFonts w:cs="Arial"/>
          <w:lang w:eastAsia="es-MX"/>
        </w:rPr>
        <w:t>un vehículo de propósito especial para el financiamiento y construcción del Proyecto de Ampliación y Modernización de la Refinería.</w:t>
      </w:r>
    </w:p>
    <w:p w14:paraId="32699903"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2010: </w:t>
      </w:r>
      <w:r w:rsidRPr="006E6390">
        <w:rPr>
          <w:rFonts w:cs="Arial"/>
          <w:lang w:eastAsia="es-MX"/>
        </w:rPr>
        <w:t>se inicia la implementación de un nuevo modelo de negocios denominado Sistema de Información Gerencia (SIG), el cual se construyó utilizando la plataforma SAP (Sistemas, Aplicaciones y Productos), que le permitirá incrementar la eficiencia operacional a la empresa e incorporar mejores prácticas en los procesos de negocio.</w:t>
      </w:r>
    </w:p>
    <w:p w14:paraId="181FD797" w14:textId="77777777" w:rsidR="00873CC3" w:rsidRPr="0001038D" w:rsidRDefault="00873CC3" w:rsidP="00873CC3">
      <w:pPr>
        <w:pStyle w:val="Prrafodelista"/>
        <w:numPr>
          <w:ilvl w:val="0"/>
          <w:numId w:val="18"/>
        </w:numPr>
        <w:contextualSpacing w:val="0"/>
        <w:rPr>
          <w:rFonts w:cs="Arial"/>
          <w:lang w:eastAsia="es-MX"/>
        </w:rPr>
      </w:pPr>
      <w:r w:rsidRPr="006E6390">
        <w:rPr>
          <w:rFonts w:cs="Arial"/>
          <w:b/>
          <w:lang w:eastAsia="es-MX"/>
        </w:rPr>
        <w:t xml:space="preserve">2011: </w:t>
      </w:r>
      <w:r w:rsidRPr="006E6390">
        <w:rPr>
          <w:rFonts w:cs="Arial"/>
          <w:lang w:eastAsia="es-MX"/>
        </w:rPr>
        <w:t xml:space="preserve">se finalizó (febrero) el dragado del muelle petrolero de Moín, lo que lo acondiciona para el arribo de grandes buques, con lo cual se reducirá la frecuencia y </w:t>
      </w:r>
      <w:r w:rsidRPr="0001038D">
        <w:rPr>
          <w:rFonts w:cs="Arial"/>
          <w:lang w:eastAsia="es-MX"/>
        </w:rPr>
        <w:t>el costo de los fletes de importación de combustibles.</w:t>
      </w:r>
    </w:p>
    <w:p w14:paraId="189E8AFC" w14:textId="77777777" w:rsidR="00873CC3" w:rsidRPr="0001038D" w:rsidRDefault="00873CC3">
      <w:pPr>
        <w:pStyle w:val="Prrafodelista"/>
        <w:numPr>
          <w:ilvl w:val="0"/>
          <w:numId w:val="18"/>
        </w:numPr>
        <w:contextualSpacing w:val="0"/>
        <w:rPr>
          <w:rFonts w:cs="Arial"/>
          <w:lang w:eastAsia="es-MX"/>
        </w:rPr>
      </w:pPr>
      <w:r w:rsidRPr="0001038D">
        <w:rPr>
          <w:rFonts w:cs="Arial"/>
          <w:b/>
          <w:lang w:eastAsia="es-MX"/>
        </w:rPr>
        <w:t xml:space="preserve">2012: </w:t>
      </w:r>
      <w:r w:rsidRPr="0001038D">
        <w:rPr>
          <w:rFonts w:cs="Arial"/>
          <w:lang w:eastAsia="es-MX"/>
        </w:rPr>
        <w:t xml:space="preserve">entra en operación el nuevo </w:t>
      </w:r>
      <w:r w:rsidR="007A1D88">
        <w:rPr>
          <w:rFonts w:cs="Arial"/>
          <w:lang w:eastAsia="es-MX"/>
        </w:rPr>
        <w:t>terminal</w:t>
      </w:r>
      <w:r w:rsidR="007A1D88" w:rsidRPr="0001038D">
        <w:rPr>
          <w:rFonts w:cs="Arial"/>
          <w:lang w:eastAsia="es-MX"/>
        </w:rPr>
        <w:t xml:space="preserve"> </w:t>
      </w:r>
      <w:r w:rsidRPr="0001038D">
        <w:rPr>
          <w:rFonts w:cs="Arial"/>
          <w:lang w:eastAsia="es-MX"/>
        </w:rPr>
        <w:t>de ventas en el Aeropuerto Internacional Juan Santamaría, que permite las obras de ampliación de Aeris y que puede abastecer mediante hidrantes en pista hasta 11 aviones simultáneamente.</w:t>
      </w:r>
    </w:p>
    <w:p w14:paraId="154691D5" w14:textId="77777777" w:rsidR="00873CC3" w:rsidRPr="0001038D" w:rsidRDefault="00873CC3" w:rsidP="00873CC3">
      <w:pPr>
        <w:pStyle w:val="Prrafodelista"/>
        <w:numPr>
          <w:ilvl w:val="0"/>
          <w:numId w:val="18"/>
        </w:numPr>
        <w:contextualSpacing w:val="0"/>
        <w:rPr>
          <w:rFonts w:cs="Arial"/>
          <w:lang w:eastAsia="es-MX"/>
        </w:rPr>
      </w:pPr>
      <w:r w:rsidRPr="0001038D">
        <w:rPr>
          <w:rFonts w:cs="Arial"/>
          <w:b/>
          <w:lang w:eastAsia="es-MX"/>
        </w:rPr>
        <w:t xml:space="preserve">2013: </w:t>
      </w:r>
      <w:r w:rsidRPr="0001038D">
        <w:rPr>
          <w:rFonts w:cs="Arial"/>
          <w:lang w:eastAsia="es-MX"/>
        </w:rPr>
        <w:t>la ARESEP aprueba el estudio de precios de RECOPE mediante la Resolución RIE-055-2013, que permite diferenciar el precio del búnker C de 3% de azufre del Fuel Oil de 1,8% de azufre.  Además, se aprueba el servicio de la deuda para las colocaciones de RECOPE (Serie A).</w:t>
      </w:r>
    </w:p>
    <w:p w14:paraId="4F555944" w14:textId="77777777"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2014: </w:t>
      </w:r>
      <w:r w:rsidRPr="006E6390">
        <w:rPr>
          <w:rFonts w:cs="Arial"/>
          <w:lang w:eastAsia="es-MX"/>
        </w:rPr>
        <w:t xml:space="preserve">entra en operación el </w:t>
      </w:r>
      <w:r w:rsidR="007A1D88">
        <w:rPr>
          <w:rFonts w:cs="Arial"/>
          <w:lang w:eastAsia="es-MX"/>
        </w:rPr>
        <w:t>terminal</w:t>
      </w:r>
      <w:r w:rsidR="007A1D88" w:rsidRPr="006E6390">
        <w:rPr>
          <w:rFonts w:cs="Arial"/>
          <w:lang w:eastAsia="es-MX"/>
        </w:rPr>
        <w:t xml:space="preserve"> </w:t>
      </w:r>
      <w:r w:rsidRPr="006E6390">
        <w:rPr>
          <w:rFonts w:cs="Arial"/>
          <w:lang w:eastAsia="es-MX"/>
        </w:rPr>
        <w:t>de ventas en el Aeropuerto Internacional Daniel Oduber (Liberia) que permite condiciones adecuadas para el crecimiento de las operaciones de dicho aeropuerto, al contarse con mayor capacidad de almacenamiento de Jet Fuel A-1.</w:t>
      </w:r>
    </w:p>
    <w:p w14:paraId="184E6B15" w14:textId="1454DEA3"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2016: </w:t>
      </w:r>
      <w:r w:rsidRPr="006E6390">
        <w:rPr>
          <w:rFonts w:cs="Arial"/>
          <w:lang w:eastAsia="es-MX"/>
        </w:rPr>
        <w:t xml:space="preserve">entran en operación dos tanques y un cargadero de Jet Fuel en </w:t>
      </w:r>
      <w:r w:rsidR="00697312">
        <w:rPr>
          <w:rFonts w:cs="Arial"/>
          <w:lang w:eastAsia="es-MX"/>
        </w:rPr>
        <w:t>la</w:t>
      </w:r>
      <w:r w:rsidR="00697312" w:rsidRPr="006E6390">
        <w:rPr>
          <w:rFonts w:cs="Arial"/>
          <w:lang w:eastAsia="es-MX"/>
        </w:rPr>
        <w:t xml:space="preserve"> </w:t>
      </w:r>
      <w:r w:rsidR="00465C19">
        <w:rPr>
          <w:rFonts w:cs="Arial"/>
          <w:lang w:eastAsia="es-MX"/>
        </w:rPr>
        <w:t>terminal</w:t>
      </w:r>
      <w:r w:rsidRPr="006E6390">
        <w:rPr>
          <w:rFonts w:cs="Arial"/>
          <w:lang w:eastAsia="es-MX"/>
        </w:rPr>
        <w:t xml:space="preserve"> Barranca para apoyar las operaciones de suministro del Aeropuerto Daniel Oduber en Liberia.</w:t>
      </w:r>
    </w:p>
    <w:p w14:paraId="136ED541" w14:textId="16EDC3EC" w:rsidR="00873CC3" w:rsidRPr="006E6390" w:rsidRDefault="00873CC3" w:rsidP="00873CC3">
      <w:pPr>
        <w:pStyle w:val="Prrafodelista"/>
        <w:numPr>
          <w:ilvl w:val="0"/>
          <w:numId w:val="18"/>
        </w:numPr>
        <w:contextualSpacing w:val="0"/>
        <w:rPr>
          <w:rFonts w:cs="Arial"/>
          <w:lang w:eastAsia="es-MX"/>
        </w:rPr>
      </w:pPr>
      <w:r w:rsidRPr="006E6390">
        <w:rPr>
          <w:rFonts w:cs="Arial"/>
          <w:b/>
          <w:lang w:eastAsia="es-MX"/>
        </w:rPr>
        <w:t xml:space="preserve">2017: </w:t>
      </w:r>
      <w:r w:rsidRPr="006E6390">
        <w:rPr>
          <w:rFonts w:cs="Arial"/>
          <w:lang w:eastAsia="es-MX"/>
        </w:rPr>
        <w:t xml:space="preserve">en septiembre se inicia la venta de diésel y gasolinas que cumplen con la norma de emisiones Euro IV, lo cual no sólo permite beneficios </w:t>
      </w:r>
      <w:r w:rsidR="00697312" w:rsidRPr="006E6390">
        <w:rPr>
          <w:rFonts w:cs="Arial"/>
          <w:lang w:eastAsia="es-MX"/>
        </w:rPr>
        <w:t>ambientales,</w:t>
      </w:r>
      <w:r w:rsidRPr="006E6390">
        <w:rPr>
          <w:rFonts w:cs="Arial"/>
          <w:lang w:eastAsia="es-MX"/>
        </w:rPr>
        <w:t xml:space="preserve"> sino que adaptarse a las nuevas generaciones de vehículos producidos bajo dicha norma. </w:t>
      </w:r>
    </w:p>
    <w:p w14:paraId="1DF7E32D" w14:textId="77777777" w:rsidR="002B07C8" w:rsidRPr="00043F12" w:rsidRDefault="002B07C8" w:rsidP="00873CC3">
      <w:pPr>
        <w:pStyle w:val="Prrafodelista"/>
        <w:numPr>
          <w:ilvl w:val="0"/>
          <w:numId w:val="18"/>
        </w:numPr>
        <w:contextualSpacing w:val="0"/>
        <w:rPr>
          <w:rFonts w:cs="Arial"/>
          <w:lang w:eastAsia="es-MX"/>
        </w:rPr>
      </w:pPr>
      <w:r w:rsidRPr="0001038D">
        <w:rPr>
          <w:rFonts w:cs="Arial"/>
          <w:b/>
          <w:lang w:eastAsia="es-MX"/>
        </w:rPr>
        <w:lastRenderedPageBreak/>
        <w:t>2019:</w:t>
      </w:r>
      <w:r w:rsidRPr="0001038D">
        <w:rPr>
          <w:rFonts w:cs="Arial"/>
          <w:lang w:eastAsia="es-MX"/>
        </w:rPr>
        <w:t xml:space="preserve"> </w:t>
      </w:r>
      <w:r w:rsidR="008553C3" w:rsidRPr="0001038D">
        <w:rPr>
          <w:rFonts w:cs="Arial"/>
          <w:lang w:eastAsia="es-MX"/>
        </w:rPr>
        <w:t xml:space="preserve">Mediante arbitraje en el Tribunal Arbitral de la Corte Internacional de Arbitraje de la Cámara de Comercio Internacional (CCI), con sede en Londres, se da por </w:t>
      </w:r>
      <w:bookmarkStart w:id="102" w:name="_Hlk115425782"/>
      <w:r w:rsidR="008553C3" w:rsidRPr="0001038D">
        <w:rPr>
          <w:rFonts w:cs="Arial"/>
          <w:lang w:eastAsia="es-MX"/>
        </w:rPr>
        <w:t>finalizada la empresa conjunta con CNPCI</w:t>
      </w:r>
      <w:r w:rsidR="008553C3" w:rsidRPr="0001038D">
        <w:rPr>
          <w:rFonts w:eastAsia="Calibri" w:cs="Arial"/>
          <w:i/>
          <w:lang w:val="es-ES"/>
        </w:rPr>
        <w:t>.</w:t>
      </w:r>
      <w:bookmarkEnd w:id="102"/>
    </w:p>
    <w:p w14:paraId="49D2F08A" w14:textId="77777777" w:rsidR="007A1D88" w:rsidRDefault="007A1D88" w:rsidP="00873CC3">
      <w:pPr>
        <w:pStyle w:val="Prrafodelista"/>
        <w:numPr>
          <w:ilvl w:val="0"/>
          <w:numId w:val="18"/>
        </w:numPr>
        <w:contextualSpacing w:val="0"/>
        <w:rPr>
          <w:rFonts w:cs="Arial"/>
          <w:lang w:eastAsia="es-MX"/>
        </w:rPr>
      </w:pPr>
      <w:r>
        <w:rPr>
          <w:rFonts w:cs="Arial"/>
          <w:b/>
          <w:lang w:eastAsia="es-MX"/>
        </w:rPr>
        <w:t>2020</w:t>
      </w:r>
      <w:r w:rsidRPr="00043F12">
        <w:rPr>
          <w:rFonts w:cs="Arial"/>
          <w:lang w:eastAsia="es-MX"/>
        </w:rPr>
        <w:t>:</w:t>
      </w:r>
      <w:r>
        <w:rPr>
          <w:rFonts w:cs="Arial"/>
          <w:lang w:eastAsia="es-MX"/>
        </w:rPr>
        <w:t xml:space="preserve"> Mediante Ley </w:t>
      </w:r>
      <w:r w:rsidR="009F777B">
        <w:rPr>
          <w:rFonts w:cs="Arial"/>
          <w:lang w:eastAsia="es-MX"/>
        </w:rPr>
        <w:t>9925, Transitorio IV</w:t>
      </w:r>
      <w:r>
        <w:rPr>
          <w:rFonts w:cs="Arial"/>
          <w:lang w:eastAsia="es-MX"/>
        </w:rPr>
        <w:t xml:space="preserve"> se ordena a RECOPE se gire al Ministerio de Hacienda, los recursos provenientes de la liquidación de SORESCO con el objeto de amortizar deuda pública</w:t>
      </w:r>
      <w:r w:rsidR="009F777B">
        <w:rPr>
          <w:rFonts w:cs="Arial"/>
          <w:lang w:eastAsia="es-MX"/>
        </w:rPr>
        <w:t>, se hizo transferencia por US$14,2 millones en diciembre</w:t>
      </w:r>
      <w:r>
        <w:rPr>
          <w:rFonts w:cs="Arial"/>
          <w:lang w:eastAsia="es-MX"/>
        </w:rPr>
        <w:t>.</w:t>
      </w:r>
    </w:p>
    <w:p w14:paraId="3C62CB01" w14:textId="77777777" w:rsidR="009F777B" w:rsidRPr="00C3257C" w:rsidRDefault="003A1178" w:rsidP="00873CC3">
      <w:pPr>
        <w:pStyle w:val="Prrafodelista"/>
        <w:numPr>
          <w:ilvl w:val="0"/>
          <w:numId w:val="18"/>
        </w:numPr>
        <w:contextualSpacing w:val="0"/>
        <w:rPr>
          <w:rFonts w:cs="Arial"/>
          <w:lang w:eastAsia="es-MX"/>
        </w:rPr>
      </w:pPr>
      <w:r>
        <w:rPr>
          <w:rFonts w:cs="Arial"/>
          <w:b/>
          <w:lang w:eastAsia="es-MX"/>
        </w:rPr>
        <w:t>2021</w:t>
      </w:r>
      <w:r w:rsidRPr="00043F12">
        <w:rPr>
          <w:rFonts w:cs="Arial"/>
          <w:bCs/>
          <w:lang w:eastAsia="es-MX"/>
        </w:rPr>
        <w:t xml:space="preserve">: </w:t>
      </w:r>
      <w:r w:rsidR="00B47123">
        <w:rPr>
          <w:rFonts w:cs="Arial"/>
          <w:bCs/>
          <w:lang w:eastAsia="es-MX"/>
        </w:rPr>
        <w:t>Se inició con la sustitución de 10 km de líneas del poliducto en el sector de El Coco de Siquirres, con el objeto de evitar el apoderamiento ilegal de combustibles y evitar eventos donde dichas acciones delictivas han contaminado tomas de agua que abastecen a los habitantes de dicho cantón.  Este proyecto incluye el encofrado en concreto para evitar que se realicen cortes a la tubería de acero.</w:t>
      </w:r>
    </w:p>
    <w:p w14:paraId="3512BC48" w14:textId="2517ECE5" w:rsidR="00C3257C" w:rsidRDefault="00C3257C" w:rsidP="00873CC3">
      <w:pPr>
        <w:pStyle w:val="Prrafodelista"/>
        <w:numPr>
          <w:ilvl w:val="0"/>
          <w:numId w:val="18"/>
        </w:numPr>
        <w:contextualSpacing w:val="0"/>
        <w:rPr>
          <w:rFonts w:cs="Arial"/>
          <w:lang w:eastAsia="es-MX"/>
        </w:rPr>
      </w:pPr>
      <w:r>
        <w:rPr>
          <w:rFonts w:cs="Arial"/>
          <w:b/>
          <w:lang w:eastAsia="es-MX"/>
        </w:rPr>
        <w:t>2022</w:t>
      </w:r>
      <w:r w:rsidRPr="00697312">
        <w:rPr>
          <w:rFonts w:cs="Arial"/>
          <w:lang w:eastAsia="es-MX"/>
        </w:rPr>
        <w:t>:</w:t>
      </w:r>
      <w:r>
        <w:rPr>
          <w:rFonts w:cs="Arial"/>
          <w:lang w:eastAsia="es-MX"/>
        </w:rPr>
        <w:t xml:space="preserve"> </w:t>
      </w:r>
      <w:r w:rsidR="00697312">
        <w:rPr>
          <w:rFonts w:cs="Arial"/>
          <w:lang w:eastAsia="es-MX"/>
        </w:rPr>
        <w:t>Entra</w:t>
      </w:r>
      <w:r w:rsidR="00195BA9">
        <w:rPr>
          <w:rFonts w:cs="Arial"/>
          <w:lang w:eastAsia="es-MX"/>
        </w:rPr>
        <w:t xml:space="preserve"> en operación el tanque YT-7127 con capacidad de 100 mil barriles de gasolina Súper, que formaba parte del proyecto 1250-558, financiado con la emisión de bonos Serie A.  Esta infraestructura quedó inconclusa ante la retirada del contratista en 2018</w:t>
      </w:r>
      <w:r w:rsidR="00514A16">
        <w:rPr>
          <w:rFonts w:cs="Arial"/>
          <w:lang w:eastAsia="es-MX"/>
        </w:rPr>
        <w:t xml:space="preserve">, </w:t>
      </w:r>
      <w:r w:rsidR="00195BA9">
        <w:rPr>
          <w:rFonts w:cs="Arial"/>
          <w:lang w:eastAsia="es-MX"/>
        </w:rPr>
        <w:t>fue puesta en operación con personal de la empresa, permitiendo al país contar con un depósito para afrontar ventas récord de este combustible hacia finales de 2022.</w:t>
      </w:r>
    </w:p>
    <w:p w14:paraId="2247B1C4" w14:textId="77777777" w:rsidR="00180CE4" w:rsidRPr="00180CE4" w:rsidRDefault="00180CE4" w:rsidP="00697312">
      <w:pPr>
        <w:spacing w:after="0"/>
        <w:rPr>
          <w:rFonts w:cs="Arial"/>
          <w:lang w:eastAsia="es-MX"/>
        </w:rPr>
      </w:pPr>
    </w:p>
    <w:p w14:paraId="2ACDE49C" w14:textId="77777777" w:rsidR="007A1D88" w:rsidRPr="00180CE4" w:rsidRDefault="007A1D88" w:rsidP="00697312">
      <w:pPr>
        <w:spacing w:after="0"/>
        <w:rPr>
          <w:rFonts w:cs="Arial"/>
          <w:lang w:eastAsia="es-MX"/>
        </w:rPr>
      </w:pPr>
    </w:p>
    <w:p w14:paraId="37C7EEF8" w14:textId="77777777" w:rsidR="00873CC3" w:rsidRPr="006E6390" w:rsidRDefault="00873CC3" w:rsidP="00873CC3">
      <w:pPr>
        <w:tabs>
          <w:tab w:val="left" w:pos="9270"/>
        </w:tabs>
        <w:rPr>
          <w:rFonts w:cs="Arial"/>
          <w:b/>
        </w:rPr>
      </w:pPr>
      <w:bookmarkStart w:id="103" w:name="_Hlk115426964"/>
      <w:r w:rsidRPr="006E6390">
        <w:rPr>
          <w:rFonts w:cs="Arial"/>
          <w:b/>
        </w:rPr>
        <w:t>Proyecto de gas licuado de petróleo (GLP):</w:t>
      </w:r>
    </w:p>
    <w:bookmarkEnd w:id="103"/>
    <w:p w14:paraId="0C275FB6" w14:textId="57CF35E4" w:rsidR="00873CC3" w:rsidRDefault="00873CC3" w:rsidP="00697312">
      <w:pPr>
        <w:spacing w:after="0"/>
        <w:rPr>
          <w:rFonts w:cs="Arial"/>
        </w:rPr>
      </w:pPr>
      <w:r w:rsidRPr="006E6390">
        <w:rPr>
          <w:rFonts w:cs="Arial"/>
          <w:lang w:eastAsia="es-MX"/>
        </w:rPr>
        <w:t>En el mes de marzo del 2011 la Contraloría General de la República refrendó el contrato suscrito entre RECOPE y la empresa FELGUERA I.H.I. S.A. mediante el cual contrata el diseño, procura y construcción de seis recipientes cilíndricos horizontales con una capacidad de 250 m</w:t>
      </w:r>
      <w:r w:rsidRPr="006E6390">
        <w:rPr>
          <w:rFonts w:cs="Arial"/>
          <w:vertAlign w:val="superscript"/>
          <w:lang w:eastAsia="es-MX"/>
        </w:rPr>
        <w:t>3</w:t>
      </w:r>
      <w:r w:rsidRPr="006E6390">
        <w:rPr>
          <w:rFonts w:cs="Arial"/>
          <w:lang w:eastAsia="es-MX"/>
        </w:rPr>
        <w:t xml:space="preserve"> cada uno, para el proyecto t1046-IN “Sistema y almacenamiento de gas licuado de petróleo, recipientes cilíndricos horizontales YT-7716, YT-7717, YT-7718, YT-7719, YT-7720 y YT-7721”, por un monto de </w:t>
      </w:r>
      <w:r w:rsidR="002A7D2D">
        <w:rPr>
          <w:rFonts w:cs="Arial"/>
          <w:lang w:eastAsia="es-MX"/>
        </w:rPr>
        <w:t xml:space="preserve">USD </w:t>
      </w:r>
      <w:r w:rsidRPr="006E6390">
        <w:rPr>
          <w:rFonts w:cs="Arial"/>
          <w:lang w:eastAsia="es-MX"/>
        </w:rPr>
        <w:t>10</w:t>
      </w:r>
      <w:r w:rsidR="002A7D2D">
        <w:rPr>
          <w:rFonts w:cs="Arial"/>
          <w:lang w:eastAsia="es-MX"/>
        </w:rPr>
        <w:t> </w:t>
      </w:r>
      <w:r w:rsidRPr="006E6390">
        <w:rPr>
          <w:rFonts w:cs="Arial"/>
          <w:lang w:eastAsia="es-MX"/>
        </w:rPr>
        <w:t>481</w:t>
      </w:r>
      <w:r w:rsidR="002A7D2D">
        <w:rPr>
          <w:rFonts w:cs="Arial"/>
          <w:lang w:eastAsia="es-MX"/>
        </w:rPr>
        <w:t xml:space="preserve"> </w:t>
      </w:r>
      <w:r w:rsidRPr="006E6390">
        <w:rPr>
          <w:rFonts w:cs="Arial"/>
          <w:lang w:eastAsia="es-MX"/>
        </w:rPr>
        <w:t xml:space="preserve">266.  Así mismo, refrendó el contrato entre ambas empresas correspondiente al diseño, procura y construcción de una esfera de gas licuado de petróleo en refinería, por un monto de </w:t>
      </w:r>
      <w:r w:rsidR="002A7D2D">
        <w:rPr>
          <w:rFonts w:cs="Arial"/>
          <w:lang w:eastAsia="es-MX"/>
        </w:rPr>
        <w:t xml:space="preserve">USD </w:t>
      </w:r>
      <w:r w:rsidRPr="006E6390">
        <w:rPr>
          <w:rFonts w:cs="Arial"/>
          <w:lang w:eastAsia="es-MX"/>
        </w:rPr>
        <w:t>12.069.672, derivado de la Licitación Pública N</w:t>
      </w:r>
      <w:r w:rsidRPr="006E6390">
        <w:rPr>
          <w:rFonts w:cs="Arial"/>
        </w:rPr>
        <w:t>° 2010LN-000002-02.  Estas facilidades ya se encuentran en operación desde el año 2014.</w:t>
      </w:r>
    </w:p>
    <w:p w14:paraId="435362AA" w14:textId="77777777" w:rsidR="00D56B01" w:rsidRPr="006E6390" w:rsidRDefault="00D56B01" w:rsidP="00697312">
      <w:pPr>
        <w:spacing w:after="0"/>
        <w:rPr>
          <w:rFonts w:cs="Arial"/>
        </w:rPr>
      </w:pPr>
    </w:p>
    <w:p w14:paraId="5D8F84C2" w14:textId="1BB1A2E3" w:rsidR="00873CC3" w:rsidRDefault="00873CC3" w:rsidP="00697312">
      <w:pPr>
        <w:spacing w:after="0"/>
        <w:rPr>
          <w:rFonts w:cs="Arial"/>
        </w:rPr>
      </w:pPr>
      <w:r w:rsidRPr="006E6390">
        <w:rPr>
          <w:rFonts w:cs="Arial"/>
          <w:lang w:eastAsia="es-MX"/>
        </w:rPr>
        <w:t xml:space="preserve">La otra parte (Etapa C) de este proyecto denominado SAGAS, corresponde a cuatro nuevas esferas de características similares (YT-7712, YT-7713, YT-7714 e YT-7715) que se concursaron mediante la </w:t>
      </w:r>
      <w:r w:rsidRPr="006E6390">
        <w:rPr>
          <w:rFonts w:cs="Arial"/>
        </w:rPr>
        <w:t xml:space="preserve">Licitación Pública No. 2011LN-000009-02 y se adjudicó también a </w:t>
      </w:r>
      <w:r w:rsidRPr="00B34EDD">
        <w:rPr>
          <w:rFonts w:cs="Arial"/>
        </w:rPr>
        <w:t xml:space="preserve">Felguera IHI por la suma de </w:t>
      </w:r>
      <w:r w:rsidR="004C5BBD" w:rsidRPr="00B34EDD">
        <w:rPr>
          <w:rFonts w:cs="Arial"/>
        </w:rPr>
        <w:t xml:space="preserve">USD </w:t>
      </w:r>
      <w:r w:rsidRPr="00B34EDD">
        <w:rPr>
          <w:rFonts w:cs="Arial"/>
        </w:rPr>
        <w:t>48</w:t>
      </w:r>
      <w:r w:rsidR="004C5BBD" w:rsidRPr="00B34EDD">
        <w:rPr>
          <w:rFonts w:cs="Arial"/>
        </w:rPr>
        <w:t> </w:t>
      </w:r>
      <w:r w:rsidRPr="00B34EDD">
        <w:rPr>
          <w:rFonts w:cs="Arial"/>
        </w:rPr>
        <w:t>974</w:t>
      </w:r>
      <w:r w:rsidR="004C5BBD" w:rsidRPr="00B34EDD">
        <w:rPr>
          <w:rFonts w:cs="Arial"/>
        </w:rPr>
        <w:t xml:space="preserve"> </w:t>
      </w:r>
      <w:r w:rsidRPr="00B34EDD">
        <w:rPr>
          <w:rFonts w:cs="Arial"/>
        </w:rPr>
        <w:t xml:space="preserve">296,96.  Esta sección implicó la demolición de la actual esfera YT-770, el revamping de las esferas YT-7709 e YT-7710 y las interconexiones necesarias entre todos los componentes originales que sobreviven y los nuevos.  En total, en materia de GLP se estaría invirtiendo alrededor de los </w:t>
      </w:r>
      <w:r w:rsidR="004C5BBD" w:rsidRPr="00B34EDD">
        <w:rPr>
          <w:rFonts w:cs="Arial"/>
        </w:rPr>
        <w:t xml:space="preserve">USD </w:t>
      </w:r>
      <w:r w:rsidRPr="00B34EDD">
        <w:rPr>
          <w:rFonts w:cs="Arial"/>
        </w:rPr>
        <w:t xml:space="preserve">80 millones en Moín, que permitirán manejar un mayor </w:t>
      </w:r>
      <w:r w:rsidR="0065079B" w:rsidRPr="00B34EDD">
        <w:rPr>
          <w:rFonts w:cs="Arial"/>
        </w:rPr>
        <w:t>inventario,</w:t>
      </w:r>
      <w:r w:rsidRPr="00B34EDD">
        <w:rPr>
          <w:rFonts w:cs="Arial"/>
        </w:rPr>
        <w:t xml:space="preserve"> así como reducir la congestión del terminal petrolero.</w:t>
      </w:r>
    </w:p>
    <w:p w14:paraId="08C2ADD1" w14:textId="155DAD25" w:rsidR="00D56B01" w:rsidRDefault="00D56B01" w:rsidP="00873CC3">
      <w:pPr>
        <w:rPr>
          <w:rFonts w:cs="Arial"/>
        </w:rPr>
      </w:pPr>
    </w:p>
    <w:p w14:paraId="45C817B1" w14:textId="77777777" w:rsidR="00A0385F" w:rsidRPr="006E6390" w:rsidRDefault="00A0385F" w:rsidP="00697312">
      <w:pPr>
        <w:spacing w:after="0"/>
        <w:rPr>
          <w:rFonts w:cs="Arial"/>
        </w:rPr>
      </w:pPr>
    </w:p>
    <w:p w14:paraId="65E4F6CB" w14:textId="77777777" w:rsidR="00873CC3" w:rsidRPr="006E6390" w:rsidRDefault="00873CC3" w:rsidP="00873CC3">
      <w:pPr>
        <w:tabs>
          <w:tab w:val="left" w:pos="9270"/>
        </w:tabs>
        <w:rPr>
          <w:rFonts w:cs="Arial"/>
          <w:b/>
        </w:rPr>
      </w:pPr>
      <w:r w:rsidRPr="006E6390">
        <w:rPr>
          <w:rFonts w:cs="Arial"/>
          <w:b/>
        </w:rPr>
        <w:t xml:space="preserve">Proyecto </w:t>
      </w:r>
      <w:bookmarkStart w:id="104" w:name="_Hlk115426982"/>
      <w:r w:rsidRPr="006E6390">
        <w:rPr>
          <w:rFonts w:cs="Arial"/>
          <w:b/>
        </w:rPr>
        <w:t>Modernización de la Refinería de Moín</w:t>
      </w:r>
      <w:bookmarkEnd w:id="104"/>
      <w:r w:rsidRPr="006E6390">
        <w:rPr>
          <w:rFonts w:cs="Arial"/>
          <w:b/>
        </w:rPr>
        <w:t>:</w:t>
      </w:r>
    </w:p>
    <w:p w14:paraId="1BDCAE4D" w14:textId="11BBCE7A" w:rsidR="00873CC3" w:rsidRDefault="00873CC3" w:rsidP="00697312">
      <w:pPr>
        <w:spacing w:after="0"/>
        <w:rPr>
          <w:rFonts w:cs="Arial"/>
          <w:lang w:eastAsia="es-MX"/>
        </w:rPr>
      </w:pPr>
      <w:r w:rsidRPr="006E6390">
        <w:rPr>
          <w:rFonts w:cs="Arial"/>
          <w:lang w:eastAsia="es-MX"/>
        </w:rPr>
        <w:t>Este proyecto se planteó realizar por medio de un vehículo especial, bajo un esquema de financiamiento fuera de balance, para lo cual se constituyó una empresa conjunta, denominada SORESCO, que debía realizar el estudio de factibilidad, gestionar el financiamiento y acometer su desarrollo.</w:t>
      </w:r>
    </w:p>
    <w:p w14:paraId="6CECD803" w14:textId="77777777" w:rsidR="00D56B01" w:rsidRPr="006E6390" w:rsidRDefault="00D56B01" w:rsidP="00697312">
      <w:pPr>
        <w:spacing w:after="0"/>
        <w:rPr>
          <w:rFonts w:cs="Arial"/>
          <w:lang w:eastAsia="es-MX"/>
        </w:rPr>
      </w:pPr>
    </w:p>
    <w:p w14:paraId="7C1790AB" w14:textId="00FCA94F" w:rsidR="00873CC3" w:rsidRDefault="00873CC3" w:rsidP="00697312">
      <w:pPr>
        <w:spacing w:after="0"/>
        <w:rPr>
          <w:rFonts w:cs="Arial"/>
          <w:lang w:eastAsia="es-MX"/>
        </w:rPr>
      </w:pPr>
      <w:r w:rsidRPr="006E6390">
        <w:rPr>
          <w:rFonts w:cs="Arial"/>
          <w:lang w:eastAsia="es-MX"/>
        </w:rPr>
        <w:t>El desarrollo del proyecto se vio interrumpido por instrucciones de la Contraloría General de la República, que en el oficio DFOE-DI-1409-2013 del 20 de junio de 2013, instruyó a RECOPE de abstenerse de utilizar el estudio de factibilidad realizado por la empresa HQCEC para tomar decisiones con respecto al desarrollo del proyecto.  Esta instrucción se reitera con respecto al estudio realizado por la empresa Worley Parsons en el oficio DFOE- AE-0198 del 4 de abril de 2014.</w:t>
      </w:r>
    </w:p>
    <w:p w14:paraId="77F7EAE7" w14:textId="77777777" w:rsidR="00D56B01" w:rsidRPr="006E6390" w:rsidRDefault="00D56B01" w:rsidP="00697312">
      <w:pPr>
        <w:spacing w:after="0"/>
        <w:rPr>
          <w:rFonts w:cs="Arial"/>
          <w:lang w:eastAsia="es-MX"/>
        </w:rPr>
      </w:pPr>
    </w:p>
    <w:p w14:paraId="2F15E203" w14:textId="57F5175F" w:rsidR="00873CC3" w:rsidRDefault="30554478" w:rsidP="00697312">
      <w:pPr>
        <w:spacing w:after="0"/>
        <w:rPr>
          <w:rFonts w:cs="Arial"/>
          <w:lang w:eastAsia="es-MX"/>
        </w:rPr>
      </w:pPr>
      <w:r w:rsidRPr="30554478">
        <w:rPr>
          <w:rFonts w:cs="Arial"/>
          <w:lang w:eastAsia="es-MX"/>
        </w:rPr>
        <w:t>Debido a que esta situación no permitía el avance del proyecto y no se logró un acuerdo con la empresa CNPCI para repetir el estudio de factibilidad y otros aspectos, la Junta Directiva, en la Sesión Ordinaria #4933-139 de 18 de abril de 2016 y en la Sesión Ordinaria #4934-140 de 20 de abril de 2016, celebradas el 18 y 20 de abril de 2016, recomendó autorizar a la Presidenta de la empresa, para realizar las acciones para dar por terminado el Acuerdo de Empresa Conjunta y disolver y liquidar SORESCO.  El Consejo de Gobierno, según consta en la certificación No. 155-16 avaló la solicitud de la Junta Directiva de RECOPE, el acuerdo de dicho Consejo actuando como asamblea de accionistas fue conocido por la Junta Directiva de RECOPE en la Sesión Ordinaria N°4938-144 de 16 de mayo de 2016.</w:t>
      </w:r>
    </w:p>
    <w:p w14:paraId="5A2F9434" w14:textId="5067CFB4" w:rsidR="6AD5A7F8" w:rsidRDefault="6AD5A7F8" w:rsidP="000E341C">
      <w:pPr>
        <w:spacing w:after="0"/>
        <w:rPr>
          <w:rFonts w:cs="Arial"/>
          <w:lang w:eastAsia="es-MX"/>
        </w:rPr>
      </w:pPr>
    </w:p>
    <w:p w14:paraId="68DBD51A" w14:textId="722133B6" w:rsidR="00D56B01" w:rsidRPr="006E6390" w:rsidRDefault="30554478" w:rsidP="00873CC3">
      <w:pPr>
        <w:rPr>
          <w:rFonts w:cs="Arial"/>
          <w:lang w:eastAsia="es-MX"/>
        </w:rPr>
      </w:pPr>
      <w:r w:rsidRPr="30554478">
        <w:rPr>
          <w:rFonts w:cs="Arial"/>
          <w:lang w:eastAsia="es-MX"/>
        </w:rPr>
        <w:t>En diciembre de 2020, de acuerdo con lo dispuesto en la Ley 9925 de Eficiencia en la Administración de los Recursos Públicos, se ordenó a RECOPE por una única vez trasladar al Ministerio de Hacienda, la suma total del dinero resultante de la liquidación de SORESCO, la cual se hizo efectivo en dicho mes por la suma de USD 14,25 millones (8 663 millones al cambio de esa fecha).</w:t>
      </w:r>
    </w:p>
    <w:p w14:paraId="75D75423" w14:textId="21B81FEC" w:rsidR="30554478" w:rsidRDefault="30554478" w:rsidP="30554478">
      <w:pPr>
        <w:rPr>
          <w:rFonts w:cs="Arial"/>
          <w:lang w:eastAsia="es-MX"/>
        </w:rPr>
      </w:pPr>
      <w:r w:rsidRPr="30554478">
        <w:rPr>
          <w:rFonts w:cs="Arial"/>
          <w:lang w:eastAsia="es-MX"/>
        </w:rPr>
        <w:t>En el informe del auditor externo de diciembre 2021 (página 42 de 75) se señala que:</w:t>
      </w:r>
    </w:p>
    <w:p w14:paraId="3B1E2CFA" w14:textId="537D5CD7" w:rsidR="30554478" w:rsidRDefault="30554478" w:rsidP="000E341C">
      <w:pPr>
        <w:spacing w:after="0"/>
        <w:rPr>
          <w:rFonts w:cs="Arial"/>
          <w:lang w:eastAsia="es-MX"/>
        </w:rPr>
      </w:pPr>
      <w:r w:rsidRPr="30554478">
        <w:rPr>
          <w:rFonts w:cs="Arial"/>
          <w:lang w:eastAsia="es-MX"/>
        </w:rPr>
        <w:t>“</w:t>
      </w:r>
      <w:r w:rsidRPr="000E341C">
        <w:rPr>
          <w:rFonts w:cs="Arial"/>
          <w:i/>
          <w:iCs/>
          <w:lang w:eastAsia="es-MX"/>
        </w:rPr>
        <w:t>A finales de diciembre del 2020, dado que no se estima recuperar recursos adicionales, la Administración, se creó una estimación adicional por deterioro de 1.644 (millones), equivalente a la totalidad del saldo de la inversión luego de la devolución mencionada</w:t>
      </w:r>
      <w:r w:rsidRPr="30554478">
        <w:rPr>
          <w:rFonts w:cs="Arial"/>
          <w:lang w:eastAsia="es-MX"/>
        </w:rPr>
        <w:t>”.</w:t>
      </w:r>
    </w:p>
    <w:p w14:paraId="6B067A91" w14:textId="6CA35AA5" w:rsidR="30554478" w:rsidRDefault="30554478" w:rsidP="30554478">
      <w:pPr>
        <w:rPr>
          <w:rFonts w:cs="Arial"/>
          <w:lang w:eastAsia="es-MX"/>
        </w:rPr>
      </w:pPr>
    </w:p>
    <w:p w14:paraId="758C6A86" w14:textId="77777777" w:rsidR="00873CC3" w:rsidRPr="006E6390" w:rsidRDefault="00873CC3" w:rsidP="00873CC3">
      <w:pPr>
        <w:tabs>
          <w:tab w:val="left" w:pos="9270"/>
        </w:tabs>
        <w:rPr>
          <w:rFonts w:cs="Arial"/>
          <w:b/>
        </w:rPr>
      </w:pPr>
      <w:bookmarkStart w:id="105" w:name="_Hlk115427001"/>
      <w:r w:rsidRPr="006E6390">
        <w:rPr>
          <w:rFonts w:cs="Arial"/>
          <w:b/>
        </w:rPr>
        <w:t>Ampliación de la red de tanques</w:t>
      </w:r>
    </w:p>
    <w:bookmarkEnd w:id="105"/>
    <w:p w14:paraId="26DF83ED" w14:textId="03ACBD63" w:rsidR="00873CC3" w:rsidRDefault="30554478" w:rsidP="008E2266">
      <w:pPr>
        <w:spacing w:after="0"/>
        <w:rPr>
          <w:rFonts w:cs="Arial"/>
        </w:rPr>
      </w:pPr>
      <w:r w:rsidRPr="30554478">
        <w:rPr>
          <w:rFonts w:cs="Arial"/>
        </w:rPr>
        <w:t xml:space="preserve">RECOPE desarrolló un programa de ampliación del parque de almacenamientos para mejorar las condiciones operativas de las terminales de distribución y ventas, lcon el objetivo de incrementar la capacidad en 839 765 barriles, equivalente a 26,6% de la capacidad instalada en 2014 (3,15 millones de barriles de capacidad operativa).  </w:t>
      </w:r>
    </w:p>
    <w:p w14:paraId="2F9A4C1B" w14:textId="77777777" w:rsidR="00C0662A" w:rsidRPr="006E6390" w:rsidRDefault="00C0662A" w:rsidP="008E2266">
      <w:pPr>
        <w:spacing w:after="0"/>
        <w:rPr>
          <w:rFonts w:cs="Arial"/>
        </w:rPr>
      </w:pPr>
    </w:p>
    <w:p w14:paraId="67D4EEA4" w14:textId="77777777" w:rsidR="00873CC3" w:rsidRPr="006E6390" w:rsidRDefault="00873CC3" w:rsidP="00873CC3">
      <w:pPr>
        <w:rPr>
          <w:rFonts w:cs="Arial"/>
        </w:rPr>
      </w:pPr>
      <w:r w:rsidRPr="006E6390">
        <w:rPr>
          <w:rFonts w:cs="Arial"/>
        </w:rPr>
        <w:lastRenderedPageBreak/>
        <w:t>La ampliación se ha realizado mediante diferentes procesos de contratación, según se indica a continuación:</w:t>
      </w:r>
    </w:p>
    <w:p w14:paraId="6ED3F7B8" w14:textId="167079D2" w:rsidR="00873CC3" w:rsidRPr="006E6390" w:rsidRDefault="00873CC3" w:rsidP="00873CC3">
      <w:pPr>
        <w:pStyle w:val="Prrafodelista"/>
        <w:numPr>
          <w:ilvl w:val="0"/>
          <w:numId w:val="19"/>
        </w:numPr>
        <w:ind w:left="714" w:hanging="357"/>
        <w:contextualSpacing w:val="0"/>
        <w:rPr>
          <w:rFonts w:cs="Arial"/>
        </w:rPr>
      </w:pPr>
      <w:r w:rsidRPr="006E6390">
        <w:rPr>
          <w:rFonts w:cs="Arial"/>
        </w:rPr>
        <w:t>Licitación Pública No. 2011LN-000007-02 para la construcción de ocho tanques en l</w:t>
      </w:r>
      <w:r w:rsidR="000D6BF1">
        <w:rPr>
          <w:rFonts w:cs="Arial"/>
        </w:rPr>
        <w:t>a</w:t>
      </w:r>
      <w:r w:rsidRPr="006E6390">
        <w:rPr>
          <w:rFonts w:cs="Arial"/>
        </w:rPr>
        <w:t xml:space="preserve">s </w:t>
      </w:r>
      <w:r w:rsidR="00465C19">
        <w:rPr>
          <w:rFonts w:cs="Arial"/>
        </w:rPr>
        <w:t>terminal</w:t>
      </w:r>
      <w:r w:rsidRPr="006E6390">
        <w:rPr>
          <w:rFonts w:cs="Arial"/>
        </w:rPr>
        <w:t>es de El Alto, La Garita y Barranca. Se encuentran finalizados y operativos.</w:t>
      </w:r>
    </w:p>
    <w:p w14:paraId="54D34E7F" w14:textId="77777777" w:rsidR="00873CC3" w:rsidRPr="006E6390" w:rsidRDefault="00873CC3" w:rsidP="00873CC3">
      <w:pPr>
        <w:pStyle w:val="Prrafodelista"/>
        <w:numPr>
          <w:ilvl w:val="0"/>
          <w:numId w:val="19"/>
        </w:numPr>
        <w:ind w:left="714" w:hanging="357"/>
        <w:contextualSpacing w:val="0"/>
        <w:rPr>
          <w:rFonts w:cs="Arial"/>
        </w:rPr>
      </w:pPr>
      <w:r w:rsidRPr="006E6390">
        <w:rPr>
          <w:rFonts w:cs="Arial"/>
        </w:rPr>
        <w:t>Licitación Pública No. 2012LN-000002-02 para la construcción de cuatro tanques de producto negro en Moín. Se encuentran finalizados y en operación.</w:t>
      </w:r>
    </w:p>
    <w:p w14:paraId="49773354" w14:textId="7655DB38" w:rsidR="00873CC3" w:rsidRDefault="00873CC3" w:rsidP="008E2266">
      <w:pPr>
        <w:pStyle w:val="Prrafodelista"/>
        <w:numPr>
          <w:ilvl w:val="0"/>
          <w:numId w:val="19"/>
        </w:numPr>
        <w:spacing w:after="0"/>
        <w:ind w:left="714" w:hanging="357"/>
        <w:contextualSpacing w:val="0"/>
        <w:rPr>
          <w:rFonts w:cs="Arial"/>
        </w:rPr>
      </w:pPr>
      <w:r w:rsidRPr="006E6390">
        <w:rPr>
          <w:rFonts w:cs="Arial"/>
        </w:rPr>
        <w:t xml:space="preserve">Licitación Pública No. 2012LN-000004-02 para construir tres grandes tanques para la importación de productos en </w:t>
      </w:r>
      <w:r w:rsidR="000D6BF1">
        <w:rPr>
          <w:rFonts w:cs="Arial"/>
        </w:rPr>
        <w:t>la</w:t>
      </w:r>
      <w:r w:rsidR="000D6BF1" w:rsidRPr="006E6390">
        <w:rPr>
          <w:rFonts w:cs="Arial"/>
        </w:rPr>
        <w:t xml:space="preserve"> </w:t>
      </w:r>
      <w:r w:rsidR="00465C19">
        <w:rPr>
          <w:rFonts w:cs="Arial"/>
        </w:rPr>
        <w:t>Terminal</w:t>
      </w:r>
      <w:r w:rsidRPr="006E6390">
        <w:rPr>
          <w:rFonts w:cs="Arial"/>
        </w:rPr>
        <w:t xml:space="preserve"> Moín. La ejecución se encuentra suspendida mientras se tramita la resolución del contrato con Felguera IHI.</w:t>
      </w:r>
    </w:p>
    <w:p w14:paraId="5BF40F52" w14:textId="77777777" w:rsidR="00C0662A" w:rsidRPr="00C0662A" w:rsidRDefault="00C0662A" w:rsidP="008E2266">
      <w:pPr>
        <w:rPr>
          <w:rFonts w:cs="Arial"/>
        </w:rPr>
      </w:pPr>
    </w:p>
    <w:p w14:paraId="7CF90B82" w14:textId="77777777" w:rsidR="00873CC3" w:rsidRPr="00B34EDD" w:rsidRDefault="00873CC3" w:rsidP="00873CC3">
      <w:pPr>
        <w:pStyle w:val="Ttulo3"/>
        <w:rPr>
          <w:rFonts w:cs="Arial"/>
        </w:rPr>
      </w:pPr>
      <w:bookmarkStart w:id="106" w:name="_Toc38630822"/>
      <w:r w:rsidRPr="00B34EDD">
        <w:rPr>
          <w:rFonts w:cs="Arial"/>
        </w:rPr>
        <w:t>3.1.19. Actividades principales:</w:t>
      </w:r>
      <w:bookmarkEnd w:id="106"/>
    </w:p>
    <w:p w14:paraId="793B6CF0" w14:textId="734BE622" w:rsidR="00873CC3" w:rsidRDefault="00873CC3" w:rsidP="000D6BF1">
      <w:pPr>
        <w:spacing w:after="0"/>
        <w:rPr>
          <w:rFonts w:cs="Arial"/>
          <w:lang w:eastAsia="es-MX"/>
        </w:rPr>
      </w:pPr>
      <w:bookmarkStart w:id="107" w:name="_Hlk114151632"/>
      <w:r w:rsidRPr="00B34EDD">
        <w:rPr>
          <w:rFonts w:cs="Arial"/>
          <w:lang w:eastAsia="es-MX"/>
        </w:rPr>
        <w:t>El giro del negocio de RECOPE se encuentra definido en el artículo 6 de la Ley No. 6588, que establece:</w:t>
      </w:r>
    </w:p>
    <w:p w14:paraId="41C89E50" w14:textId="77777777" w:rsidR="00C0662A" w:rsidRPr="00B34EDD" w:rsidRDefault="00C0662A" w:rsidP="00873CC3">
      <w:pPr>
        <w:rPr>
          <w:rFonts w:cs="Arial"/>
          <w:lang w:eastAsia="es-MX"/>
        </w:rPr>
      </w:pPr>
    </w:p>
    <w:p w14:paraId="77CF36FC" w14:textId="0623A9D3" w:rsidR="00873CC3" w:rsidRDefault="00873CC3" w:rsidP="000D6BF1">
      <w:pPr>
        <w:spacing w:after="0"/>
        <w:ind w:left="567" w:right="474"/>
        <w:rPr>
          <w:rFonts w:cs="Arial"/>
          <w:i/>
          <w:lang w:eastAsia="es-MX"/>
        </w:rPr>
      </w:pPr>
      <w:r w:rsidRPr="00B34EDD">
        <w:rPr>
          <w:rFonts w:cs="Arial"/>
          <w:i/>
          <w:lang w:eastAsia="es-MX"/>
        </w:rPr>
        <w:t>“Los objetivos de la Refinadora Costarricense de Petróleo, S. A. son los siguientes: refinar, transportar, comercializar a granel el petróleo y sus derivados; mantener y desarrollar las instalaciones necesarias para ello y ejercer, en lo que le corresponda -previa autorización de la Contraloría-los planes de desarrollo del sector energía, conforme al Plan Nacional de Desarrollo”.</w:t>
      </w:r>
    </w:p>
    <w:p w14:paraId="2136B5A2" w14:textId="77777777" w:rsidR="00C0662A" w:rsidRPr="006E6390" w:rsidRDefault="00C0662A" w:rsidP="000D6BF1">
      <w:pPr>
        <w:spacing w:after="0"/>
        <w:ind w:right="474"/>
        <w:rPr>
          <w:rFonts w:cs="Arial"/>
          <w:i/>
          <w:lang w:eastAsia="es-MX"/>
        </w:rPr>
      </w:pPr>
    </w:p>
    <w:bookmarkEnd w:id="107"/>
    <w:p w14:paraId="637D4EDE" w14:textId="0DB78F67" w:rsidR="00873CC3" w:rsidRDefault="00873CC3" w:rsidP="000D6BF1">
      <w:pPr>
        <w:spacing w:after="0"/>
        <w:rPr>
          <w:rFonts w:cs="Arial"/>
          <w:lang w:eastAsia="es-MX"/>
        </w:rPr>
      </w:pPr>
      <w:r w:rsidRPr="006E6390">
        <w:rPr>
          <w:rFonts w:cs="Arial"/>
          <w:lang w:eastAsia="es-MX"/>
        </w:rPr>
        <w:t xml:space="preserve">Adicionalmente, con la aprobación de la Ley No.7399 “Ley de Hidrocarburos” se permite a RECOPE </w:t>
      </w:r>
      <w:r w:rsidRPr="006E6390">
        <w:rPr>
          <w:rFonts w:cs="Arial"/>
          <w:i/>
          <w:lang w:eastAsia="es-MX"/>
        </w:rPr>
        <w:t>“…participar, individualmente o en titularidad compartida, en las licitaciones que promueva la Dirección General de Hidrocarburos, para la exploración y la explotación de los hidrocarburos, de conformidad con las disposiciones de la Ley de Hidrocarburos”</w:t>
      </w:r>
      <w:r w:rsidRPr="006E6390">
        <w:rPr>
          <w:rFonts w:cs="Arial"/>
          <w:lang w:eastAsia="es-MX"/>
        </w:rPr>
        <w:t>; es decir, la actividad no está reservada al Estado. En la actualidad, la empresa no realiza ninguna actividad relacionada con la explotación o exploración de hidrocarburos.</w:t>
      </w:r>
    </w:p>
    <w:p w14:paraId="56050C74" w14:textId="77777777" w:rsidR="00C0662A" w:rsidRPr="006E6390" w:rsidRDefault="00C0662A" w:rsidP="000D6BF1">
      <w:pPr>
        <w:spacing w:after="0"/>
        <w:rPr>
          <w:rFonts w:cs="Arial"/>
          <w:lang w:eastAsia="es-MX"/>
        </w:rPr>
      </w:pPr>
    </w:p>
    <w:p w14:paraId="59477516" w14:textId="77777777" w:rsidR="00873CC3" w:rsidRPr="006E6390" w:rsidRDefault="00873CC3" w:rsidP="00873CC3">
      <w:pPr>
        <w:rPr>
          <w:rFonts w:cs="Arial"/>
          <w:lang w:eastAsia="es-MX"/>
        </w:rPr>
      </w:pPr>
      <w:r w:rsidRPr="006E6390">
        <w:rPr>
          <w:rFonts w:cs="Arial"/>
          <w:lang w:eastAsia="es-MX"/>
        </w:rPr>
        <w:t xml:space="preserve">Del </w:t>
      </w:r>
      <w:r w:rsidRPr="006E6390">
        <w:rPr>
          <w:rFonts w:cs="Arial"/>
          <w:u w:val="single"/>
          <w:lang w:eastAsia="es-MX"/>
        </w:rPr>
        <w:t>Decreto Ejecutivo No. 14874-MIEM</w:t>
      </w:r>
      <w:r w:rsidRPr="006E6390">
        <w:rPr>
          <w:rFonts w:cs="Arial"/>
          <w:lang w:eastAsia="es-MX"/>
        </w:rPr>
        <w:t xml:space="preserve"> “Reglamento a la Ley No. 6588”, publicado el 14 de octubre de 1983, sobresalen los siguientes dos puntos:</w:t>
      </w:r>
    </w:p>
    <w:p w14:paraId="2563B00D" w14:textId="77777777" w:rsidR="00873CC3" w:rsidRPr="006E6390" w:rsidRDefault="00873CC3" w:rsidP="00873CC3">
      <w:pPr>
        <w:pStyle w:val="Prrafodelista"/>
        <w:numPr>
          <w:ilvl w:val="0"/>
          <w:numId w:val="20"/>
        </w:numPr>
        <w:contextualSpacing w:val="0"/>
        <w:rPr>
          <w:rFonts w:cs="Arial"/>
        </w:rPr>
      </w:pPr>
      <w:r w:rsidRPr="006E6390">
        <w:rPr>
          <w:rFonts w:cs="Arial"/>
        </w:rPr>
        <w:t>Los productos expendidos por RECOPE deben cumplir las normas de calidad que fije el Poder Ejecutivo mediante decreto.</w:t>
      </w:r>
    </w:p>
    <w:p w14:paraId="7C659B24" w14:textId="77777777" w:rsidR="00873CC3" w:rsidRPr="006E6390" w:rsidRDefault="00873CC3" w:rsidP="000D6BF1">
      <w:pPr>
        <w:pStyle w:val="Prrafodelista"/>
        <w:numPr>
          <w:ilvl w:val="0"/>
          <w:numId w:val="20"/>
        </w:numPr>
        <w:spacing w:after="0"/>
        <w:ind w:left="714" w:hanging="357"/>
        <w:contextualSpacing w:val="0"/>
        <w:rPr>
          <w:rFonts w:cs="Arial"/>
        </w:rPr>
      </w:pPr>
      <w:r w:rsidRPr="006E6390">
        <w:rPr>
          <w:rFonts w:cs="Arial"/>
        </w:rPr>
        <w:t>Se autoriza a RECOPE a comercializar petróleo y sus derivados en el exterior, siempre que el abastecimiento nacional esté garantizado, y a que fije las condiciones de venta de acuerdo con los mercados internacionales.</w:t>
      </w:r>
    </w:p>
    <w:p w14:paraId="05AC4152" w14:textId="77777777" w:rsidR="009A5E54" w:rsidRDefault="009A5E54" w:rsidP="000D6BF1">
      <w:pPr>
        <w:spacing w:after="0"/>
        <w:rPr>
          <w:rFonts w:cs="Arial"/>
          <w:lang w:eastAsia="es-MX"/>
        </w:rPr>
      </w:pPr>
    </w:p>
    <w:p w14:paraId="60FDABA9" w14:textId="49FE8102" w:rsidR="00873CC3" w:rsidRDefault="00873CC3" w:rsidP="000D6BF1">
      <w:pPr>
        <w:spacing w:after="0"/>
        <w:rPr>
          <w:rFonts w:cs="Arial"/>
          <w:lang w:eastAsia="es-ES_tradnl"/>
        </w:rPr>
      </w:pPr>
      <w:r w:rsidRPr="006E6390">
        <w:rPr>
          <w:rFonts w:cs="Arial"/>
          <w:lang w:eastAsia="es-MX"/>
        </w:rPr>
        <w:t xml:space="preserve">Con la aprobación de la </w:t>
      </w:r>
      <w:r w:rsidRPr="006E6390">
        <w:rPr>
          <w:rFonts w:cs="Arial"/>
          <w:u w:val="single"/>
          <w:lang w:eastAsia="es-MX"/>
        </w:rPr>
        <w:t>Ley No. 7356</w:t>
      </w:r>
      <w:r w:rsidRPr="006E6390">
        <w:rPr>
          <w:rFonts w:cs="Arial"/>
          <w:lang w:eastAsia="es-MX"/>
        </w:rPr>
        <w:t xml:space="preserve"> “</w:t>
      </w:r>
      <w:r w:rsidRPr="006E6390">
        <w:rPr>
          <w:rFonts w:cs="Arial"/>
          <w:i/>
          <w:lang w:eastAsia="es-MX"/>
        </w:rPr>
        <w:t xml:space="preserve">Monopolio en favor del Estado para la Importación, Refinación y Distribución al Mayoreo de Petróleo Crudo, sus Combustibles Derivados, </w:t>
      </w:r>
      <w:bookmarkStart w:id="108" w:name="_Hlk114151740"/>
      <w:r w:rsidRPr="006E6390">
        <w:rPr>
          <w:rFonts w:cs="Arial"/>
          <w:i/>
          <w:lang w:eastAsia="es-MX"/>
        </w:rPr>
        <w:lastRenderedPageBreak/>
        <w:t>Asfaltos y Naftas”</w:t>
      </w:r>
      <w:r w:rsidRPr="006E6390">
        <w:rPr>
          <w:rFonts w:cs="Arial"/>
          <w:lang w:eastAsia="es-MX"/>
        </w:rPr>
        <w:t xml:space="preserve">, </w:t>
      </w:r>
      <w:bookmarkStart w:id="109" w:name="_Hlk114151785"/>
      <w:bookmarkEnd w:id="108"/>
      <w:r w:rsidRPr="006E6390">
        <w:rPr>
          <w:rFonts w:cs="Arial"/>
          <w:lang w:eastAsia="es-MX"/>
        </w:rPr>
        <w:t xml:space="preserve">publicada el 6 de setiembre de 1993, </w:t>
      </w:r>
      <w:bookmarkEnd w:id="109"/>
      <w:r w:rsidRPr="006E6390">
        <w:rPr>
          <w:rFonts w:cs="Arial"/>
          <w:lang w:eastAsia="es-MX"/>
        </w:rPr>
        <w:t xml:space="preserve">se le otorgan a RECOPE nuevas responsabilidades, debido a que se le concede la administración del monopolio estatal de la </w:t>
      </w:r>
      <w:r w:rsidRPr="006E6390">
        <w:rPr>
          <w:rFonts w:cs="Arial"/>
          <w:lang w:eastAsia="es-ES_tradnl"/>
        </w:rPr>
        <w:t>importación, refinación y distribución al mayoreo de petróleo crudo y sus derivados, que comprenden combustibles, asfaltos y naftas para satisfacer la demanda nacional.</w:t>
      </w:r>
    </w:p>
    <w:p w14:paraId="43A8104E" w14:textId="77777777" w:rsidR="009A5E54" w:rsidRPr="006E6390" w:rsidRDefault="009A5E54" w:rsidP="000D6BF1">
      <w:pPr>
        <w:spacing w:after="0"/>
        <w:rPr>
          <w:rFonts w:cs="Arial"/>
          <w:lang w:eastAsia="es-ES_tradnl"/>
        </w:rPr>
      </w:pPr>
    </w:p>
    <w:p w14:paraId="7EAF6EB2" w14:textId="1F614129" w:rsidR="00873CC3" w:rsidRDefault="00873CC3" w:rsidP="00D97C98">
      <w:pPr>
        <w:spacing w:after="0"/>
        <w:rPr>
          <w:rFonts w:cs="Arial"/>
          <w:lang w:eastAsia="es-MX"/>
        </w:rPr>
      </w:pPr>
      <w:r w:rsidRPr="006E6390">
        <w:rPr>
          <w:rFonts w:cs="Arial"/>
          <w:lang w:eastAsia="es-ES_tradnl"/>
        </w:rPr>
        <w:t xml:space="preserve">Producto de los </w:t>
      </w:r>
      <w:bookmarkStart w:id="110" w:name="_Hlk114151897"/>
      <w:r w:rsidRPr="006E6390">
        <w:rPr>
          <w:rFonts w:cs="Arial"/>
          <w:lang w:eastAsia="es-ES_tradnl"/>
        </w:rPr>
        <w:t>Planes de Desarrollo Nacional y del Plan Nacional de Energía</w:t>
      </w:r>
      <w:bookmarkEnd w:id="110"/>
      <w:r w:rsidRPr="006E6390">
        <w:rPr>
          <w:rFonts w:cs="Arial"/>
          <w:lang w:eastAsia="es-ES_tradnl"/>
        </w:rPr>
        <w:t xml:space="preserve">, la empresa </w:t>
      </w:r>
      <w:bookmarkStart w:id="111" w:name="_Hlk114151869"/>
      <w:r w:rsidRPr="006E6390">
        <w:rPr>
          <w:rFonts w:cs="Arial"/>
          <w:lang w:eastAsia="es-ES_tradnl"/>
        </w:rPr>
        <w:t>ha incursionado en la investigación y desarrollo de biocombustibles, a efectos de contribuir en la mitigación del efecto invernadero y lograr que Costa Rica cumpla la meta de carbono neutral</w:t>
      </w:r>
      <w:r w:rsidRPr="006E6390">
        <w:rPr>
          <w:rFonts w:cs="Arial"/>
          <w:lang w:eastAsia="es-MX"/>
        </w:rPr>
        <w:t>.</w:t>
      </w:r>
      <w:bookmarkEnd w:id="111"/>
      <w:r w:rsidRPr="006E6390">
        <w:rPr>
          <w:rFonts w:cs="Arial"/>
          <w:lang w:eastAsia="es-MX"/>
        </w:rPr>
        <w:t xml:space="preserve">  Dentro de este punto, se está formulando un proyecto para la producción de aceite de palma en la provincia de Limón que sea orientada a la mezcla con diésel.</w:t>
      </w:r>
    </w:p>
    <w:p w14:paraId="710D71FF" w14:textId="77777777" w:rsidR="009A5E54" w:rsidRPr="006E6390" w:rsidRDefault="009A5E54" w:rsidP="00D97C98">
      <w:pPr>
        <w:spacing w:after="0"/>
        <w:rPr>
          <w:rFonts w:cs="Arial"/>
          <w:lang w:eastAsia="es-MX"/>
        </w:rPr>
      </w:pPr>
    </w:p>
    <w:p w14:paraId="1D20ED8D" w14:textId="0657F994" w:rsidR="00D97C98" w:rsidRDefault="00873CC3" w:rsidP="00D97C98">
      <w:pPr>
        <w:spacing w:after="0"/>
        <w:rPr>
          <w:rFonts w:cs="Arial"/>
          <w:lang w:eastAsia="es-MX"/>
        </w:rPr>
      </w:pPr>
      <w:r w:rsidRPr="00B34EDD">
        <w:rPr>
          <w:rFonts w:cs="Arial"/>
          <w:lang w:eastAsia="es-MX"/>
        </w:rPr>
        <w:t xml:space="preserve">Las ventas de RECOPE no </w:t>
      </w:r>
      <w:r w:rsidRPr="006C457D">
        <w:rPr>
          <w:rFonts w:cs="Arial"/>
          <w:lang w:eastAsia="es-MX"/>
        </w:rPr>
        <w:t>muestran variaciones significativas durante todo el año, aunque existe cierta estacionalidad en las mismas</w:t>
      </w:r>
      <w:r w:rsidR="00D97C98">
        <w:rPr>
          <w:rFonts w:cs="Arial"/>
          <w:lang w:eastAsia="es-MX"/>
        </w:rPr>
        <w:t xml:space="preserve">: </w:t>
      </w:r>
      <w:r w:rsidRPr="006C457D">
        <w:rPr>
          <w:rFonts w:cs="Arial"/>
          <w:lang w:eastAsia="es-MX"/>
        </w:rPr>
        <w:t>marzo</w:t>
      </w:r>
      <w:r w:rsidR="00C11180" w:rsidRPr="006C457D">
        <w:rPr>
          <w:rFonts w:cs="Arial"/>
          <w:lang w:eastAsia="es-MX"/>
        </w:rPr>
        <w:t xml:space="preserve"> </w:t>
      </w:r>
      <w:r w:rsidRPr="006C457D">
        <w:rPr>
          <w:rFonts w:cs="Arial"/>
          <w:lang w:eastAsia="es-MX"/>
        </w:rPr>
        <w:t>9,</w:t>
      </w:r>
      <w:r w:rsidR="006C457D" w:rsidRPr="00D97C98">
        <w:rPr>
          <w:rFonts w:cs="Arial"/>
          <w:lang w:eastAsia="es-MX"/>
        </w:rPr>
        <w:t>6</w:t>
      </w:r>
      <w:r w:rsidRPr="006C457D">
        <w:rPr>
          <w:rFonts w:cs="Arial"/>
          <w:lang w:eastAsia="es-MX"/>
        </w:rPr>
        <w:t>% del total anual,</w:t>
      </w:r>
      <w:r w:rsidR="006C457D" w:rsidRPr="00D97C98">
        <w:rPr>
          <w:rFonts w:cs="Arial"/>
          <w:lang w:eastAsia="es-MX"/>
        </w:rPr>
        <w:t xml:space="preserve"> diciembre 9,5%, enero y </w:t>
      </w:r>
      <w:r w:rsidR="00C11180" w:rsidRPr="006C457D">
        <w:rPr>
          <w:rFonts w:cs="Arial"/>
          <w:lang w:eastAsia="es-MX"/>
        </w:rPr>
        <w:t>julio</w:t>
      </w:r>
      <w:r w:rsidR="00D97C98">
        <w:rPr>
          <w:rFonts w:cs="Arial"/>
          <w:lang w:eastAsia="es-MX"/>
        </w:rPr>
        <w:t xml:space="preserve"> </w:t>
      </w:r>
      <w:r w:rsidRPr="006C457D">
        <w:rPr>
          <w:rFonts w:cs="Arial"/>
          <w:lang w:eastAsia="es-MX"/>
        </w:rPr>
        <w:t>8,</w:t>
      </w:r>
      <w:r w:rsidR="00C11180" w:rsidRPr="006C457D">
        <w:rPr>
          <w:rFonts w:cs="Arial"/>
          <w:lang w:eastAsia="es-MX"/>
        </w:rPr>
        <w:t>6</w:t>
      </w:r>
      <w:r w:rsidRPr="006C457D">
        <w:rPr>
          <w:rFonts w:cs="Arial"/>
          <w:lang w:eastAsia="es-MX"/>
        </w:rPr>
        <w:t>%</w:t>
      </w:r>
      <w:r w:rsidR="00D97C98">
        <w:rPr>
          <w:rFonts w:cs="Arial"/>
          <w:lang w:eastAsia="es-MX"/>
        </w:rPr>
        <w:t>.</w:t>
      </w:r>
    </w:p>
    <w:p w14:paraId="02D356DE" w14:textId="77777777" w:rsidR="009A5E54" w:rsidRPr="00B34EDD" w:rsidRDefault="009A5E54" w:rsidP="00D97C98">
      <w:pPr>
        <w:spacing w:after="0"/>
        <w:rPr>
          <w:rFonts w:cs="Arial"/>
          <w:lang w:eastAsia="es-MX"/>
        </w:rPr>
      </w:pPr>
    </w:p>
    <w:p w14:paraId="6C09F9D6" w14:textId="7923F0F5" w:rsidR="00630EB7" w:rsidRDefault="00630EB7" w:rsidP="00D97C98">
      <w:pPr>
        <w:spacing w:after="0"/>
        <w:rPr>
          <w:rFonts w:cs="Arial"/>
        </w:rPr>
      </w:pPr>
      <w:r w:rsidRPr="00B34EDD">
        <w:rPr>
          <w:rFonts w:cs="Arial"/>
        </w:rPr>
        <w:t>RECOPE importa hidrocarburos de forma eficiente y oportuna para garantizar la calidad y los niveles de inventario adecuados en el país. El proceso de importación cuenta con mecanismos de contratación que garantizan la transparencia en el proceso y competitividad en los precios; así como la participación de empresas de renombre internacional. Esto ha permitido que su gestión haya sido destacada por organismos como la Comisión Económica para América Latina y el Caribe (CEPAL).</w:t>
      </w:r>
    </w:p>
    <w:p w14:paraId="72DFE6D4" w14:textId="77777777" w:rsidR="009A5E54" w:rsidRPr="00B34EDD" w:rsidRDefault="009A5E54" w:rsidP="00D97C98">
      <w:pPr>
        <w:spacing w:after="0"/>
        <w:rPr>
          <w:rFonts w:cs="Arial"/>
        </w:rPr>
      </w:pPr>
    </w:p>
    <w:p w14:paraId="55C275C9" w14:textId="442A0001" w:rsidR="00873CC3" w:rsidRDefault="00630EB7" w:rsidP="00D97C98">
      <w:pPr>
        <w:spacing w:after="0"/>
        <w:rPr>
          <w:rFonts w:cs="Arial"/>
        </w:rPr>
      </w:pPr>
      <w:r w:rsidRPr="006C457D">
        <w:rPr>
          <w:rFonts w:cs="Arial"/>
        </w:rPr>
        <w:t xml:space="preserve">El volumen de las importaciones durante el año </w:t>
      </w:r>
      <w:r w:rsidR="00C3257C" w:rsidRPr="006C457D">
        <w:rPr>
          <w:rFonts w:cs="Arial"/>
        </w:rPr>
        <w:t xml:space="preserve">2022 </w:t>
      </w:r>
      <w:r w:rsidRPr="006C457D">
        <w:rPr>
          <w:rFonts w:cs="Arial"/>
        </w:rPr>
        <w:t>fue de 21</w:t>
      </w:r>
      <w:r w:rsidR="009D60C5" w:rsidRPr="006C457D">
        <w:rPr>
          <w:rFonts w:cs="Arial"/>
        </w:rPr>
        <w:t> </w:t>
      </w:r>
      <w:r w:rsidRPr="006C457D">
        <w:rPr>
          <w:rFonts w:cs="Arial"/>
        </w:rPr>
        <w:t>959</w:t>
      </w:r>
      <w:r w:rsidR="009D60C5" w:rsidRPr="006C457D">
        <w:rPr>
          <w:rFonts w:cs="Arial"/>
        </w:rPr>
        <w:t xml:space="preserve"> </w:t>
      </w:r>
      <w:r w:rsidRPr="006C457D">
        <w:rPr>
          <w:rFonts w:cs="Arial"/>
        </w:rPr>
        <w:t xml:space="preserve">909 barriles, el </w:t>
      </w:r>
      <w:r w:rsidR="00BA5166" w:rsidRPr="006C457D">
        <w:rPr>
          <w:rFonts w:cs="Arial"/>
        </w:rPr>
        <w:t>9</w:t>
      </w:r>
      <w:r w:rsidR="00BA5166" w:rsidRPr="00D97C98">
        <w:rPr>
          <w:rFonts w:cs="Arial"/>
        </w:rPr>
        <w:t>7</w:t>
      </w:r>
      <w:r w:rsidRPr="006C457D">
        <w:rPr>
          <w:rFonts w:cs="Arial"/>
        </w:rPr>
        <w:t>,</w:t>
      </w:r>
      <w:r w:rsidR="00BA5166" w:rsidRPr="00D97C98">
        <w:rPr>
          <w:rFonts w:cs="Arial"/>
        </w:rPr>
        <w:t>0</w:t>
      </w:r>
      <w:r w:rsidRPr="006C457D">
        <w:rPr>
          <w:rFonts w:cs="Arial"/>
        </w:rPr>
        <w:t xml:space="preserve">% de este volumen proviene de Estados Unidos y el resto del producto es originario de Antillas Holandesas, Bélgica, Republica Dominicana, </w:t>
      </w:r>
      <w:r w:rsidR="006C457D" w:rsidRPr="00D97C98">
        <w:rPr>
          <w:rFonts w:cs="Arial"/>
        </w:rPr>
        <w:t xml:space="preserve">Panamá, </w:t>
      </w:r>
      <w:r w:rsidRPr="006C457D">
        <w:rPr>
          <w:rFonts w:cs="Arial"/>
        </w:rPr>
        <w:t>Trinidad y Tobago, Guatemala y Países Bajos.</w:t>
      </w:r>
      <w:r w:rsidR="00416611" w:rsidRPr="006C457D">
        <w:rPr>
          <w:rFonts w:cs="Arial"/>
        </w:rPr>
        <w:t xml:space="preserve"> </w:t>
      </w:r>
      <w:r w:rsidR="009D60C5" w:rsidRPr="006C457D">
        <w:rPr>
          <w:rFonts w:cs="Arial"/>
        </w:rPr>
        <w:t xml:space="preserve"> </w:t>
      </w:r>
      <w:r w:rsidR="00873CC3" w:rsidRPr="006C457D">
        <w:rPr>
          <w:rFonts w:cs="Arial"/>
        </w:rPr>
        <w:t xml:space="preserve">El detalle que se muestra en el cuadro </w:t>
      </w:r>
      <w:r w:rsidR="00A0537F" w:rsidRPr="006C457D">
        <w:rPr>
          <w:rFonts w:cs="Arial"/>
        </w:rPr>
        <w:t>2</w:t>
      </w:r>
      <w:r w:rsidR="004F7B3A" w:rsidRPr="006C457D">
        <w:rPr>
          <w:rFonts w:cs="Arial"/>
        </w:rPr>
        <w:t>0</w:t>
      </w:r>
      <w:r w:rsidR="00873CC3" w:rsidRPr="006C457D">
        <w:rPr>
          <w:rFonts w:cs="Arial"/>
        </w:rPr>
        <w:t>.</w:t>
      </w:r>
    </w:p>
    <w:p w14:paraId="2E46EDB5" w14:textId="77777777" w:rsidR="009A5E54" w:rsidRPr="006E6390" w:rsidRDefault="009A5E54" w:rsidP="00D97C98">
      <w:pPr>
        <w:spacing w:after="0"/>
        <w:rPr>
          <w:rFonts w:cs="Arial"/>
        </w:rPr>
      </w:pPr>
    </w:p>
    <w:p w14:paraId="202D815B" w14:textId="536F67F8" w:rsidR="00873CC3" w:rsidRDefault="00873CC3" w:rsidP="00D97C98">
      <w:pPr>
        <w:spacing w:after="0"/>
        <w:rPr>
          <w:rFonts w:cs="Arial"/>
        </w:rPr>
      </w:pPr>
      <w:r w:rsidRPr="006E6390">
        <w:rPr>
          <w:rFonts w:cs="Arial"/>
          <w:bCs/>
        </w:rPr>
        <w:t xml:space="preserve">Las importaciones de Estados Unidos se realizan a un grupo de empresas (productoras y/o intermediarias) que tienen refinerías, almacenamiento, hacen mezclas, entre otros, </w:t>
      </w:r>
      <w:r w:rsidRPr="006E6390">
        <w:rPr>
          <w:rFonts w:cs="Arial"/>
        </w:rPr>
        <w:t>es decir que tienen operaciones integradas.</w:t>
      </w:r>
    </w:p>
    <w:p w14:paraId="73F4875B" w14:textId="77777777" w:rsidR="009A5E54" w:rsidRPr="006E6390" w:rsidRDefault="009A5E54" w:rsidP="00D97C98">
      <w:pPr>
        <w:spacing w:after="0"/>
        <w:rPr>
          <w:rFonts w:cs="Arial"/>
        </w:rPr>
      </w:pPr>
    </w:p>
    <w:p w14:paraId="0CC831AA" w14:textId="77777777" w:rsidR="00B00C25" w:rsidRPr="006E6390" w:rsidRDefault="00B00C25" w:rsidP="00B00C25">
      <w:pPr>
        <w:spacing w:after="0"/>
        <w:rPr>
          <w:rFonts w:cs="Arial"/>
        </w:rPr>
      </w:pPr>
      <w:r w:rsidRPr="006E6390">
        <w:rPr>
          <w:rFonts w:cs="Arial"/>
        </w:rPr>
        <w:t>RECOPE vela por el cumplimiento de las normas de calidad establecidas, mediante la aplicación de mecanismos de control a lo largo de toda la cadena de importación, desembarque, almacenamiento, proceso o mezcla, transporte y distribución de los combustibles, asfaltos y naftas.</w:t>
      </w:r>
    </w:p>
    <w:p w14:paraId="772603AC" w14:textId="77777777" w:rsidR="00B00C25" w:rsidRPr="006E6390" w:rsidRDefault="00B00C25" w:rsidP="00B00C25">
      <w:pPr>
        <w:spacing w:after="0"/>
        <w:rPr>
          <w:rFonts w:cs="Arial"/>
        </w:rPr>
      </w:pPr>
    </w:p>
    <w:p w14:paraId="0867D12D" w14:textId="77777777" w:rsidR="00B00C25" w:rsidRPr="006E6390" w:rsidRDefault="00B00C25" w:rsidP="00B00C25">
      <w:pPr>
        <w:spacing w:after="0"/>
        <w:rPr>
          <w:rFonts w:cs="Arial"/>
        </w:rPr>
      </w:pPr>
      <w:r w:rsidRPr="006E6390">
        <w:rPr>
          <w:rFonts w:cs="Arial"/>
        </w:rPr>
        <w:t>Para certificar que la calidad de los productos que se importan cumple con las exigencias de calidad pactadas, RECOPE contrata compañías de inspección independientes reconocidas internacionalmente y que cuentan con un sistema de calidad implementado, para que muestr</w:t>
      </w:r>
      <w:r w:rsidRPr="00A804EB">
        <w:rPr>
          <w:rFonts w:cs="Arial"/>
        </w:rPr>
        <w:t>e</w:t>
      </w:r>
      <w:r w:rsidR="00336325">
        <w:rPr>
          <w:rFonts w:cs="Arial"/>
        </w:rPr>
        <w:t xml:space="preserve"> </w:t>
      </w:r>
      <w:r w:rsidRPr="00A804EB">
        <w:rPr>
          <w:rFonts w:cs="Arial"/>
        </w:rPr>
        <w:t>e</w:t>
      </w:r>
      <w:r w:rsidRPr="006E6390">
        <w:rPr>
          <w:rFonts w:cs="Arial"/>
        </w:rPr>
        <w:t xml:space="preserve">n los productos a bordo del barco en el puerto de carga y realicen los análisis correspondientes, según procedimientos del </w:t>
      </w:r>
      <w:r w:rsidRPr="009D60C5">
        <w:rPr>
          <w:rFonts w:cs="Arial"/>
          <w:i/>
          <w:iCs/>
        </w:rPr>
        <w:t>American Petroleum Institute</w:t>
      </w:r>
      <w:r w:rsidRPr="006E6390">
        <w:rPr>
          <w:rFonts w:cs="Arial"/>
        </w:rPr>
        <w:t xml:space="preserve"> (API) y métodos de ensayo ASTM o similares.</w:t>
      </w:r>
    </w:p>
    <w:p w14:paraId="11D07036" w14:textId="68E46954" w:rsidR="00B00C25" w:rsidRPr="00D97C98" w:rsidRDefault="00B00C25">
      <w:pPr>
        <w:spacing w:after="0" w:line="240" w:lineRule="auto"/>
        <w:jc w:val="left"/>
        <w:rPr>
          <w:rFonts w:cs="Arial"/>
          <w:bCs/>
          <w:lang w:eastAsia="es-MX"/>
        </w:rPr>
      </w:pPr>
    </w:p>
    <w:p w14:paraId="1DA9B653" w14:textId="77777777" w:rsidR="00B34227" w:rsidRPr="00D97C98" w:rsidRDefault="00B34227">
      <w:pPr>
        <w:spacing w:after="0" w:line="240" w:lineRule="auto"/>
        <w:jc w:val="left"/>
        <w:rPr>
          <w:rFonts w:cs="Arial"/>
          <w:bCs/>
          <w:lang w:eastAsia="es-MX"/>
        </w:rPr>
      </w:pPr>
    </w:p>
    <w:p w14:paraId="046D7853" w14:textId="77777777" w:rsidR="00873CC3" w:rsidRPr="006E6390" w:rsidRDefault="00873CC3" w:rsidP="00873CC3">
      <w:pPr>
        <w:pStyle w:val="Ttuloscuadros"/>
        <w:tabs>
          <w:tab w:val="left" w:pos="9270"/>
        </w:tabs>
        <w:rPr>
          <w:rFonts w:cs="Arial"/>
          <w:lang w:eastAsia="es-MX"/>
        </w:rPr>
      </w:pPr>
      <w:r w:rsidRPr="006E6390">
        <w:rPr>
          <w:rFonts w:cs="Arial"/>
          <w:lang w:eastAsia="es-MX"/>
        </w:rPr>
        <w:t xml:space="preserve">Cuadro N° </w:t>
      </w:r>
      <w:r w:rsidR="00A0537F" w:rsidRPr="006E6390">
        <w:rPr>
          <w:rFonts w:cs="Arial"/>
          <w:lang w:eastAsia="es-MX"/>
        </w:rPr>
        <w:t>2</w:t>
      </w:r>
      <w:r w:rsidR="004F7B3A" w:rsidRPr="006E6390">
        <w:rPr>
          <w:rFonts w:cs="Arial"/>
          <w:lang w:eastAsia="es-MX"/>
        </w:rPr>
        <w:t>0</w:t>
      </w:r>
    </w:p>
    <w:p w14:paraId="76ADBE2C" w14:textId="4DBB6D44" w:rsidR="00873CC3" w:rsidRPr="006E6390" w:rsidRDefault="00873CC3" w:rsidP="00873CC3">
      <w:pPr>
        <w:pStyle w:val="Ttuloscuadros"/>
        <w:tabs>
          <w:tab w:val="left" w:pos="5320"/>
          <w:tab w:val="left" w:pos="9270"/>
        </w:tabs>
        <w:rPr>
          <w:rFonts w:cs="Arial"/>
          <w:lang w:eastAsia="es-MX"/>
        </w:rPr>
      </w:pPr>
      <w:r w:rsidRPr="006E6390">
        <w:rPr>
          <w:rFonts w:cs="Arial"/>
          <w:lang w:eastAsia="es-MX"/>
        </w:rPr>
        <w:lastRenderedPageBreak/>
        <w:t xml:space="preserve">Importaciones de combustibles por país de origen, años </w:t>
      </w:r>
      <w:r w:rsidR="001C3B56" w:rsidRPr="006E6390">
        <w:rPr>
          <w:rFonts w:cs="Arial"/>
          <w:lang w:eastAsia="es-MX"/>
        </w:rPr>
        <w:t>202</w:t>
      </w:r>
      <w:r w:rsidR="001C3B56">
        <w:rPr>
          <w:rFonts w:cs="Arial"/>
          <w:lang w:eastAsia="es-MX"/>
        </w:rPr>
        <w:t>1</w:t>
      </w:r>
      <w:r w:rsidRPr="006E6390">
        <w:rPr>
          <w:rFonts w:cs="Arial"/>
          <w:lang w:eastAsia="es-MX"/>
        </w:rPr>
        <w:t>-</w:t>
      </w:r>
      <w:r w:rsidR="001C3B56" w:rsidRPr="006E6390">
        <w:rPr>
          <w:rFonts w:cs="Arial"/>
          <w:lang w:eastAsia="es-MX"/>
        </w:rPr>
        <w:t>202</w:t>
      </w:r>
      <w:r w:rsidR="001C3B56">
        <w:rPr>
          <w:rFonts w:cs="Arial"/>
          <w:lang w:eastAsia="es-MX"/>
        </w:rPr>
        <w:t>2</w:t>
      </w:r>
    </w:p>
    <w:p w14:paraId="02659CC4" w14:textId="77777777" w:rsidR="00873CC3" w:rsidRPr="006E6390" w:rsidRDefault="00873CC3" w:rsidP="00873CC3">
      <w:pPr>
        <w:pStyle w:val="Ttuloscuadros"/>
        <w:tabs>
          <w:tab w:val="left" w:pos="5320"/>
          <w:tab w:val="left" w:pos="9270"/>
        </w:tabs>
        <w:spacing w:after="120"/>
        <w:rPr>
          <w:rFonts w:cs="Arial"/>
          <w:lang w:eastAsia="es-MX"/>
        </w:rPr>
      </w:pPr>
      <w:r w:rsidRPr="006E6390">
        <w:rPr>
          <w:rFonts w:cs="Arial"/>
          <w:lang w:eastAsia="es-MX"/>
        </w:rPr>
        <w:t>(datos en barriles y millones de dólares)</w:t>
      </w:r>
    </w:p>
    <w:tbl>
      <w:tblPr>
        <w:tblStyle w:val="Tablanormal1"/>
        <w:tblW w:w="9356" w:type="dxa"/>
        <w:tblLook w:val="04A0" w:firstRow="1" w:lastRow="0" w:firstColumn="1" w:lastColumn="0" w:noHBand="0" w:noVBand="1"/>
      </w:tblPr>
      <w:tblGrid>
        <w:gridCol w:w="1218"/>
        <w:gridCol w:w="1135"/>
        <w:gridCol w:w="1135"/>
        <w:gridCol w:w="1514"/>
        <w:gridCol w:w="1427"/>
        <w:gridCol w:w="1383"/>
        <w:gridCol w:w="1505"/>
        <w:gridCol w:w="39"/>
      </w:tblGrid>
      <w:tr w:rsidR="00FF149C" w:rsidRPr="001409A9" w14:paraId="5B72402C" w14:textId="77777777" w:rsidTr="00D97C98">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0" w:type="dxa"/>
            <w:hideMark/>
          </w:tcPr>
          <w:p w14:paraId="0F3BCB92" w14:textId="77777777" w:rsidR="00EF6F28" w:rsidRPr="00D97C98" w:rsidRDefault="00EF6F28" w:rsidP="00EF6F28">
            <w:pPr>
              <w:pStyle w:val="Ttuloscuadros"/>
              <w:tabs>
                <w:tab w:val="left" w:pos="5320"/>
                <w:tab w:val="left" w:pos="9270"/>
              </w:tabs>
              <w:spacing w:after="120"/>
              <w:rPr>
                <w:rFonts w:cs="Arial"/>
                <w:b/>
                <w:sz w:val="16"/>
                <w:szCs w:val="16"/>
                <w:lang w:eastAsia="es-MX"/>
              </w:rPr>
            </w:pPr>
            <w:r w:rsidRPr="00D97C98">
              <w:rPr>
                <w:rFonts w:cs="Arial"/>
                <w:b/>
                <w:sz w:val="16"/>
                <w:szCs w:val="16"/>
                <w:lang w:val="es-ES" w:eastAsia="es-MX"/>
              </w:rPr>
              <w:t> </w:t>
            </w:r>
          </w:p>
        </w:tc>
        <w:tc>
          <w:tcPr>
            <w:tcW w:w="0" w:type="dxa"/>
            <w:gridSpan w:val="3"/>
            <w:hideMark/>
          </w:tcPr>
          <w:p w14:paraId="03FD54A5" w14:textId="77777777" w:rsidR="00EF6F28" w:rsidRPr="00D97C98" w:rsidRDefault="00EF6F28" w:rsidP="00EF6F28">
            <w:pPr>
              <w:pStyle w:val="Ttuloscuadros"/>
              <w:tabs>
                <w:tab w:val="left" w:pos="5320"/>
                <w:tab w:val="left" w:pos="9270"/>
              </w:tabs>
              <w:spacing w:after="120"/>
              <w:cnfStyle w:val="100000000000" w:firstRow="1" w:lastRow="0" w:firstColumn="0" w:lastColumn="0" w:oddVBand="0" w:evenVBand="0" w:oddHBand="0" w:evenHBand="0" w:firstRowFirstColumn="0" w:firstRowLastColumn="0" w:lastRowFirstColumn="0" w:lastRowLastColumn="0"/>
              <w:rPr>
                <w:rFonts w:cs="Arial"/>
                <w:b/>
                <w:sz w:val="16"/>
                <w:szCs w:val="16"/>
                <w:lang w:eastAsia="es-MX"/>
              </w:rPr>
            </w:pPr>
            <w:r w:rsidRPr="00D97C98">
              <w:rPr>
                <w:rFonts w:cs="Arial"/>
                <w:b/>
                <w:sz w:val="16"/>
                <w:szCs w:val="16"/>
                <w:lang w:val="es-ES" w:eastAsia="es-MX"/>
              </w:rPr>
              <w:t>Volumen Facturado</w:t>
            </w:r>
          </w:p>
        </w:tc>
        <w:tc>
          <w:tcPr>
            <w:tcW w:w="0" w:type="dxa"/>
            <w:gridSpan w:val="4"/>
            <w:hideMark/>
          </w:tcPr>
          <w:p w14:paraId="28A4F5B1" w14:textId="77777777" w:rsidR="00EF6F28" w:rsidRPr="00D97C98" w:rsidRDefault="00EF6F28" w:rsidP="00EF6F28">
            <w:pPr>
              <w:pStyle w:val="Ttuloscuadros"/>
              <w:tabs>
                <w:tab w:val="left" w:pos="5320"/>
                <w:tab w:val="left" w:pos="9270"/>
              </w:tabs>
              <w:spacing w:after="120"/>
              <w:cnfStyle w:val="100000000000" w:firstRow="1" w:lastRow="0" w:firstColumn="0" w:lastColumn="0" w:oddVBand="0" w:evenVBand="0" w:oddHBand="0" w:evenHBand="0" w:firstRowFirstColumn="0" w:firstRowLastColumn="0" w:lastRowFirstColumn="0" w:lastRowLastColumn="0"/>
              <w:rPr>
                <w:rFonts w:cs="Arial"/>
                <w:b/>
                <w:sz w:val="16"/>
                <w:szCs w:val="16"/>
                <w:lang w:eastAsia="es-MX"/>
              </w:rPr>
            </w:pPr>
            <w:r w:rsidRPr="00D97C98">
              <w:rPr>
                <w:rFonts w:cs="Arial"/>
                <w:b/>
                <w:sz w:val="16"/>
                <w:szCs w:val="16"/>
                <w:lang w:val="es-ES" w:eastAsia="es-MX"/>
              </w:rPr>
              <w:t>Costo CIF</w:t>
            </w:r>
          </w:p>
        </w:tc>
      </w:tr>
      <w:tr w:rsidR="007A435C" w:rsidRPr="00D97C98" w14:paraId="115618CE" w14:textId="77777777" w:rsidTr="00D97C98">
        <w:trPr>
          <w:gridAfter w:val="1"/>
          <w:cnfStyle w:val="000000100000" w:firstRow="0" w:lastRow="0" w:firstColumn="0" w:lastColumn="0" w:oddVBand="0" w:evenVBand="0" w:oddHBand="1" w:evenHBand="0" w:firstRowFirstColumn="0" w:firstRowLastColumn="0" w:lastRowFirstColumn="0" w:lastRowLastColumn="0"/>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hideMark/>
          </w:tcPr>
          <w:p w14:paraId="4914ACA7" w14:textId="77777777" w:rsidR="00EF6F28" w:rsidRPr="00D97C98" w:rsidRDefault="00EF6F28" w:rsidP="00EF6F28">
            <w:pPr>
              <w:pStyle w:val="Ttuloscuadros"/>
              <w:tabs>
                <w:tab w:val="left" w:pos="5320"/>
                <w:tab w:val="left" w:pos="9270"/>
              </w:tabs>
              <w:spacing w:after="120"/>
              <w:rPr>
                <w:rFonts w:cs="Arial"/>
                <w:b/>
                <w:sz w:val="16"/>
                <w:szCs w:val="16"/>
                <w:lang w:eastAsia="es-MX"/>
              </w:rPr>
            </w:pPr>
            <w:r w:rsidRPr="00D97C98">
              <w:rPr>
                <w:rFonts w:cs="Arial"/>
                <w:b/>
                <w:sz w:val="16"/>
                <w:szCs w:val="16"/>
                <w:lang w:val="es-ES" w:eastAsia="es-MX"/>
              </w:rPr>
              <w:t>País</w:t>
            </w:r>
          </w:p>
        </w:tc>
        <w:tc>
          <w:tcPr>
            <w:tcW w:w="1046" w:type="dxa"/>
            <w:hideMark/>
          </w:tcPr>
          <w:p w14:paraId="39306640" w14:textId="2A5BA38B"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 xml:space="preserve">Barriles </w:t>
            </w:r>
            <w:r w:rsidR="00965F27" w:rsidRPr="00D97C98">
              <w:rPr>
                <w:rFonts w:cs="Arial"/>
                <w:bCs/>
                <w:sz w:val="16"/>
                <w:szCs w:val="16"/>
                <w:lang w:val="es-ES" w:eastAsia="es-MX"/>
              </w:rPr>
              <w:t>2021</w:t>
            </w:r>
          </w:p>
        </w:tc>
        <w:tc>
          <w:tcPr>
            <w:tcW w:w="1046" w:type="dxa"/>
            <w:hideMark/>
          </w:tcPr>
          <w:p w14:paraId="10CF6817" w14:textId="189DDD2C"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 xml:space="preserve">Barriles </w:t>
            </w:r>
            <w:r w:rsidR="00965F27" w:rsidRPr="00D97C98">
              <w:rPr>
                <w:rFonts w:cs="Arial"/>
                <w:bCs/>
                <w:sz w:val="16"/>
                <w:szCs w:val="16"/>
                <w:lang w:val="es-ES" w:eastAsia="es-MX"/>
              </w:rPr>
              <w:t>2022</w:t>
            </w:r>
          </w:p>
        </w:tc>
        <w:tc>
          <w:tcPr>
            <w:tcW w:w="1396" w:type="dxa"/>
            <w:hideMark/>
          </w:tcPr>
          <w:p w14:paraId="7FD8EEBA" w14:textId="77777777"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Participación</w:t>
            </w:r>
          </w:p>
        </w:tc>
        <w:tc>
          <w:tcPr>
            <w:tcW w:w="1315" w:type="dxa"/>
            <w:hideMark/>
          </w:tcPr>
          <w:p w14:paraId="404B5480" w14:textId="7B3A9402"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 xml:space="preserve"> US</w:t>
            </w:r>
            <w:r w:rsidR="00B23A3B" w:rsidRPr="00D97C98">
              <w:rPr>
                <w:rFonts w:cs="Arial"/>
                <w:bCs/>
                <w:sz w:val="16"/>
                <w:szCs w:val="16"/>
                <w:lang w:val="es-ES" w:eastAsia="es-MX"/>
              </w:rPr>
              <w:t>D</w:t>
            </w:r>
            <w:r w:rsidRPr="00D97C98">
              <w:rPr>
                <w:rFonts w:cs="Arial"/>
                <w:bCs/>
                <w:sz w:val="16"/>
                <w:szCs w:val="16"/>
                <w:lang w:val="es-ES" w:eastAsia="es-MX"/>
              </w:rPr>
              <w:t xml:space="preserve"> en </w:t>
            </w:r>
            <w:r w:rsidR="00965F27" w:rsidRPr="00D97C98">
              <w:rPr>
                <w:rFonts w:cs="Arial"/>
                <w:bCs/>
                <w:sz w:val="16"/>
                <w:szCs w:val="16"/>
                <w:lang w:val="es-ES" w:eastAsia="es-MX"/>
              </w:rPr>
              <w:t>2021</w:t>
            </w:r>
          </w:p>
        </w:tc>
        <w:tc>
          <w:tcPr>
            <w:tcW w:w="1275" w:type="dxa"/>
            <w:hideMark/>
          </w:tcPr>
          <w:p w14:paraId="24F580F4" w14:textId="114D0551"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 xml:space="preserve"> US</w:t>
            </w:r>
            <w:r w:rsidR="00B23A3B" w:rsidRPr="00D97C98">
              <w:rPr>
                <w:rFonts w:cs="Arial"/>
                <w:bCs/>
                <w:sz w:val="16"/>
                <w:szCs w:val="16"/>
                <w:lang w:val="es-ES" w:eastAsia="es-MX"/>
              </w:rPr>
              <w:t>D</w:t>
            </w:r>
            <w:r w:rsidRPr="00D97C98">
              <w:rPr>
                <w:rFonts w:cs="Arial"/>
                <w:bCs/>
                <w:sz w:val="16"/>
                <w:szCs w:val="16"/>
                <w:lang w:val="es-ES" w:eastAsia="es-MX"/>
              </w:rPr>
              <w:t xml:space="preserve"> en </w:t>
            </w:r>
            <w:r w:rsidR="00965F27" w:rsidRPr="00D97C98">
              <w:rPr>
                <w:rFonts w:cs="Arial"/>
                <w:bCs/>
                <w:sz w:val="16"/>
                <w:szCs w:val="16"/>
                <w:lang w:val="es-ES" w:eastAsia="es-MX"/>
              </w:rPr>
              <w:t>2022</w:t>
            </w:r>
          </w:p>
        </w:tc>
        <w:tc>
          <w:tcPr>
            <w:tcW w:w="1387" w:type="dxa"/>
            <w:hideMark/>
          </w:tcPr>
          <w:p w14:paraId="7960CAEF" w14:textId="77777777" w:rsidR="00EF6F28" w:rsidRPr="00D97C98" w:rsidRDefault="00EF6F28" w:rsidP="00EF6F2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Cs/>
                <w:sz w:val="16"/>
                <w:szCs w:val="16"/>
                <w:lang w:eastAsia="es-MX"/>
              </w:rPr>
            </w:pPr>
            <w:r w:rsidRPr="00D97C98">
              <w:rPr>
                <w:rFonts w:cs="Arial"/>
                <w:bCs/>
                <w:sz w:val="16"/>
                <w:szCs w:val="16"/>
                <w:lang w:val="es-ES" w:eastAsia="es-MX"/>
              </w:rPr>
              <w:t>Participación</w:t>
            </w:r>
          </w:p>
        </w:tc>
      </w:tr>
      <w:tr w:rsidR="00123CBA" w:rsidRPr="00D97C98" w14:paraId="1111AD67" w14:textId="77777777" w:rsidTr="00D97C98">
        <w:trPr>
          <w:gridAfter w:val="1"/>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F02528E" w14:textId="52D1C02D"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Estados Unidos</w:t>
            </w:r>
          </w:p>
        </w:tc>
        <w:tc>
          <w:tcPr>
            <w:tcW w:w="1046" w:type="dxa"/>
            <w:vAlign w:val="center"/>
            <w:hideMark/>
          </w:tcPr>
          <w:p w14:paraId="0725E283" w14:textId="53C670B0"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19 904 955 </w:t>
            </w:r>
          </w:p>
        </w:tc>
        <w:tc>
          <w:tcPr>
            <w:tcW w:w="1046" w:type="dxa"/>
            <w:vAlign w:val="center"/>
            <w:hideMark/>
          </w:tcPr>
          <w:p w14:paraId="536F75A9" w14:textId="7EDDF0D1"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20 480 735 </w:t>
            </w:r>
          </w:p>
        </w:tc>
        <w:tc>
          <w:tcPr>
            <w:tcW w:w="1396" w:type="dxa"/>
            <w:vAlign w:val="center"/>
            <w:hideMark/>
          </w:tcPr>
          <w:p w14:paraId="7601A577" w14:textId="236C7CCF"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95,99%</w:t>
            </w:r>
          </w:p>
        </w:tc>
        <w:tc>
          <w:tcPr>
            <w:tcW w:w="1315" w:type="dxa"/>
            <w:vAlign w:val="center"/>
            <w:hideMark/>
          </w:tcPr>
          <w:p w14:paraId="3835B49A" w14:textId="13FCE6D8" w:rsidR="00123CBA" w:rsidRPr="00D97C98" w:rsidRDefault="00123CBA" w:rsidP="00123CBA">
            <w:pPr>
              <w:pStyle w:val="Ttuloscuadros"/>
              <w:tabs>
                <w:tab w:val="left" w:pos="5320"/>
                <w:tab w:val="left" w:pos="9270"/>
              </w:tabs>
              <w:spacing w:after="120"/>
              <w:jc w:val="both"/>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1 518 878 433 </w:t>
            </w:r>
          </w:p>
        </w:tc>
        <w:tc>
          <w:tcPr>
            <w:tcW w:w="1275" w:type="dxa"/>
            <w:vAlign w:val="center"/>
            <w:hideMark/>
          </w:tcPr>
          <w:p w14:paraId="7F5E40D9" w14:textId="6830B78B"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2 458 434 114 </w:t>
            </w:r>
          </w:p>
        </w:tc>
        <w:tc>
          <w:tcPr>
            <w:tcW w:w="1387" w:type="dxa"/>
            <w:vAlign w:val="center"/>
            <w:hideMark/>
          </w:tcPr>
          <w:p w14:paraId="5DEABAEB" w14:textId="2FFE4FD9"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96,77%</w:t>
            </w:r>
          </w:p>
        </w:tc>
      </w:tr>
      <w:tr w:rsidR="00123CBA" w:rsidRPr="00D97C98" w14:paraId="0D5E50CD" w14:textId="77777777" w:rsidTr="00D97C98">
        <w:trPr>
          <w:gridAfter w:val="1"/>
          <w:cnfStyle w:val="000000100000" w:firstRow="0" w:lastRow="0" w:firstColumn="0" w:lastColumn="0" w:oddVBand="0" w:evenVBand="0" w:oddHBand="1" w:evenHBand="0" w:firstRowFirstColumn="0" w:firstRowLastColumn="0" w:lastRowFirstColumn="0" w:lastRowLastColumn="0"/>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E360EB3" w14:textId="4A4A1771"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Países Bajos</w:t>
            </w:r>
          </w:p>
        </w:tc>
        <w:tc>
          <w:tcPr>
            <w:tcW w:w="1046" w:type="dxa"/>
            <w:vAlign w:val="center"/>
            <w:hideMark/>
          </w:tcPr>
          <w:p w14:paraId="2ADED167" w14:textId="17721B33"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29 </w:t>
            </w:r>
          </w:p>
        </w:tc>
        <w:tc>
          <w:tcPr>
            <w:tcW w:w="1046" w:type="dxa"/>
            <w:vAlign w:val="center"/>
            <w:hideMark/>
          </w:tcPr>
          <w:p w14:paraId="4114374E" w14:textId="0F8A4281"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w:t>
            </w:r>
            <w:r w:rsidR="005878FE" w:rsidRPr="00D97C98">
              <w:rPr>
                <w:rFonts w:cs="Arial"/>
                <w:b w:val="0"/>
                <w:bCs/>
                <w:sz w:val="16"/>
                <w:szCs w:val="16"/>
              </w:rPr>
              <w:t>5</w:t>
            </w:r>
            <w:r w:rsidRPr="00D97C98">
              <w:rPr>
                <w:rFonts w:cs="Arial"/>
                <w:b w:val="0"/>
                <w:bCs/>
                <w:sz w:val="16"/>
                <w:szCs w:val="16"/>
              </w:rPr>
              <w:t xml:space="preserve">7 </w:t>
            </w:r>
          </w:p>
        </w:tc>
        <w:tc>
          <w:tcPr>
            <w:tcW w:w="1396" w:type="dxa"/>
            <w:vAlign w:val="center"/>
            <w:hideMark/>
          </w:tcPr>
          <w:p w14:paraId="3F9A91D7" w14:textId="46261393"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0,00%</w:t>
            </w:r>
          </w:p>
        </w:tc>
        <w:tc>
          <w:tcPr>
            <w:tcW w:w="1315" w:type="dxa"/>
            <w:vAlign w:val="center"/>
            <w:hideMark/>
          </w:tcPr>
          <w:p w14:paraId="27D9AB2A" w14:textId="3DC9B788"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60 840 </w:t>
            </w:r>
          </w:p>
        </w:tc>
        <w:tc>
          <w:tcPr>
            <w:tcW w:w="1275" w:type="dxa"/>
            <w:vAlign w:val="center"/>
            <w:hideMark/>
          </w:tcPr>
          <w:p w14:paraId="64883DBA" w14:textId="7E92C108"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136 488 </w:t>
            </w:r>
          </w:p>
        </w:tc>
        <w:tc>
          <w:tcPr>
            <w:tcW w:w="1387" w:type="dxa"/>
            <w:vAlign w:val="center"/>
            <w:hideMark/>
          </w:tcPr>
          <w:p w14:paraId="59B4EFBF" w14:textId="5F044DEF"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0,00%</w:t>
            </w:r>
          </w:p>
        </w:tc>
      </w:tr>
      <w:tr w:rsidR="00123CBA" w:rsidRPr="00D97C98" w14:paraId="4BC2EC62" w14:textId="77777777" w:rsidTr="00D97C98">
        <w:trPr>
          <w:gridAfter w:val="1"/>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64E76DA" w14:textId="432EB7BF" w:rsidR="00123CBA" w:rsidRPr="00D97C98" w:rsidRDefault="00FF149C"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Bélgica</w:t>
            </w:r>
          </w:p>
        </w:tc>
        <w:tc>
          <w:tcPr>
            <w:tcW w:w="1046" w:type="dxa"/>
            <w:vAlign w:val="center"/>
            <w:hideMark/>
          </w:tcPr>
          <w:p w14:paraId="3B3273BE" w14:textId="724BDFC4"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307 356 </w:t>
            </w:r>
          </w:p>
        </w:tc>
        <w:tc>
          <w:tcPr>
            <w:tcW w:w="1046" w:type="dxa"/>
            <w:vAlign w:val="center"/>
            <w:hideMark/>
          </w:tcPr>
          <w:p w14:paraId="198F2541" w14:textId="66F53456"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w:t>
            </w:r>
          </w:p>
        </w:tc>
        <w:tc>
          <w:tcPr>
            <w:tcW w:w="1396" w:type="dxa"/>
            <w:vAlign w:val="center"/>
            <w:hideMark/>
          </w:tcPr>
          <w:p w14:paraId="2394F14D" w14:textId="67E5A93F"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0,73%</w:t>
            </w:r>
          </w:p>
        </w:tc>
        <w:tc>
          <w:tcPr>
            <w:tcW w:w="1315" w:type="dxa"/>
            <w:vAlign w:val="center"/>
            <w:hideMark/>
          </w:tcPr>
          <w:p w14:paraId="23F9E3C7" w14:textId="709AC634"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27 403 629 </w:t>
            </w:r>
          </w:p>
        </w:tc>
        <w:tc>
          <w:tcPr>
            <w:tcW w:w="1275" w:type="dxa"/>
            <w:vAlign w:val="center"/>
            <w:hideMark/>
          </w:tcPr>
          <w:p w14:paraId="44A403BD" w14:textId="7CB29D71"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w:t>
            </w:r>
          </w:p>
        </w:tc>
        <w:tc>
          <w:tcPr>
            <w:tcW w:w="1387" w:type="dxa"/>
            <w:vAlign w:val="center"/>
            <w:hideMark/>
          </w:tcPr>
          <w:p w14:paraId="63303736" w14:textId="6B4EEF42"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0,67%</w:t>
            </w:r>
          </w:p>
        </w:tc>
      </w:tr>
      <w:tr w:rsidR="00123CBA" w:rsidRPr="00D97C98" w14:paraId="4E5C8B6F" w14:textId="77777777" w:rsidTr="00D97C98">
        <w:trPr>
          <w:gridAfter w:val="1"/>
          <w:cnfStyle w:val="000000100000" w:firstRow="0" w:lastRow="0" w:firstColumn="0" w:lastColumn="0" w:oddVBand="0" w:evenVBand="0" w:oddHBand="1" w:evenHBand="0" w:firstRowFirstColumn="0" w:firstRowLastColumn="0" w:lastRowFirstColumn="0" w:lastRowLastColumn="0"/>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FF3364F" w14:textId="4E3DB6E1"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Antillas Holandesas</w:t>
            </w:r>
          </w:p>
        </w:tc>
        <w:tc>
          <w:tcPr>
            <w:tcW w:w="1046" w:type="dxa"/>
            <w:vAlign w:val="center"/>
            <w:hideMark/>
          </w:tcPr>
          <w:p w14:paraId="00772BDA" w14:textId="309DB1FA"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678 542 </w:t>
            </w:r>
          </w:p>
        </w:tc>
        <w:tc>
          <w:tcPr>
            <w:tcW w:w="1046" w:type="dxa"/>
            <w:vAlign w:val="center"/>
            <w:hideMark/>
          </w:tcPr>
          <w:p w14:paraId="76D9F1AE" w14:textId="2CC18E4D"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488 621 </w:t>
            </w:r>
          </w:p>
        </w:tc>
        <w:tc>
          <w:tcPr>
            <w:tcW w:w="1396" w:type="dxa"/>
            <w:vAlign w:val="center"/>
            <w:hideMark/>
          </w:tcPr>
          <w:p w14:paraId="221995DA" w14:textId="187CE895"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2,77%</w:t>
            </w:r>
          </w:p>
        </w:tc>
        <w:tc>
          <w:tcPr>
            <w:tcW w:w="1315" w:type="dxa"/>
            <w:vAlign w:val="center"/>
            <w:hideMark/>
          </w:tcPr>
          <w:p w14:paraId="4A9691F4" w14:textId="0AF34FFC"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44 217 381 </w:t>
            </w:r>
          </w:p>
        </w:tc>
        <w:tc>
          <w:tcPr>
            <w:tcW w:w="1275" w:type="dxa"/>
            <w:vAlign w:val="center"/>
            <w:hideMark/>
          </w:tcPr>
          <w:p w14:paraId="0D6A1B9B" w14:textId="33501E56"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44 871 924 </w:t>
            </w:r>
          </w:p>
        </w:tc>
        <w:tc>
          <w:tcPr>
            <w:tcW w:w="1387" w:type="dxa"/>
            <w:vAlign w:val="center"/>
            <w:hideMark/>
          </w:tcPr>
          <w:p w14:paraId="3AB1B43E" w14:textId="23A88E07"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2,17%</w:t>
            </w:r>
          </w:p>
        </w:tc>
      </w:tr>
      <w:tr w:rsidR="00123CBA" w:rsidRPr="00D97C98" w14:paraId="5B80CC9F" w14:textId="77777777" w:rsidTr="00D97C98">
        <w:trPr>
          <w:gridAfter w:val="1"/>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F5E0427" w14:textId="145D72A5"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República Dominicana</w:t>
            </w:r>
          </w:p>
        </w:tc>
        <w:tc>
          <w:tcPr>
            <w:tcW w:w="1046" w:type="dxa"/>
            <w:vAlign w:val="center"/>
            <w:hideMark/>
          </w:tcPr>
          <w:p w14:paraId="64D23C69" w14:textId="6003DE16"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31 340 </w:t>
            </w:r>
          </w:p>
        </w:tc>
        <w:tc>
          <w:tcPr>
            <w:tcW w:w="1046" w:type="dxa"/>
            <w:vAlign w:val="center"/>
            <w:hideMark/>
          </w:tcPr>
          <w:p w14:paraId="706465BA" w14:textId="0F6BCA09"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w:t>
            </w:r>
          </w:p>
        </w:tc>
        <w:tc>
          <w:tcPr>
            <w:tcW w:w="1396" w:type="dxa"/>
            <w:vAlign w:val="center"/>
            <w:hideMark/>
          </w:tcPr>
          <w:p w14:paraId="569F8BC0" w14:textId="35327F28"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0,07%</w:t>
            </w:r>
          </w:p>
        </w:tc>
        <w:tc>
          <w:tcPr>
            <w:tcW w:w="1315" w:type="dxa"/>
            <w:vAlign w:val="center"/>
            <w:hideMark/>
          </w:tcPr>
          <w:p w14:paraId="41C13644" w14:textId="6D44EABC"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1 854 200 </w:t>
            </w:r>
          </w:p>
        </w:tc>
        <w:tc>
          <w:tcPr>
            <w:tcW w:w="1275" w:type="dxa"/>
            <w:vAlign w:val="center"/>
            <w:hideMark/>
          </w:tcPr>
          <w:p w14:paraId="2C4BAFA9" w14:textId="07EE19E6"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w:t>
            </w:r>
          </w:p>
        </w:tc>
        <w:tc>
          <w:tcPr>
            <w:tcW w:w="1387" w:type="dxa"/>
            <w:vAlign w:val="center"/>
            <w:hideMark/>
          </w:tcPr>
          <w:p w14:paraId="6E9EC1E1" w14:textId="546439BC"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0,05%</w:t>
            </w:r>
          </w:p>
        </w:tc>
      </w:tr>
      <w:tr w:rsidR="00123CBA" w:rsidRPr="00D97C98" w14:paraId="53505422" w14:textId="77777777" w:rsidTr="00D97C98">
        <w:trPr>
          <w:gridAfter w:val="1"/>
          <w:cnfStyle w:val="000000100000" w:firstRow="0" w:lastRow="0" w:firstColumn="0" w:lastColumn="0" w:oddVBand="0" w:evenVBand="0" w:oddHBand="1" w:evenHBand="0" w:firstRowFirstColumn="0" w:firstRowLastColumn="0" w:lastRowFirstColumn="0" w:lastRowLastColumn="0"/>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736E193" w14:textId="2407CF72"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 xml:space="preserve">Trinidad y </w:t>
            </w:r>
            <w:r w:rsidR="00FF149C" w:rsidRPr="00D97C98">
              <w:rPr>
                <w:rFonts w:cs="Arial"/>
                <w:b/>
                <w:bCs w:val="0"/>
                <w:color w:val="000000"/>
                <w:sz w:val="16"/>
                <w:szCs w:val="16"/>
              </w:rPr>
              <w:t>Tobago</w:t>
            </w:r>
          </w:p>
        </w:tc>
        <w:tc>
          <w:tcPr>
            <w:tcW w:w="1046" w:type="dxa"/>
            <w:vAlign w:val="center"/>
            <w:hideMark/>
          </w:tcPr>
          <w:p w14:paraId="0F78C13C" w14:textId="5AADFC57"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29 052 </w:t>
            </w:r>
          </w:p>
        </w:tc>
        <w:tc>
          <w:tcPr>
            <w:tcW w:w="1046" w:type="dxa"/>
            <w:vAlign w:val="center"/>
            <w:hideMark/>
          </w:tcPr>
          <w:p w14:paraId="2699E5F4" w14:textId="5FB66AB9"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37 044 </w:t>
            </w:r>
          </w:p>
        </w:tc>
        <w:tc>
          <w:tcPr>
            <w:tcW w:w="1396" w:type="dxa"/>
            <w:vAlign w:val="center"/>
            <w:hideMark/>
          </w:tcPr>
          <w:p w14:paraId="79177C3B" w14:textId="7429223B"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0,16%</w:t>
            </w:r>
          </w:p>
        </w:tc>
        <w:tc>
          <w:tcPr>
            <w:tcW w:w="1315" w:type="dxa"/>
            <w:vAlign w:val="center"/>
          </w:tcPr>
          <w:p w14:paraId="1505E54A" w14:textId="69132845"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1 406 774 </w:t>
            </w:r>
          </w:p>
        </w:tc>
        <w:tc>
          <w:tcPr>
            <w:tcW w:w="1275" w:type="dxa"/>
            <w:vAlign w:val="center"/>
            <w:hideMark/>
          </w:tcPr>
          <w:p w14:paraId="1E39F31E" w14:textId="1EFCBC34"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1 922 038 </w:t>
            </w:r>
          </w:p>
        </w:tc>
        <w:tc>
          <w:tcPr>
            <w:tcW w:w="1387" w:type="dxa"/>
            <w:vAlign w:val="center"/>
            <w:hideMark/>
          </w:tcPr>
          <w:p w14:paraId="30309852" w14:textId="60CCE843"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0,08%</w:t>
            </w:r>
          </w:p>
        </w:tc>
      </w:tr>
      <w:tr w:rsidR="00123CBA" w:rsidRPr="00D97C98" w14:paraId="7153B57C" w14:textId="77777777" w:rsidTr="00D97C98">
        <w:trPr>
          <w:gridAfter w:val="1"/>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BB88E18" w14:textId="2FF73638"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Panamá</w:t>
            </w:r>
          </w:p>
        </w:tc>
        <w:tc>
          <w:tcPr>
            <w:tcW w:w="1046" w:type="dxa"/>
            <w:vAlign w:val="center"/>
            <w:hideMark/>
          </w:tcPr>
          <w:p w14:paraId="022FFE39" w14:textId="39E7E10E"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w:t>
            </w:r>
          </w:p>
        </w:tc>
        <w:tc>
          <w:tcPr>
            <w:tcW w:w="1046" w:type="dxa"/>
            <w:vAlign w:val="center"/>
            <w:hideMark/>
          </w:tcPr>
          <w:p w14:paraId="06387979" w14:textId="0FB1A058"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94 713 </w:t>
            </w:r>
          </w:p>
        </w:tc>
        <w:tc>
          <w:tcPr>
            <w:tcW w:w="1396" w:type="dxa"/>
            <w:vAlign w:val="center"/>
            <w:hideMark/>
          </w:tcPr>
          <w:p w14:paraId="3F98C33E" w14:textId="2C6103AC"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0,23%</w:t>
            </w:r>
          </w:p>
        </w:tc>
        <w:tc>
          <w:tcPr>
            <w:tcW w:w="1315" w:type="dxa"/>
            <w:vAlign w:val="center"/>
            <w:hideMark/>
          </w:tcPr>
          <w:p w14:paraId="6286F967" w14:textId="20D69DB3"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   </w:t>
            </w:r>
          </w:p>
        </w:tc>
        <w:tc>
          <w:tcPr>
            <w:tcW w:w="1275" w:type="dxa"/>
            <w:vAlign w:val="center"/>
            <w:hideMark/>
          </w:tcPr>
          <w:p w14:paraId="6F1AD7CE" w14:textId="646CA90D"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7 432 451 </w:t>
            </w:r>
          </w:p>
        </w:tc>
        <w:tc>
          <w:tcPr>
            <w:tcW w:w="1387" w:type="dxa"/>
            <w:vAlign w:val="center"/>
            <w:hideMark/>
          </w:tcPr>
          <w:p w14:paraId="73D5EF8C" w14:textId="379E4D70"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b w:val="0"/>
                <w:bCs/>
                <w:sz w:val="16"/>
                <w:szCs w:val="16"/>
                <w:lang w:eastAsia="es-MX"/>
              </w:rPr>
            </w:pPr>
            <w:r w:rsidRPr="00D97C98">
              <w:rPr>
                <w:rFonts w:cs="Arial"/>
                <w:b w:val="0"/>
                <w:bCs/>
                <w:sz w:val="16"/>
                <w:szCs w:val="16"/>
              </w:rPr>
              <w:t>0,18%</w:t>
            </w:r>
          </w:p>
        </w:tc>
      </w:tr>
      <w:tr w:rsidR="00123CBA" w:rsidRPr="00D97C98" w14:paraId="198C8A9E" w14:textId="77777777" w:rsidTr="00D97C98">
        <w:trPr>
          <w:gridAfter w:val="1"/>
          <w:cnfStyle w:val="000000100000" w:firstRow="0" w:lastRow="0" w:firstColumn="0" w:lastColumn="0" w:oddVBand="0" w:evenVBand="0" w:oddHBand="1" w:evenHBand="0" w:firstRowFirstColumn="0" w:firstRowLastColumn="0" w:lastRowFirstColumn="0" w:lastRowLastColumn="0"/>
          <w:wAfter w:w="36" w:type="dxa"/>
          <w:trHeight w:val="2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36637FB" w14:textId="4F0D82E0" w:rsidR="00123CBA" w:rsidRPr="00D97C98" w:rsidRDefault="00123CBA" w:rsidP="00123CBA">
            <w:pPr>
              <w:pStyle w:val="Ttuloscuadros"/>
              <w:tabs>
                <w:tab w:val="left" w:pos="5320"/>
                <w:tab w:val="left" w:pos="9270"/>
              </w:tabs>
              <w:spacing w:after="120"/>
              <w:jc w:val="left"/>
              <w:rPr>
                <w:rFonts w:cs="Arial"/>
                <w:bCs w:val="0"/>
                <w:sz w:val="16"/>
                <w:szCs w:val="16"/>
                <w:lang w:eastAsia="es-MX"/>
              </w:rPr>
            </w:pPr>
            <w:r w:rsidRPr="00D97C98">
              <w:rPr>
                <w:rFonts w:cs="Arial"/>
                <w:b/>
                <w:bCs w:val="0"/>
                <w:color w:val="000000"/>
                <w:sz w:val="16"/>
                <w:szCs w:val="16"/>
              </w:rPr>
              <w:t>Guatemala</w:t>
            </w:r>
          </w:p>
        </w:tc>
        <w:tc>
          <w:tcPr>
            <w:tcW w:w="1046" w:type="dxa"/>
            <w:vAlign w:val="center"/>
            <w:hideMark/>
          </w:tcPr>
          <w:p w14:paraId="737E5B3E" w14:textId="5462A643" w:rsidR="00123CBA" w:rsidRPr="00D97C98" w:rsidRDefault="00123CBA" w:rsidP="00B969E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8 635 </w:t>
            </w:r>
          </w:p>
        </w:tc>
        <w:tc>
          <w:tcPr>
            <w:tcW w:w="1046" w:type="dxa"/>
            <w:vAlign w:val="center"/>
          </w:tcPr>
          <w:p w14:paraId="517F492A" w14:textId="67913ED7"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10 337 </w:t>
            </w:r>
          </w:p>
        </w:tc>
        <w:tc>
          <w:tcPr>
            <w:tcW w:w="1396" w:type="dxa"/>
            <w:vAlign w:val="center"/>
            <w:hideMark/>
          </w:tcPr>
          <w:p w14:paraId="1B26C2FA" w14:textId="4A24AA87"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0,05%</w:t>
            </w:r>
          </w:p>
        </w:tc>
        <w:tc>
          <w:tcPr>
            <w:tcW w:w="1315" w:type="dxa"/>
            <w:vAlign w:val="center"/>
            <w:hideMark/>
          </w:tcPr>
          <w:p w14:paraId="3912A7D2" w14:textId="7BAED083"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1 266 548 </w:t>
            </w:r>
          </w:p>
        </w:tc>
        <w:tc>
          <w:tcPr>
            <w:tcW w:w="1275" w:type="dxa"/>
            <w:vAlign w:val="center"/>
            <w:hideMark/>
          </w:tcPr>
          <w:p w14:paraId="1BBCE335" w14:textId="7C8218C3" w:rsidR="00123CBA" w:rsidRPr="00D97C98" w:rsidRDefault="00123CBA" w:rsidP="00123CBA">
            <w:pPr>
              <w:pStyle w:val="Ttuloscuadros"/>
              <w:tabs>
                <w:tab w:val="left" w:pos="5320"/>
                <w:tab w:val="left" w:pos="9270"/>
              </w:tabs>
              <w:spacing w:after="120"/>
              <w:jc w:val="right"/>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 xml:space="preserve"> 2 090 842 </w:t>
            </w:r>
          </w:p>
        </w:tc>
        <w:tc>
          <w:tcPr>
            <w:tcW w:w="1387" w:type="dxa"/>
            <w:vAlign w:val="center"/>
            <w:hideMark/>
          </w:tcPr>
          <w:p w14:paraId="38651968" w14:textId="25FCF5B1" w:rsidR="00123CBA" w:rsidRPr="00D97C98" w:rsidRDefault="00123CBA" w:rsidP="00D97C98">
            <w:pPr>
              <w:pStyle w:val="Ttuloscuadros"/>
              <w:tabs>
                <w:tab w:val="left" w:pos="5320"/>
                <w:tab w:val="left" w:pos="9270"/>
              </w:tabs>
              <w:spacing w:after="120"/>
              <w:cnfStyle w:val="000000100000" w:firstRow="0" w:lastRow="0" w:firstColumn="0" w:lastColumn="0" w:oddVBand="0" w:evenVBand="0" w:oddHBand="1" w:evenHBand="0" w:firstRowFirstColumn="0" w:firstRowLastColumn="0" w:lastRowFirstColumn="0" w:lastRowLastColumn="0"/>
              <w:rPr>
                <w:rFonts w:cs="Arial"/>
                <w:b w:val="0"/>
                <w:bCs/>
                <w:sz w:val="16"/>
                <w:szCs w:val="16"/>
                <w:lang w:eastAsia="es-MX"/>
              </w:rPr>
            </w:pPr>
            <w:r w:rsidRPr="00D97C98">
              <w:rPr>
                <w:rFonts w:cs="Arial"/>
                <w:b w:val="0"/>
                <w:bCs/>
                <w:sz w:val="16"/>
                <w:szCs w:val="16"/>
              </w:rPr>
              <w:t>0,08%</w:t>
            </w:r>
          </w:p>
        </w:tc>
      </w:tr>
      <w:tr w:rsidR="00123CBA" w:rsidRPr="00D97C98" w14:paraId="089F2440" w14:textId="77777777" w:rsidTr="00D97C98">
        <w:trPr>
          <w:gridAfter w:val="1"/>
          <w:wAfter w:w="36" w:type="dxa"/>
          <w:trHeight w:val="42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FAE8F16" w14:textId="746A3CB9" w:rsidR="00123CBA" w:rsidRPr="00D97C98" w:rsidRDefault="00123CBA" w:rsidP="00123CBA">
            <w:pPr>
              <w:pStyle w:val="Ttuloscuadros"/>
              <w:tabs>
                <w:tab w:val="left" w:pos="5320"/>
                <w:tab w:val="left" w:pos="9270"/>
              </w:tabs>
              <w:spacing w:after="120"/>
              <w:jc w:val="left"/>
              <w:rPr>
                <w:rFonts w:cs="Arial"/>
                <w:b/>
                <w:bCs w:val="0"/>
                <w:sz w:val="16"/>
                <w:szCs w:val="16"/>
                <w:lang w:eastAsia="es-MX"/>
              </w:rPr>
            </w:pPr>
            <w:r w:rsidRPr="00D97C98">
              <w:rPr>
                <w:rFonts w:cs="Arial"/>
                <w:color w:val="000000"/>
                <w:sz w:val="16"/>
                <w:szCs w:val="16"/>
              </w:rPr>
              <w:t>Total</w:t>
            </w:r>
          </w:p>
        </w:tc>
        <w:tc>
          <w:tcPr>
            <w:tcW w:w="1046" w:type="dxa"/>
            <w:vAlign w:val="center"/>
            <w:hideMark/>
          </w:tcPr>
          <w:p w14:paraId="26B427F8" w14:textId="2AA8729B"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 xml:space="preserve">20 959 909 </w:t>
            </w:r>
          </w:p>
        </w:tc>
        <w:tc>
          <w:tcPr>
            <w:tcW w:w="1046" w:type="dxa"/>
            <w:vAlign w:val="center"/>
            <w:hideMark/>
          </w:tcPr>
          <w:p w14:paraId="686E1AED" w14:textId="1B415F48"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 xml:space="preserve">21 111 507 </w:t>
            </w:r>
          </w:p>
        </w:tc>
        <w:tc>
          <w:tcPr>
            <w:tcW w:w="1396" w:type="dxa"/>
            <w:vAlign w:val="center"/>
            <w:hideMark/>
          </w:tcPr>
          <w:p w14:paraId="630BDB06" w14:textId="35F0FEC2"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100,0%</w:t>
            </w:r>
          </w:p>
        </w:tc>
        <w:tc>
          <w:tcPr>
            <w:tcW w:w="1315" w:type="dxa"/>
            <w:vAlign w:val="center"/>
            <w:hideMark/>
          </w:tcPr>
          <w:p w14:paraId="58DE68B8" w14:textId="796A3BC1"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 xml:space="preserve">1 595 087 806 </w:t>
            </w:r>
          </w:p>
        </w:tc>
        <w:tc>
          <w:tcPr>
            <w:tcW w:w="1275" w:type="dxa"/>
            <w:vAlign w:val="center"/>
            <w:hideMark/>
          </w:tcPr>
          <w:p w14:paraId="67643821" w14:textId="7B834ECD" w:rsidR="00123CBA" w:rsidRPr="00D97C98" w:rsidRDefault="00123CBA" w:rsidP="00123CBA">
            <w:pPr>
              <w:pStyle w:val="Ttuloscuadros"/>
              <w:tabs>
                <w:tab w:val="left" w:pos="5320"/>
                <w:tab w:val="left" w:pos="9270"/>
              </w:tabs>
              <w:spacing w:after="12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 xml:space="preserve">2 514 887 858 </w:t>
            </w:r>
          </w:p>
        </w:tc>
        <w:tc>
          <w:tcPr>
            <w:tcW w:w="1387" w:type="dxa"/>
            <w:vAlign w:val="center"/>
            <w:hideMark/>
          </w:tcPr>
          <w:p w14:paraId="0ACA294D" w14:textId="7772F9B1" w:rsidR="00123CBA" w:rsidRPr="00D97C98" w:rsidRDefault="00123CBA" w:rsidP="00D97C98">
            <w:pPr>
              <w:pStyle w:val="Ttuloscuadros"/>
              <w:tabs>
                <w:tab w:val="left" w:pos="5320"/>
                <w:tab w:val="left" w:pos="9270"/>
              </w:tabs>
              <w:spacing w:after="120"/>
              <w:cnfStyle w:val="000000000000" w:firstRow="0" w:lastRow="0" w:firstColumn="0" w:lastColumn="0" w:oddVBand="0" w:evenVBand="0" w:oddHBand="0" w:evenHBand="0" w:firstRowFirstColumn="0" w:firstRowLastColumn="0" w:lastRowFirstColumn="0" w:lastRowLastColumn="0"/>
              <w:rPr>
                <w:rFonts w:cs="Arial"/>
                <w:sz w:val="16"/>
                <w:szCs w:val="16"/>
                <w:lang w:eastAsia="es-MX"/>
              </w:rPr>
            </w:pPr>
            <w:r w:rsidRPr="00D97C98">
              <w:rPr>
                <w:rFonts w:cs="Arial"/>
                <w:sz w:val="16"/>
                <w:szCs w:val="16"/>
              </w:rPr>
              <w:t>100,00%</w:t>
            </w:r>
          </w:p>
        </w:tc>
      </w:tr>
    </w:tbl>
    <w:p w14:paraId="579566DD" w14:textId="77777777" w:rsidR="00EF6F28" w:rsidRPr="006E6390" w:rsidRDefault="00EF6F28" w:rsidP="00D97C98">
      <w:pPr>
        <w:pStyle w:val="Ttuloscuadros"/>
        <w:tabs>
          <w:tab w:val="left" w:pos="5320"/>
          <w:tab w:val="left" w:pos="9270"/>
        </w:tabs>
        <w:spacing w:after="120"/>
        <w:jc w:val="both"/>
        <w:rPr>
          <w:rFonts w:cs="Arial"/>
          <w:lang w:eastAsia="es-MX"/>
        </w:rPr>
      </w:pPr>
    </w:p>
    <w:p w14:paraId="199810B1" w14:textId="77777777" w:rsidR="00873CC3" w:rsidRPr="006E6390" w:rsidRDefault="00873CC3" w:rsidP="00873CC3">
      <w:pPr>
        <w:pStyle w:val="Ttulo4"/>
        <w:tabs>
          <w:tab w:val="left" w:pos="9270"/>
        </w:tabs>
        <w:rPr>
          <w:rFonts w:cs="Arial"/>
          <w:lang w:eastAsia="es-MX"/>
        </w:rPr>
      </w:pPr>
      <w:r w:rsidRPr="006E6390">
        <w:rPr>
          <w:rFonts w:cs="Arial"/>
          <w:lang w:eastAsia="es-MX"/>
        </w:rPr>
        <w:t>Capacidad instalada de producción</w:t>
      </w:r>
    </w:p>
    <w:p w14:paraId="79C5190F" w14:textId="7BAA1C75" w:rsidR="00F41263" w:rsidRDefault="00F41263" w:rsidP="000D6BF1">
      <w:pPr>
        <w:spacing w:after="0"/>
        <w:rPr>
          <w:rFonts w:cs="Arial"/>
        </w:rPr>
      </w:pPr>
      <w:r w:rsidRPr="006E6390">
        <w:rPr>
          <w:rFonts w:cs="Arial"/>
        </w:rPr>
        <w:t xml:space="preserve">El Sistema Nacional de Combustibles es el conjunto de infraestructura que de forma sistémica y sistemática es utilizado por RECOPE para realizar el abastecimiento de la demanda de combustibles; está conformado por subsistemas </w:t>
      </w:r>
      <w:r w:rsidR="002563ED" w:rsidRPr="00B34EDD">
        <w:rPr>
          <w:rFonts w:cs="Arial"/>
        </w:rPr>
        <w:t>interrelacionados</w:t>
      </w:r>
      <w:r w:rsidRPr="006E6390">
        <w:rPr>
          <w:rFonts w:cs="Arial"/>
        </w:rPr>
        <w:t>, de acuerdo con las actividades funcionales de la empresa, según se indica a continuación:</w:t>
      </w:r>
    </w:p>
    <w:p w14:paraId="4812BD66" w14:textId="77777777" w:rsidR="00952956" w:rsidRPr="006E6390" w:rsidRDefault="00952956" w:rsidP="000D6BF1">
      <w:pPr>
        <w:spacing w:after="0"/>
        <w:rPr>
          <w:rFonts w:cs="Arial"/>
        </w:rPr>
      </w:pPr>
    </w:p>
    <w:p w14:paraId="195F4E96" w14:textId="5B3D24E0" w:rsidR="00F41263" w:rsidRDefault="00F41263" w:rsidP="000D6BF1">
      <w:pPr>
        <w:spacing w:after="0"/>
        <w:rPr>
          <w:rFonts w:cs="Arial"/>
        </w:rPr>
      </w:pPr>
      <w:r w:rsidRPr="006E6390">
        <w:rPr>
          <w:rFonts w:cs="Arial"/>
          <w:u w:val="single"/>
        </w:rPr>
        <w:t>Importación:</w:t>
      </w:r>
      <w:r w:rsidRPr="006E6390">
        <w:rPr>
          <w:rFonts w:cs="Arial"/>
        </w:rPr>
        <w:t xml:space="preserve"> Dado que Costa Rica no es un país productor de hidrocarburos, el aprovisionamiento de combustibles se realiza por medio de su importación, ya sea en la forma de crudo, productos intermedios o productos terminados.  La casi totalidad de las importaciones se realiza por la Terminal Portuaria Petrolera del Atlántico, ubicada en el Puerto de Moín, con algunos desembarques ocasionales en Puerto Caldera y compras de GLP vía cisternas a otros países de Centroamérica.</w:t>
      </w:r>
    </w:p>
    <w:p w14:paraId="53BC8283" w14:textId="77777777" w:rsidR="00952956" w:rsidRPr="006E6390" w:rsidRDefault="00952956" w:rsidP="00640333">
      <w:pPr>
        <w:spacing w:after="0"/>
        <w:rPr>
          <w:rFonts w:cs="Arial"/>
        </w:rPr>
      </w:pPr>
    </w:p>
    <w:p w14:paraId="2A848D98" w14:textId="3E98F7D9" w:rsidR="00F41263" w:rsidRDefault="00F41263" w:rsidP="00640333">
      <w:pPr>
        <w:spacing w:after="0"/>
        <w:rPr>
          <w:rFonts w:cs="Arial"/>
        </w:rPr>
      </w:pPr>
      <w:r w:rsidRPr="006E6390">
        <w:rPr>
          <w:rFonts w:cs="Arial"/>
        </w:rPr>
        <w:t xml:space="preserve">Dicha terminal consiste en </w:t>
      </w:r>
      <w:r w:rsidR="004A4172" w:rsidRPr="006E6390">
        <w:rPr>
          <w:rFonts w:cs="Arial"/>
        </w:rPr>
        <w:t>el</w:t>
      </w:r>
      <w:r w:rsidRPr="006E6390">
        <w:rPr>
          <w:rFonts w:cs="Arial"/>
        </w:rPr>
        <w:t xml:space="preserve"> muelle</w:t>
      </w:r>
      <w:r w:rsidR="004A4172" w:rsidRPr="006E6390">
        <w:rPr>
          <w:rFonts w:cs="Arial"/>
        </w:rPr>
        <w:t xml:space="preserve"> 5.1</w:t>
      </w:r>
      <w:r w:rsidR="007F5228">
        <w:rPr>
          <w:rFonts w:cs="Arial"/>
        </w:rPr>
        <w:t>.</w:t>
      </w:r>
      <w:r w:rsidR="007F5228" w:rsidRPr="006E6390">
        <w:rPr>
          <w:rFonts w:cs="Arial"/>
        </w:rPr>
        <w:t xml:space="preserve"> </w:t>
      </w:r>
      <w:r w:rsidR="004A4172" w:rsidRPr="006E6390">
        <w:rPr>
          <w:rFonts w:cs="Arial"/>
        </w:rPr>
        <w:t>de tipo</w:t>
      </w:r>
      <w:r w:rsidRPr="006E6390">
        <w:rPr>
          <w:rFonts w:cs="Arial"/>
        </w:rPr>
        <w:t xml:space="preserve"> fijo de capacidad para recibir barcos de hasta </w:t>
      </w:r>
      <w:r w:rsidR="00BD30CB" w:rsidRPr="006E6390">
        <w:rPr>
          <w:rFonts w:cs="Arial"/>
        </w:rPr>
        <w:t>6</w:t>
      </w:r>
      <w:r w:rsidRPr="006E6390">
        <w:rPr>
          <w:rFonts w:cs="Arial"/>
        </w:rPr>
        <w:t>0</w:t>
      </w:r>
      <w:r w:rsidR="00B23A3B">
        <w:rPr>
          <w:rFonts w:cs="Arial"/>
        </w:rPr>
        <w:t xml:space="preserve"> </w:t>
      </w:r>
      <w:r w:rsidRPr="006E6390">
        <w:rPr>
          <w:rFonts w:cs="Arial"/>
        </w:rPr>
        <w:t>000 toneladas de peso muerto, una eslora máxima de 2</w:t>
      </w:r>
      <w:r w:rsidR="00BD30CB" w:rsidRPr="006E6390">
        <w:rPr>
          <w:rFonts w:cs="Arial"/>
        </w:rPr>
        <w:t xml:space="preserve">13 </w:t>
      </w:r>
      <w:r w:rsidRPr="006E6390">
        <w:rPr>
          <w:rFonts w:cs="Arial"/>
        </w:rPr>
        <w:t>m</w:t>
      </w:r>
      <w:r w:rsidR="00BD30CB" w:rsidRPr="006E6390">
        <w:rPr>
          <w:rFonts w:cs="Arial"/>
        </w:rPr>
        <w:t>etros</w:t>
      </w:r>
      <w:r w:rsidRPr="006E6390">
        <w:rPr>
          <w:rFonts w:cs="Arial"/>
        </w:rPr>
        <w:t xml:space="preserve"> y un calado de 1</w:t>
      </w:r>
      <w:r w:rsidR="00BD30CB" w:rsidRPr="006E6390">
        <w:rPr>
          <w:rFonts w:cs="Arial"/>
        </w:rPr>
        <w:t xml:space="preserve">1,8 </w:t>
      </w:r>
      <w:r w:rsidRPr="006E6390">
        <w:rPr>
          <w:rFonts w:cs="Arial"/>
        </w:rPr>
        <w:t>m</w:t>
      </w:r>
      <w:r w:rsidR="00BD30CB" w:rsidRPr="006E6390">
        <w:rPr>
          <w:rFonts w:cs="Arial"/>
        </w:rPr>
        <w:t>etros</w:t>
      </w:r>
      <w:r w:rsidRPr="006E6390">
        <w:rPr>
          <w:rFonts w:cs="Arial"/>
        </w:rPr>
        <w:t>, un sistema de tuberías con una longitud aproximada de 3,5 km y un diámetro variable, de acuerdo con el tipo de producto que se descarga e interconecta el muelle con l</w:t>
      </w:r>
      <w:r w:rsidR="00BD30CB" w:rsidRPr="006E6390">
        <w:rPr>
          <w:rFonts w:cs="Arial"/>
        </w:rPr>
        <w:t>a</w:t>
      </w:r>
      <w:r w:rsidRPr="006E6390">
        <w:rPr>
          <w:rFonts w:cs="Arial"/>
        </w:rPr>
        <w:t xml:space="preserve"> </w:t>
      </w:r>
      <w:r w:rsidR="00BD30CB" w:rsidRPr="006E6390">
        <w:rPr>
          <w:rFonts w:cs="Arial"/>
        </w:rPr>
        <w:t>Terminal</w:t>
      </w:r>
      <w:r w:rsidRPr="006E6390">
        <w:rPr>
          <w:rFonts w:cs="Arial"/>
        </w:rPr>
        <w:t xml:space="preserve"> de Moín.  </w:t>
      </w:r>
      <w:r w:rsidR="00640333">
        <w:rPr>
          <w:rFonts w:cs="Arial"/>
        </w:rPr>
        <w:t>E</w:t>
      </w:r>
      <w:r w:rsidR="00127F95" w:rsidRPr="006E6390">
        <w:rPr>
          <w:rFonts w:cs="Arial"/>
        </w:rPr>
        <w:t>n octubre de 2020 entró</w:t>
      </w:r>
      <w:r w:rsidR="004A4172" w:rsidRPr="006E6390">
        <w:rPr>
          <w:rFonts w:cs="Arial"/>
        </w:rPr>
        <w:t xml:space="preserve"> en operación el muelle 5.0 con capacidad para barcos de hasta 80</w:t>
      </w:r>
      <w:r w:rsidR="00B23A3B">
        <w:rPr>
          <w:rFonts w:cs="Arial"/>
        </w:rPr>
        <w:t xml:space="preserve"> </w:t>
      </w:r>
      <w:r w:rsidR="004A4172" w:rsidRPr="006E6390">
        <w:rPr>
          <w:rFonts w:cs="Arial"/>
        </w:rPr>
        <w:t xml:space="preserve">000 TPM, con una eslora total de 248m y un calado a plena carga de 14m, manga de 32,2m.  Este consiste en duques de alba, es decir, el barco no se amarra a una pantalla sino a unas estructuras, contará con la última tecnología en acople y desacople, brazos de carga automatizados, permitiendo las operaciones en condiciones de mayor </w:t>
      </w:r>
      <w:r w:rsidR="004A4172" w:rsidRPr="006E6390">
        <w:rPr>
          <w:rFonts w:cs="Arial"/>
        </w:rPr>
        <w:lastRenderedPageBreak/>
        <w:t>oleaje, nocturnas y por supuesto, de barcos más grandes.</w:t>
      </w:r>
      <w:r w:rsidR="00640333">
        <w:rPr>
          <w:rFonts w:cs="Arial"/>
        </w:rPr>
        <w:t xml:space="preserve"> </w:t>
      </w:r>
      <w:r w:rsidRPr="006E6390">
        <w:rPr>
          <w:rFonts w:cs="Arial"/>
        </w:rPr>
        <w:t>Adicionalmente, se cuenta con todos los sistemas de protección y seguridad propios de este tipo de obras.</w:t>
      </w:r>
    </w:p>
    <w:p w14:paraId="10FEFBB8" w14:textId="77777777" w:rsidR="00952956" w:rsidRPr="006E6390" w:rsidRDefault="00952956" w:rsidP="00640333">
      <w:pPr>
        <w:spacing w:after="0"/>
        <w:rPr>
          <w:rFonts w:cs="Arial"/>
        </w:rPr>
      </w:pPr>
    </w:p>
    <w:p w14:paraId="3A38CE5F" w14:textId="43C42809" w:rsidR="007D0F36" w:rsidRDefault="30554478" w:rsidP="30554478">
      <w:pPr>
        <w:spacing w:after="0"/>
        <w:rPr>
          <w:rFonts w:ascii="Tahoma" w:eastAsia="Tahoma" w:hAnsi="Tahoma" w:cs="Tahoma"/>
          <w:color w:val="222222"/>
        </w:rPr>
      </w:pPr>
      <w:r w:rsidRPr="30554478">
        <w:rPr>
          <w:rFonts w:cs="Arial"/>
          <w:u w:val="single"/>
        </w:rPr>
        <w:t>Refinación:</w:t>
      </w:r>
      <w:r w:rsidRPr="30554478">
        <w:rPr>
          <w:rFonts w:cs="Arial"/>
        </w:rPr>
        <w:t xml:space="preserve"> La planta de refinación salió de operación en agosto de 2011.  En la actualidad, solamente se realiza la formulación de los combustibles a partir del producto importado, para cumplir con las especificaciones de calidad.  Durante el año 2022, se procedió al proceso de desmantelamiento de la planta de refinación de Moín, a cargo de la Gerencia de Operaciones, con personal de la empresa, el cual consiste en la remoción de tubería, identificación de equipos que se encuentran en buen estado como motores, válvulas, instrumentación que se almacenarán para ser utilizados en las terminales de RECOPE, El valor en libros de estos activos era de </w:t>
      </w:r>
      <w:r w:rsidRPr="30554478">
        <w:rPr>
          <w:rFonts w:eastAsia="Arial" w:cs="Arial"/>
          <w:color w:val="4D5156"/>
          <w:sz w:val="21"/>
          <w:szCs w:val="21"/>
        </w:rPr>
        <w:t>₡</w:t>
      </w:r>
      <w:r w:rsidRPr="30554478">
        <w:rPr>
          <w:rFonts w:ascii="Tahoma" w:eastAsia="Tahoma" w:hAnsi="Tahoma" w:cs="Tahoma"/>
          <w:color w:val="222222"/>
        </w:rPr>
        <w:t>2 172 millones, sin embargo, no será hasta su conclusión que se determine cuánto es posible rescatar.</w:t>
      </w:r>
    </w:p>
    <w:p w14:paraId="295EF0B8" w14:textId="5CE349B7" w:rsidR="30554478" w:rsidRDefault="30554478" w:rsidP="30554478">
      <w:pPr>
        <w:spacing w:after="0"/>
        <w:rPr>
          <w:rFonts w:cs="Arial"/>
        </w:rPr>
      </w:pPr>
    </w:p>
    <w:p w14:paraId="3051D74C" w14:textId="3151AC2F" w:rsidR="007D0F36" w:rsidRDefault="007D0F36" w:rsidP="000D6BF1">
      <w:pPr>
        <w:spacing w:after="0"/>
        <w:rPr>
          <w:rFonts w:cs="Arial"/>
        </w:rPr>
      </w:pPr>
      <w:r w:rsidRPr="00B34EDD">
        <w:rPr>
          <w:rFonts w:cs="Arial"/>
        </w:rPr>
        <w:t>En la sección 3.1.22 del presente documento, se detalla lo correspondiente a</w:t>
      </w:r>
      <w:r w:rsidR="00F41263" w:rsidRPr="00B34EDD">
        <w:rPr>
          <w:rFonts w:cs="Arial"/>
        </w:rPr>
        <w:t xml:space="preserve"> la distribución y transporte de los productos</w:t>
      </w:r>
      <w:r w:rsidRPr="00B34EDD">
        <w:rPr>
          <w:rFonts w:cs="Arial"/>
        </w:rPr>
        <w:t>.</w:t>
      </w:r>
    </w:p>
    <w:p w14:paraId="25475E38" w14:textId="77777777" w:rsidR="006C457D" w:rsidRPr="00B34EDD" w:rsidRDefault="006C457D" w:rsidP="001F388C">
      <w:pPr>
        <w:rPr>
          <w:rFonts w:cs="Arial"/>
        </w:rPr>
      </w:pPr>
    </w:p>
    <w:p w14:paraId="4EBD4EB5" w14:textId="77777777" w:rsidR="00F41263" w:rsidRPr="00B34EDD" w:rsidRDefault="00F41263" w:rsidP="008F23AD">
      <w:pPr>
        <w:pStyle w:val="Ttulo3"/>
        <w:rPr>
          <w:rFonts w:cs="Arial"/>
        </w:rPr>
      </w:pPr>
      <w:bookmarkStart w:id="112" w:name="_Toc38630823"/>
      <w:r w:rsidRPr="00B34EDD">
        <w:rPr>
          <w:rFonts w:cs="Arial"/>
        </w:rPr>
        <w:t>3.1.20. Mercado que abastece</w:t>
      </w:r>
      <w:bookmarkEnd w:id="112"/>
    </w:p>
    <w:p w14:paraId="4F815643" w14:textId="411553BB" w:rsidR="00F41263" w:rsidRDefault="00F41263" w:rsidP="000D6BF1">
      <w:pPr>
        <w:spacing w:after="0"/>
        <w:rPr>
          <w:rFonts w:cs="Arial"/>
          <w:lang w:eastAsia="es-MX"/>
        </w:rPr>
      </w:pPr>
      <w:r w:rsidRPr="00B34EDD">
        <w:rPr>
          <w:rFonts w:cs="Arial"/>
          <w:lang w:eastAsia="es-MX"/>
        </w:rPr>
        <w:t>RECOPE abastece la demanda nacional hidrocarburos.</w:t>
      </w:r>
      <w:r w:rsidR="00630EB7" w:rsidRPr="00B34EDD">
        <w:rPr>
          <w:rFonts w:cs="Arial"/>
          <w:lang w:eastAsia="es-MX"/>
        </w:rPr>
        <w:t xml:space="preserve"> </w:t>
      </w:r>
      <w:r w:rsidR="00B23A3B" w:rsidRPr="00B34EDD">
        <w:rPr>
          <w:rFonts w:cs="Arial"/>
          <w:lang w:eastAsia="es-MX"/>
        </w:rPr>
        <w:t xml:space="preserve"> </w:t>
      </w:r>
      <w:r w:rsidRPr="00B34EDD">
        <w:rPr>
          <w:rFonts w:cs="Arial"/>
          <w:lang w:eastAsia="es-MX"/>
        </w:rPr>
        <w:t>La empresa categoriza a sus clientes por: Cliente Directo (Industrias, Constructoras, Compañías de Transporte y otras), Distribuidores sin punto fijo de venta (</w:t>
      </w:r>
      <w:r w:rsidR="00D260A2" w:rsidRPr="00D260A2">
        <w:rPr>
          <w:rFonts w:cs="Arial"/>
          <w:i/>
          <w:iCs/>
          <w:lang w:eastAsia="es-MX"/>
        </w:rPr>
        <w:t>peddlers</w:t>
      </w:r>
      <w:r w:rsidRPr="00B34EDD">
        <w:rPr>
          <w:rFonts w:cs="Arial"/>
          <w:lang w:eastAsia="es-MX"/>
        </w:rPr>
        <w:t>) y Estaciones de Servicio.  El detalle de las ventas a los clientes por sector económico se presenta a continuación.</w:t>
      </w:r>
    </w:p>
    <w:p w14:paraId="6A39FE3B" w14:textId="77777777" w:rsidR="006C457D" w:rsidRPr="00B34EDD" w:rsidRDefault="006C457D" w:rsidP="000D6BF1">
      <w:pPr>
        <w:spacing w:after="0"/>
        <w:rPr>
          <w:rFonts w:cs="Arial"/>
          <w:lang w:eastAsia="es-MX"/>
        </w:rPr>
      </w:pPr>
    </w:p>
    <w:p w14:paraId="2FD72062" w14:textId="47B8D08E" w:rsidR="00F41263" w:rsidRDefault="00F41263" w:rsidP="006C457D">
      <w:pPr>
        <w:spacing w:after="0"/>
        <w:rPr>
          <w:rFonts w:cs="Arial"/>
          <w:lang w:eastAsia="es-MX"/>
        </w:rPr>
      </w:pPr>
      <w:r w:rsidRPr="00B34EDD">
        <w:rPr>
          <w:rFonts w:cs="Arial"/>
          <w:lang w:eastAsia="es-MX"/>
        </w:rPr>
        <w:t xml:space="preserve">Las ventas de combustibles </w:t>
      </w:r>
      <w:r w:rsidR="00A677B5" w:rsidRPr="00B34EDD">
        <w:rPr>
          <w:rFonts w:cs="Arial"/>
          <w:lang w:eastAsia="es-MX"/>
        </w:rPr>
        <w:t>crecieron</w:t>
      </w:r>
      <w:r w:rsidRPr="00B34EDD">
        <w:rPr>
          <w:rFonts w:cs="Arial"/>
          <w:lang w:eastAsia="es-MX"/>
        </w:rPr>
        <w:t xml:space="preserve"> </w:t>
      </w:r>
      <w:r w:rsidR="000118C9" w:rsidRPr="00B34EDD">
        <w:rPr>
          <w:rFonts w:cs="Arial"/>
          <w:lang w:eastAsia="es-MX"/>
        </w:rPr>
        <w:t>15</w:t>
      </w:r>
      <w:r w:rsidR="0040617B" w:rsidRPr="00B34EDD">
        <w:rPr>
          <w:rFonts w:cs="Arial"/>
          <w:lang w:eastAsia="es-MX"/>
        </w:rPr>
        <w:t>,</w:t>
      </w:r>
      <w:r w:rsidR="000118C9" w:rsidRPr="00B34EDD">
        <w:rPr>
          <w:rFonts w:cs="Arial"/>
          <w:lang w:eastAsia="es-MX"/>
        </w:rPr>
        <w:t>8</w:t>
      </w:r>
      <w:r w:rsidRPr="00B34EDD">
        <w:rPr>
          <w:rFonts w:cs="Arial"/>
          <w:lang w:eastAsia="es-MX"/>
        </w:rPr>
        <w:t xml:space="preserve">% </w:t>
      </w:r>
      <w:r w:rsidR="00A677B5" w:rsidRPr="00B34EDD">
        <w:rPr>
          <w:rFonts w:cs="Arial"/>
          <w:lang w:eastAsia="es-MX"/>
        </w:rPr>
        <w:t>en</w:t>
      </w:r>
      <w:r w:rsidRPr="00B34EDD">
        <w:rPr>
          <w:rFonts w:cs="Arial"/>
          <w:lang w:eastAsia="es-MX"/>
        </w:rPr>
        <w:t xml:space="preserve"> </w:t>
      </w:r>
      <w:r w:rsidR="00A677B5" w:rsidRPr="00B34EDD">
        <w:rPr>
          <w:rFonts w:cs="Arial"/>
          <w:lang w:eastAsia="es-MX"/>
        </w:rPr>
        <w:t>20</w:t>
      </w:r>
      <w:r w:rsidR="000118C9" w:rsidRPr="00B34EDD">
        <w:rPr>
          <w:rFonts w:cs="Arial"/>
          <w:lang w:eastAsia="es-MX"/>
        </w:rPr>
        <w:t>21</w:t>
      </w:r>
      <w:r w:rsidR="0033612C" w:rsidRPr="00B34EDD">
        <w:rPr>
          <w:rFonts w:cs="Arial"/>
          <w:lang w:eastAsia="es-MX"/>
        </w:rPr>
        <w:t xml:space="preserve"> </w:t>
      </w:r>
      <w:r w:rsidR="00A677B5" w:rsidRPr="00B34EDD">
        <w:rPr>
          <w:rFonts w:cs="Arial"/>
          <w:lang w:eastAsia="es-MX"/>
        </w:rPr>
        <w:t>respecto a 20</w:t>
      </w:r>
      <w:r w:rsidR="000118C9" w:rsidRPr="00B34EDD">
        <w:rPr>
          <w:rFonts w:cs="Arial"/>
          <w:lang w:eastAsia="es-MX"/>
        </w:rPr>
        <w:t>20</w:t>
      </w:r>
      <w:r w:rsidRPr="00B34EDD">
        <w:rPr>
          <w:rFonts w:cs="Arial"/>
          <w:lang w:eastAsia="es-MX"/>
        </w:rPr>
        <w:t>.</w:t>
      </w:r>
      <w:r w:rsidR="000118C9" w:rsidRPr="00B34EDD">
        <w:rPr>
          <w:rFonts w:cs="Arial"/>
          <w:lang w:eastAsia="es-MX"/>
        </w:rPr>
        <w:t xml:space="preserve"> P</w:t>
      </w:r>
      <w:r w:rsidR="00F84CFC" w:rsidRPr="00B34EDD">
        <w:rPr>
          <w:rFonts w:cs="Arial"/>
          <w:lang w:eastAsia="es-MX"/>
        </w:rPr>
        <w:t xml:space="preserve">or efecto de </w:t>
      </w:r>
      <w:r w:rsidR="000118C9" w:rsidRPr="00B34EDD">
        <w:rPr>
          <w:rFonts w:cs="Arial"/>
          <w:lang w:eastAsia="es-MX"/>
        </w:rPr>
        <w:t xml:space="preserve">la flexibilización de las </w:t>
      </w:r>
      <w:r w:rsidR="00F84CFC" w:rsidRPr="00B34EDD">
        <w:rPr>
          <w:rFonts w:cs="Arial"/>
          <w:lang w:eastAsia="es-MX"/>
        </w:rPr>
        <w:t xml:space="preserve">medidas </w:t>
      </w:r>
      <w:r w:rsidR="0000505C" w:rsidRPr="00B34EDD">
        <w:rPr>
          <w:rFonts w:cs="Arial"/>
          <w:lang w:eastAsia="es-MX"/>
        </w:rPr>
        <w:t>de mitigación contra la</w:t>
      </w:r>
      <w:r w:rsidR="00F84CFC" w:rsidRPr="00B34EDD">
        <w:rPr>
          <w:rFonts w:cs="Arial"/>
          <w:lang w:eastAsia="es-MX"/>
        </w:rPr>
        <w:t xml:space="preserve"> Covid-19</w:t>
      </w:r>
      <w:r w:rsidR="000118C9" w:rsidRPr="00B34EDD">
        <w:rPr>
          <w:rFonts w:cs="Arial"/>
          <w:lang w:eastAsia="es-MX"/>
        </w:rPr>
        <w:t xml:space="preserve"> por la vacunación</w:t>
      </w:r>
      <w:r w:rsidR="00F84CFC" w:rsidRPr="00B34EDD">
        <w:rPr>
          <w:rFonts w:cs="Arial"/>
          <w:lang w:eastAsia="es-MX"/>
        </w:rPr>
        <w:t xml:space="preserve">, </w:t>
      </w:r>
      <w:r w:rsidR="00D4172F">
        <w:rPr>
          <w:rFonts w:ascii="Helvetica" w:eastAsia="Arial" w:hAnsi="Helvetica" w:cs="Arial"/>
        </w:rPr>
        <w:t>en el año 2022 el incremento fue del 6,</w:t>
      </w:r>
      <w:r w:rsidR="00B1529C">
        <w:rPr>
          <w:rFonts w:ascii="Helvetica" w:eastAsia="Arial" w:hAnsi="Helvetica" w:cs="Arial"/>
        </w:rPr>
        <w:t>3</w:t>
      </w:r>
      <w:r w:rsidR="00D4172F">
        <w:rPr>
          <w:rFonts w:ascii="Helvetica" w:eastAsia="Arial" w:hAnsi="Helvetica" w:cs="Arial"/>
        </w:rPr>
        <w:t>% respecto de 2021</w:t>
      </w:r>
      <w:r w:rsidR="00F84CFC" w:rsidRPr="00B34EDD">
        <w:rPr>
          <w:rFonts w:cs="Arial"/>
          <w:lang w:eastAsia="es-MX"/>
        </w:rPr>
        <w:t>.  El</w:t>
      </w:r>
      <w:r w:rsidRPr="00B34EDD">
        <w:rPr>
          <w:rFonts w:cs="Arial"/>
          <w:lang w:eastAsia="es-MX"/>
        </w:rPr>
        <w:t xml:space="preserve"> </w:t>
      </w:r>
      <w:r w:rsidR="00617F88" w:rsidRPr="00B34EDD">
        <w:rPr>
          <w:rFonts w:cs="Arial"/>
          <w:lang w:eastAsia="es-MX"/>
        </w:rPr>
        <w:t>sector</w:t>
      </w:r>
      <w:r w:rsidR="00D30787" w:rsidRPr="00B34EDD">
        <w:rPr>
          <w:rFonts w:cs="Arial"/>
          <w:lang w:eastAsia="es-MX"/>
        </w:rPr>
        <w:t xml:space="preserve"> </w:t>
      </w:r>
      <w:r w:rsidR="00617F88" w:rsidRPr="00B34EDD">
        <w:rPr>
          <w:rFonts w:cs="Arial"/>
          <w:lang w:eastAsia="es-MX"/>
        </w:rPr>
        <w:t>que</w:t>
      </w:r>
      <w:r w:rsidR="00D30787" w:rsidRPr="00B34EDD">
        <w:rPr>
          <w:rFonts w:cs="Arial"/>
          <w:lang w:eastAsia="es-MX"/>
        </w:rPr>
        <w:t xml:space="preserve"> present</w:t>
      </w:r>
      <w:r w:rsidR="00B23A3B" w:rsidRPr="00B34EDD">
        <w:rPr>
          <w:rFonts w:cs="Arial"/>
          <w:lang w:eastAsia="es-MX"/>
        </w:rPr>
        <w:t>ó</w:t>
      </w:r>
      <w:r w:rsidR="00D30787" w:rsidRPr="00B34EDD">
        <w:rPr>
          <w:rFonts w:cs="Arial"/>
          <w:lang w:eastAsia="es-MX"/>
        </w:rPr>
        <w:t xml:space="preserve"> un mayor aumento </w:t>
      </w:r>
      <w:r w:rsidR="00B1529C">
        <w:rPr>
          <w:rFonts w:cs="Arial"/>
          <w:lang w:eastAsia="es-MX"/>
        </w:rPr>
        <w:t xml:space="preserve">en 2022 </w:t>
      </w:r>
      <w:r w:rsidR="00D30787" w:rsidRPr="00B34EDD">
        <w:rPr>
          <w:rFonts w:cs="Arial"/>
          <w:lang w:eastAsia="es-MX"/>
        </w:rPr>
        <w:t xml:space="preserve">fue </w:t>
      </w:r>
      <w:r w:rsidR="00B1529C">
        <w:rPr>
          <w:rFonts w:cs="Arial"/>
          <w:lang w:eastAsia="es-MX"/>
        </w:rPr>
        <w:t xml:space="preserve">Electricidad, Agua y Gas ya que años anteriores no se habían realizado importaciones de Búnker Térmico para el ICE; otro sector con una variación importante fue </w:t>
      </w:r>
      <w:r w:rsidR="00D30787" w:rsidRPr="00B34EDD">
        <w:rPr>
          <w:rFonts w:cs="Arial"/>
          <w:lang w:eastAsia="es-MX"/>
        </w:rPr>
        <w:t xml:space="preserve">Transportes, </w:t>
      </w:r>
      <w:r w:rsidR="00B23A3B" w:rsidRPr="00B34EDD">
        <w:rPr>
          <w:rFonts w:cs="Arial"/>
          <w:lang w:eastAsia="es-MX"/>
        </w:rPr>
        <w:t>A</w:t>
      </w:r>
      <w:r w:rsidR="00D30787" w:rsidRPr="00B34EDD">
        <w:rPr>
          <w:rFonts w:cs="Arial"/>
          <w:lang w:eastAsia="es-MX"/>
        </w:rPr>
        <w:t xml:space="preserve">lmacenamiento y </w:t>
      </w:r>
      <w:r w:rsidR="00B23A3B" w:rsidRPr="00B34EDD">
        <w:rPr>
          <w:rFonts w:cs="Arial"/>
          <w:lang w:eastAsia="es-MX"/>
        </w:rPr>
        <w:t>C</w:t>
      </w:r>
      <w:r w:rsidR="00D30787" w:rsidRPr="00B34EDD">
        <w:rPr>
          <w:rFonts w:cs="Arial"/>
          <w:lang w:eastAsia="es-MX"/>
        </w:rPr>
        <w:t>omunicacion</w:t>
      </w:r>
      <w:r w:rsidR="00D30787" w:rsidRPr="006E6390">
        <w:rPr>
          <w:rFonts w:cs="Arial"/>
          <w:lang w:eastAsia="es-MX"/>
        </w:rPr>
        <w:t xml:space="preserve">es un </w:t>
      </w:r>
      <w:r w:rsidR="00B1529C">
        <w:rPr>
          <w:rFonts w:cs="Arial"/>
          <w:lang w:eastAsia="es-MX"/>
        </w:rPr>
        <w:t>39,1</w:t>
      </w:r>
      <w:r w:rsidR="00D30787" w:rsidRPr="006E6390">
        <w:rPr>
          <w:rFonts w:cs="Arial"/>
          <w:lang w:eastAsia="es-MX"/>
        </w:rPr>
        <w:t xml:space="preserve">%, seguido de Industrias manufactureras un </w:t>
      </w:r>
      <w:r w:rsidR="00B1529C">
        <w:rPr>
          <w:rFonts w:cs="Arial"/>
          <w:lang w:eastAsia="es-MX"/>
        </w:rPr>
        <w:t>4,9</w:t>
      </w:r>
      <w:r w:rsidR="00D30787" w:rsidRPr="006E6390">
        <w:rPr>
          <w:rFonts w:cs="Arial"/>
          <w:lang w:eastAsia="es-MX"/>
        </w:rPr>
        <w:t>%</w:t>
      </w:r>
      <w:r w:rsidR="00B1529C">
        <w:rPr>
          <w:rFonts w:cs="Arial"/>
          <w:lang w:eastAsia="es-MX"/>
        </w:rPr>
        <w:t xml:space="preserve"> y Comercio con 3,1%, se apreció una baja importante en el sector Construcción de 10,3%</w:t>
      </w:r>
      <w:r w:rsidR="00D30787" w:rsidRPr="006E6390">
        <w:rPr>
          <w:rFonts w:cs="Arial"/>
          <w:lang w:eastAsia="es-MX"/>
        </w:rPr>
        <w:t xml:space="preserve">. </w:t>
      </w:r>
      <w:r w:rsidR="00B23A3B">
        <w:rPr>
          <w:rFonts w:cs="Arial"/>
          <w:lang w:eastAsia="es-MX"/>
        </w:rPr>
        <w:t xml:space="preserve"> </w:t>
      </w:r>
      <w:r w:rsidR="00D30787" w:rsidRPr="006E6390">
        <w:rPr>
          <w:rFonts w:cs="Arial"/>
          <w:lang w:eastAsia="es-MX"/>
        </w:rPr>
        <w:t>El sector más significativo es el Comercio</w:t>
      </w:r>
      <w:r w:rsidR="00617F88" w:rsidRPr="006E6390">
        <w:rPr>
          <w:rFonts w:cs="Arial"/>
          <w:lang w:eastAsia="es-MX"/>
        </w:rPr>
        <w:t xml:space="preserve"> </w:t>
      </w:r>
      <w:r w:rsidRPr="006E6390">
        <w:rPr>
          <w:rFonts w:cs="Arial"/>
          <w:lang w:eastAsia="es-MX"/>
        </w:rPr>
        <w:t>representa</w:t>
      </w:r>
      <w:r w:rsidR="00617F88" w:rsidRPr="006E6390">
        <w:rPr>
          <w:rFonts w:cs="Arial"/>
          <w:lang w:eastAsia="es-MX"/>
        </w:rPr>
        <w:t>ndo el</w:t>
      </w:r>
      <w:r w:rsidRPr="006E6390">
        <w:rPr>
          <w:rFonts w:cs="Arial"/>
          <w:lang w:eastAsia="es-MX"/>
        </w:rPr>
        <w:t xml:space="preserve"> </w:t>
      </w:r>
      <w:r w:rsidR="00B1529C" w:rsidRPr="006E6390">
        <w:rPr>
          <w:rFonts w:cs="Arial"/>
          <w:lang w:eastAsia="es-MX"/>
        </w:rPr>
        <w:t>8</w:t>
      </w:r>
      <w:r w:rsidR="00B1529C">
        <w:rPr>
          <w:rFonts w:cs="Arial"/>
          <w:lang w:eastAsia="es-MX"/>
        </w:rPr>
        <w:t>0</w:t>
      </w:r>
      <w:r w:rsidR="00D30787" w:rsidRPr="006E6390">
        <w:rPr>
          <w:rFonts w:cs="Arial"/>
          <w:lang w:eastAsia="es-MX"/>
        </w:rPr>
        <w:t>,</w:t>
      </w:r>
      <w:r w:rsidR="00B1529C">
        <w:rPr>
          <w:rFonts w:cs="Arial"/>
          <w:lang w:eastAsia="es-MX"/>
        </w:rPr>
        <w:t>3</w:t>
      </w:r>
      <w:r w:rsidRPr="006E6390">
        <w:rPr>
          <w:rFonts w:cs="Arial"/>
          <w:lang w:eastAsia="es-MX"/>
        </w:rPr>
        <w:t xml:space="preserve">% del total </w:t>
      </w:r>
      <w:r w:rsidR="00617F88" w:rsidRPr="006E6390">
        <w:rPr>
          <w:rFonts w:cs="Arial"/>
          <w:lang w:eastAsia="es-MX"/>
        </w:rPr>
        <w:t>pues</w:t>
      </w:r>
      <w:r w:rsidRPr="006E6390">
        <w:rPr>
          <w:rFonts w:cs="Arial"/>
          <w:lang w:eastAsia="es-MX"/>
        </w:rPr>
        <w:t xml:space="preserve"> agrupa a las estaciones de servicio. </w:t>
      </w:r>
      <w:r w:rsidR="00D43882" w:rsidRPr="006E6390">
        <w:rPr>
          <w:rFonts w:cs="Arial"/>
          <w:lang w:eastAsia="es-MX"/>
        </w:rPr>
        <w:t xml:space="preserve"> </w:t>
      </w:r>
      <w:r w:rsidRPr="006E6390">
        <w:rPr>
          <w:rFonts w:cs="Arial"/>
          <w:lang w:eastAsia="es-MX"/>
        </w:rPr>
        <w:t xml:space="preserve">Le sigue en importancia el sector </w:t>
      </w:r>
      <w:r w:rsidR="00B23A3B">
        <w:rPr>
          <w:rFonts w:cs="Arial"/>
          <w:lang w:eastAsia="es-MX"/>
        </w:rPr>
        <w:t>T</w:t>
      </w:r>
      <w:r w:rsidR="00D43882" w:rsidRPr="006E6390">
        <w:rPr>
          <w:rFonts w:cs="Arial"/>
          <w:lang w:eastAsia="es-MX"/>
        </w:rPr>
        <w:t xml:space="preserve">ransporte y </w:t>
      </w:r>
      <w:r w:rsidR="00B23A3B">
        <w:rPr>
          <w:rFonts w:cs="Arial"/>
          <w:lang w:eastAsia="es-MX"/>
        </w:rPr>
        <w:t>A</w:t>
      </w:r>
      <w:r w:rsidR="00D43882" w:rsidRPr="006E6390">
        <w:rPr>
          <w:rFonts w:cs="Arial"/>
          <w:lang w:eastAsia="es-MX"/>
        </w:rPr>
        <w:t>lmacenamiento</w:t>
      </w:r>
      <w:r w:rsidRPr="006E6390">
        <w:rPr>
          <w:rFonts w:cs="Arial"/>
          <w:lang w:eastAsia="es-MX"/>
        </w:rPr>
        <w:t xml:space="preserve"> que agrupa </w:t>
      </w:r>
      <w:r w:rsidR="00B1529C">
        <w:rPr>
          <w:rFonts w:cs="Arial"/>
          <w:lang w:eastAsia="es-MX"/>
        </w:rPr>
        <w:t>10,2</w:t>
      </w:r>
      <w:r w:rsidR="00696193" w:rsidRPr="006E6390">
        <w:rPr>
          <w:rFonts w:cs="Arial"/>
          <w:lang w:eastAsia="es-MX"/>
        </w:rPr>
        <w:t>% del total.</w:t>
      </w:r>
      <w:r w:rsidRPr="006E6390">
        <w:rPr>
          <w:rFonts w:cs="Arial"/>
          <w:lang w:eastAsia="es-MX"/>
        </w:rPr>
        <w:t xml:space="preserve"> </w:t>
      </w:r>
    </w:p>
    <w:p w14:paraId="45F975C0" w14:textId="77777777" w:rsidR="006C457D" w:rsidRPr="006E6390" w:rsidRDefault="006C457D" w:rsidP="00640333">
      <w:pPr>
        <w:spacing w:after="0"/>
        <w:rPr>
          <w:rFonts w:cs="Arial"/>
          <w:lang w:eastAsia="es-MX"/>
        </w:rPr>
      </w:pPr>
    </w:p>
    <w:p w14:paraId="716AC73C" w14:textId="77777777" w:rsidR="006C457D" w:rsidRPr="000D6BF1" w:rsidRDefault="006C457D">
      <w:pPr>
        <w:spacing w:after="0" w:line="240" w:lineRule="auto"/>
        <w:jc w:val="left"/>
        <w:rPr>
          <w:rFonts w:cs="Arial"/>
          <w:bCs/>
          <w:lang w:eastAsia="es-MX"/>
        </w:rPr>
      </w:pPr>
    </w:p>
    <w:p w14:paraId="5CD751B5" w14:textId="77777777" w:rsidR="00F41263" w:rsidRPr="006E6390" w:rsidRDefault="00F41263" w:rsidP="00F41263">
      <w:pPr>
        <w:pStyle w:val="Ttuloscuadros"/>
        <w:tabs>
          <w:tab w:val="left" w:pos="9270"/>
        </w:tabs>
        <w:rPr>
          <w:rFonts w:cs="Arial"/>
          <w:lang w:eastAsia="es-MX"/>
        </w:rPr>
      </w:pPr>
      <w:r w:rsidRPr="006E6390">
        <w:rPr>
          <w:rFonts w:cs="Arial"/>
          <w:lang w:eastAsia="es-MX"/>
        </w:rPr>
        <w:t xml:space="preserve">Cuadro N° </w:t>
      </w:r>
      <w:r w:rsidR="00A0537F" w:rsidRPr="006E6390">
        <w:rPr>
          <w:rFonts w:cs="Arial"/>
          <w:lang w:eastAsia="es-MX"/>
        </w:rPr>
        <w:t>2</w:t>
      </w:r>
      <w:r w:rsidR="004F7B3A" w:rsidRPr="006E6390">
        <w:rPr>
          <w:rFonts w:cs="Arial"/>
          <w:lang w:eastAsia="es-MX"/>
        </w:rPr>
        <w:t>1</w:t>
      </w:r>
    </w:p>
    <w:p w14:paraId="4B666744" w14:textId="77777777" w:rsidR="00F41263" w:rsidRPr="006E6390" w:rsidRDefault="00F41263" w:rsidP="00F41263">
      <w:pPr>
        <w:pStyle w:val="Ttuloscuadros"/>
        <w:tabs>
          <w:tab w:val="left" w:pos="9270"/>
        </w:tabs>
        <w:spacing w:after="120"/>
        <w:rPr>
          <w:rFonts w:cs="Arial"/>
          <w:lang w:eastAsia="es-MX"/>
        </w:rPr>
      </w:pPr>
      <w:r w:rsidRPr="006E6390">
        <w:rPr>
          <w:rFonts w:cs="Arial"/>
          <w:lang w:eastAsia="es-MX"/>
        </w:rPr>
        <w:t>Ventas por actividad económica</w:t>
      </w:r>
    </w:p>
    <w:tbl>
      <w:tblPr>
        <w:tblStyle w:val="Tablanormal1"/>
        <w:tblW w:w="4976" w:type="pct"/>
        <w:jc w:val="center"/>
        <w:tblLayout w:type="fixed"/>
        <w:tblLook w:val="04A0" w:firstRow="1" w:lastRow="0" w:firstColumn="1" w:lastColumn="0" w:noHBand="0" w:noVBand="1"/>
      </w:tblPr>
      <w:tblGrid>
        <w:gridCol w:w="3536"/>
        <w:gridCol w:w="1796"/>
        <w:gridCol w:w="1796"/>
        <w:gridCol w:w="1798"/>
      </w:tblGrid>
      <w:tr w:rsidR="00D941BA" w:rsidRPr="006E6390" w14:paraId="3D68E9E2" w14:textId="77777777" w:rsidTr="000D6BF1">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329485BA" w14:textId="77777777" w:rsidR="00D941BA" w:rsidRPr="006A342F" w:rsidRDefault="00D941BA" w:rsidP="00D941BA">
            <w:pPr>
              <w:spacing w:after="0" w:line="240" w:lineRule="auto"/>
              <w:jc w:val="left"/>
              <w:rPr>
                <w:rFonts w:cs="Arial"/>
                <w:sz w:val="20"/>
                <w:szCs w:val="20"/>
                <w:lang w:val="es-ES" w:eastAsia="es-ES"/>
              </w:rPr>
            </w:pPr>
            <w:r w:rsidRPr="006A342F">
              <w:rPr>
                <w:rFonts w:cs="Arial"/>
                <w:sz w:val="20"/>
                <w:szCs w:val="20"/>
                <w:lang w:val="es-ES" w:eastAsia="es-ES"/>
              </w:rPr>
              <w:t>Ventas por actividad económica del cliente, en barriles (bbl)</w:t>
            </w:r>
          </w:p>
        </w:tc>
        <w:tc>
          <w:tcPr>
            <w:tcW w:w="1006" w:type="pct"/>
            <w:hideMark/>
          </w:tcPr>
          <w:p w14:paraId="06DB0B3D" w14:textId="3D26F015" w:rsidR="00D941BA" w:rsidRPr="000D6BF1" w:rsidRDefault="00D941BA" w:rsidP="00D941BA">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0D6BF1">
              <w:rPr>
                <w:rFonts w:cs="Arial"/>
                <w:color w:val="002060"/>
                <w:sz w:val="20"/>
                <w:szCs w:val="20"/>
                <w:lang w:val="es-ES" w:eastAsia="es-ES"/>
              </w:rPr>
              <w:t>2020</w:t>
            </w:r>
          </w:p>
        </w:tc>
        <w:tc>
          <w:tcPr>
            <w:tcW w:w="1006" w:type="pct"/>
            <w:hideMark/>
          </w:tcPr>
          <w:p w14:paraId="1C4ACE65" w14:textId="19D53996" w:rsidR="00D941BA" w:rsidRPr="000D6BF1" w:rsidRDefault="00D941BA" w:rsidP="00D941BA">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0D6BF1">
              <w:rPr>
                <w:rFonts w:cs="Arial"/>
                <w:color w:val="002060"/>
                <w:sz w:val="20"/>
                <w:szCs w:val="20"/>
                <w:lang w:val="es-ES" w:eastAsia="es-ES"/>
              </w:rPr>
              <w:t>2021</w:t>
            </w:r>
          </w:p>
        </w:tc>
        <w:tc>
          <w:tcPr>
            <w:tcW w:w="1007" w:type="pct"/>
            <w:hideMark/>
          </w:tcPr>
          <w:p w14:paraId="7CDCCB1C" w14:textId="240EEECF" w:rsidR="00D941BA" w:rsidRPr="000D6BF1" w:rsidRDefault="00D941BA" w:rsidP="00D941BA">
            <w:pPr>
              <w:spacing w:after="0" w:line="240" w:lineRule="auto"/>
              <w:ind w:left="843" w:hanging="843"/>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s-ES" w:eastAsia="es-ES"/>
              </w:rPr>
            </w:pPr>
            <w:r w:rsidRPr="000D6BF1">
              <w:rPr>
                <w:rFonts w:cs="Arial"/>
                <w:color w:val="002060"/>
                <w:sz w:val="20"/>
                <w:szCs w:val="20"/>
                <w:lang w:val="es-ES" w:eastAsia="es-ES"/>
              </w:rPr>
              <w:t>2022</w:t>
            </w:r>
          </w:p>
        </w:tc>
      </w:tr>
      <w:tr w:rsidR="00D941BA" w:rsidRPr="006E6390" w14:paraId="53417363" w14:textId="77777777" w:rsidTr="000D6BF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7CE14E8D"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Agricultura, caza, silvicultura y pesca</w:t>
            </w:r>
          </w:p>
        </w:tc>
        <w:tc>
          <w:tcPr>
            <w:tcW w:w="1006" w:type="pct"/>
            <w:hideMark/>
          </w:tcPr>
          <w:p w14:paraId="6A8F740D" w14:textId="6BEC4154"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rFonts w:cs="Arial"/>
                <w:sz w:val="20"/>
                <w:szCs w:val="20"/>
              </w:rPr>
              <w:t>245 029</w:t>
            </w:r>
          </w:p>
        </w:tc>
        <w:tc>
          <w:tcPr>
            <w:tcW w:w="1006" w:type="pct"/>
          </w:tcPr>
          <w:p w14:paraId="1C64083E" w14:textId="61933451"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sz w:val="20"/>
                <w:szCs w:val="20"/>
              </w:rPr>
              <w:t>295 908</w:t>
            </w:r>
          </w:p>
        </w:tc>
        <w:tc>
          <w:tcPr>
            <w:tcW w:w="1007" w:type="pct"/>
          </w:tcPr>
          <w:p w14:paraId="449CED1E" w14:textId="674AEA8E" w:rsidR="00D941BA" w:rsidRPr="006A342F" w:rsidRDefault="005A0B50"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sz w:val="20"/>
                <w:szCs w:val="20"/>
              </w:rPr>
              <w:t>296 821</w:t>
            </w:r>
          </w:p>
        </w:tc>
      </w:tr>
      <w:tr w:rsidR="00D941BA" w:rsidRPr="006E6390" w14:paraId="04B8CCFF" w14:textId="77777777" w:rsidTr="000D6BF1">
        <w:trPr>
          <w:trHeight w:val="340"/>
          <w:jc w:val="center"/>
        </w:trPr>
        <w:tc>
          <w:tcPr>
            <w:cnfStyle w:val="001000000000" w:firstRow="0" w:lastRow="0" w:firstColumn="1" w:lastColumn="0" w:oddVBand="0" w:evenVBand="0" w:oddHBand="0" w:evenHBand="0" w:firstRowFirstColumn="0" w:firstRowLastColumn="0" w:lastRowFirstColumn="0" w:lastRowLastColumn="0"/>
            <w:tcW w:w="1981" w:type="pct"/>
          </w:tcPr>
          <w:p w14:paraId="10F46E7D"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Exploración de minas y canteras</w:t>
            </w:r>
          </w:p>
        </w:tc>
        <w:tc>
          <w:tcPr>
            <w:tcW w:w="1006" w:type="pct"/>
          </w:tcPr>
          <w:p w14:paraId="0C3F7CDE" w14:textId="40152F57"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rFonts w:cs="Arial"/>
                <w:sz w:val="20"/>
                <w:szCs w:val="20"/>
              </w:rPr>
              <w:t>667</w:t>
            </w:r>
          </w:p>
        </w:tc>
        <w:tc>
          <w:tcPr>
            <w:tcW w:w="1006" w:type="pct"/>
          </w:tcPr>
          <w:p w14:paraId="7AA600C0" w14:textId="07C5E9B6"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sz w:val="20"/>
                <w:szCs w:val="20"/>
              </w:rPr>
              <w:t xml:space="preserve"> 3 911 </w:t>
            </w:r>
          </w:p>
        </w:tc>
        <w:tc>
          <w:tcPr>
            <w:tcW w:w="1007" w:type="pct"/>
          </w:tcPr>
          <w:p w14:paraId="4D77B71E" w14:textId="4EA39B12" w:rsidR="00D941BA" w:rsidRPr="006A342F" w:rsidRDefault="005A0B50"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sz w:val="20"/>
                <w:szCs w:val="20"/>
              </w:rPr>
              <w:t>889</w:t>
            </w:r>
          </w:p>
        </w:tc>
      </w:tr>
      <w:tr w:rsidR="00D941BA" w:rsidRPr="006E6390" w14:paraId="6B794165" w14:textId="77777777" w:rsidTr="000D6BF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409D16F9"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Industrias manufactureras</w:t>
            </w:r>
          </w:p>
        </w:tc>
        <w:tc>
          <w:tcPr>
            <w:tcW w:w="1006" w:type="pct"/>
            <w:hideMark/>
          </w:tcPr>
          <w:p w14:paraId="65871B1B" w14:textId="7580E4F7"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rFonts w:cs="Arial"/>
                <w:sz w:val="20"/>
                <w:szCs w:val="20"/>
              </w:rPr>
              <w:t>742 435</w:t>
            </w:r>
          </w:p>
        </w:tc>
        <w:tc>
          <w:tcPr>
            <w:tcW w:w="1006" w:type="pct"/>
          </w:tcPr>
          <w:p w14:paraId="0B27D40C" w14:textId="6CDCD95B"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sz w:val="20"/>
                <w:szCs w:val="20"/>
              </w:rPr>
              <w:t>859 900</w:t>
            </w:r>
          </w:p>
        </w:tc>
        <w:tc>
          <w:tcPr>
            <w:tcW w:w="1007" w:type="pct"/>
          </w:tcPr>
          <w:p w14:paraId="11FE7FCB" w14:textId="50362644" w:rsidR="00D941BA" w:rsidRPr="006A342F" w:rsidRDefault="005A0B50"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sz w:val="20"/>
                <w:szCs w:val="20"/>
              </w:rPr>
              <w:t>902 200</w:t>
            </w:r>
          </w:p>
        </w:tc>
      </w:tr>
      <w:tr w:rsidR="00D941BA" w:rsidRPr="006E6390" w14:paraId="4BE59001" w14:textId="77777777" w:rsidTr="000D6BF1">
        <w:trPr>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25CEB7CE"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Electricidad, agua y gas</w:t>
            </w:r>
          </w:p>
        </w:tc>
        <w:tc>
          <w:tcPr>
            <w:tcW w:w="1006" w:type="pct"/>
            <w:hideMark/>
          </w:tcPr>
          <w:p w14:paraId="066E13E9" w14:textId="4866D2D9"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rFonts w:cs="Arial"/>
                <w:sz w:val="20"/>
                <w:szCs w:val="20"/>
              </w:rPr>
              <w:t>0</w:t>
            </w:r>
          </w:p>
        </w:tc>
        <w:tc>
          <w:tcPr>
            <w:tcW w:w="1006" w:type="pct"/>
          </w:tcPr>
          <w:p w14:paraId="47FE7C5A" w14:textId="2BB3A800"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sz w:val="20"/>
                <w:szCs w:val="20"/>
              </w:rPr>
              <w:t>51</w:t>
            </w:r>
            <w:r w:rsidR="005A0B50">
              <w:rPr>
                <w:sz w:val="20"/>
                <w:szCs w:val="20"/>
              </w:rPr>
              <w:t>9</w:t>
            </w:r>
          </w:p>
        </w:tc>
        <w:tc>
          <w:tcPr>
            <w:tcW w:w="1007" w:type="pct"/>
          </w:tcPr>
          <w:p w14:paraId="08F57712" w14:textId="1D453EE8" w:rsidR="00D941BA" w:rsidRPr="006A342F" w:rsidRDefault="005A0B50"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sz w:val="20"/>
                <w:szCs w:val="20"/>
              </w:rPr>
              <w:t>174 404</w:t>
            </w:r>
          </w:p>
        </w:tc>
      </w:tr>
      <w:tr w:rsidR="00D941BA" w:rsidRPr="006E6390" w14:paraId="053BA1F3" w14:textId="77777777" w:rsidTr="000D6BF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40D2657B"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lastRenderedPageBreak/>
              <w:t>Construcción</w:t>
            </w:r>
          </w:p>
        </w:tc>
        <w:tc>
          <w:tcPr>
            <w:tcW w:w="1006" w:type="pct"/>
            <w:hideMark/>
          </w:tcPr>
          <w:p w14:paraId="628C07D5" w14:textId="048B1523"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rFonts w:cs="Arial"/>
                <w:sz w:val="20"/>
                <w:szCs w:val="20"/>
              </w:rPr>
              <w:t>750 666</w:t>
            </w:r>
          </w:p>
        </w:tc>
        <w:tc>
          <w:tcPr>
            <w:tcW w:w="1006" w:type="pct"/>
          </w:tcPr>
          <w:p w14:paraId="311562A7" w14:textId="66B6A4CC"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sz w:val="20"/>
                <w:szCs w:val="20"/>
              </w:rPr>
              <w:t>648 752</w:t>
            </w:r>
          </w:p>
        </w:tc>
        <w:tc>
          <w:tcPr>
            <w:tcW w:w="1007" w:type="pct"/>
          </w:tcPr>
          <w:p w14:paraId="1C766634" w14:textId="07DD1216" w:rsidR="00D941BA" w:rsidRPr="006A342F" w:rsidRDefault="00806D27"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sz w:val="20"/>
                <w:szCs w:val="20"/>
              </w:rPr>
              <w:t>581 768</w:t>
            </w:r>
          </w:p>
        </w:tc>
      </w:tr>
      <w:tr w:rsidR="00D941BA" w:rsidRPr="006E6390" w14:paraId="29813516" w14:textId="77777777" w:rsidTr="000D6BF1">
        <w:trPr>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5BC09E93"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Comercio</w:t>
            </w:r>
          </w:p>
        </w:tc>
        <w:tc>
          <w:tcPr>
            <w:tcW w:w="1006" w:type="pct"/>
            <w:hideMark/>
          </w:tcPr>
          <w:p w14:paraId="07904931" w14:textId="470B7FA7"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rFonts w:cs="Arial"/>
                <w:sz w:val="20"/>
                <w:szCs w:val="20"/>
              </w:rPr>
              <w:t>14 775 653</w:t>
            </w:r>
          </w:p>
        </w:tc>
        <w:tc>
          <w:tcPr>
            <w:tcW w:w="1006" w:type="pct"/>
          </w:tcPr>
          <w:p w14:paraId="4554A3D5" w14:textId="1F2D0336"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sz w:val="20"/>
                <w:szCs w:val="20"/>
              </w:rPr>
              <w:t>16 886 554</w:t>
            </w:r>
          </w:p>
        </w:tc>
        <w:tc>
          <w:tcPr>
            <w:tcW w:w="1007" w:type="pct"/>
          </w:tcPr>
          <w:p w14:paraId="5B1E03B6" w14:textId="1CE0E46B" w:rsidR="00D941BA" w:rsidRPr="006A342F" w:rsidRDefault="00806D27"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sz w:val="20"/>
                <w:szCs w:val="20"/>
              </w:rPr>
              <w:t>17 411 918</w:t>
            </w:r>
          </w:p>
        </w:tc>
      </w:tr>
      <w:tr w:rsidR="00D941BA" w:rsidRPr="006E6390" w14:paraId="2BE13929" w14:textId="77777777" w:rsidTr="000D6BF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5CDE49E8"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Transportes, almacenamiento y comunicaciones</w:t>
            </w:r>
          </w:p>
        </w:tc>
        <w:tc>
          <w:tcPr>
            <w:tcW w:w="1006" w:type="pct"/>
            <w:hideMark/>
          </w:tcPr>
          <w:p w14:paraId="56C63CF8" w14:textId="0BC09C55"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rFonts w:cs="Arial"/>
                <w:sz w:val="20"/>
                <w:szCs w:val="20"/>
              </w:rPr>
              <w:t>1 005 577</w:t>
            </w:r>
          </w:p>
        </w:tc>
        <w:tc>
          <w:tcPr>
            <w:tcW w:w="1006" w:type="pct"/>
          </w:tcPr>
          <w:p w14:paraId="0E1DE152" w14:textId="773A1C5A"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sz w:val="20"/>
                <w:szCs w:val="20"/>
              </w:rPr>
              <w:t>1 595 946</w:t>
            </w:r>
          </w:p>
        </w:tc>
        <w:tc>
          <w:tcPr>
            <w:tcW w:w="1007" w:type="pct"/>
          </w:tcPr>
          <w:p w14:paraId="2B59B77E" w14:textId="0B5EA0BC" w:rsidR="00D941BA" w:rsidRPr="006A342F" w:rsidRDefault="00806D27"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sz w:val="20"/>
                <w:szCs w:val="20"/>
              </w:rPr>
              <w:t>2 219 294</w:t>
            </w:r>
          </w:p>
        </w:tc>
      </w:tr>
      <w:tr w:rsidR="00D941BA" w:rsidRPr="006E6390" w14:paraId="68881D36" w14:textId="77777777" w:rsidTr="000D6BF1">
        <w:trPr>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7A5AB24F"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Financiero, seguros y bienes inmuebles</w:t>
            </w:r>
          </w:p>
        </w:tc>
        <w:tc>
          <w:tcPr>
            <w:tcW w:w="1006" w:type="pct"/>
            <w:hideMark/>
          </w:tcPr>
          <w:p w14:paraId="0477676E" w14:textId="4848FF79"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rFonts w:cs="Arial"/>
                <w:sz w:val="20"/>
                <w:szCs w:val="20"/>
              </w:rPr>
              <w:t>83</w:t>
            </w:r>
          </w:p>
        </w:tc>
        <w:tc>
          <w:tcPr>
            <w:tcW w:w="1006" w:type="pct"/>
          </w:tcPr>
          <w:p w14:paraId="73C79BA2" w14:textId="337DA11F" w:rsidR="00D941BA" w:rsidRPr="006A342F"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6A342F">
              <w:rPr>
                <w:sz w:val="20"/>
                <w:szCs w:val="20"/>
              </w:rPr>
              <w:t>9</w:t>
            </w:r>
            <w:r w:rsidR="005A0B50">
              <w:rPr>
                <w:sz w:val="20"/>
                <w:szCs w:val="20"/>
              </w:rPr>
              <w:t>2</w:t>
            </w:r>
          </w:p>
        </w:tc>
        <w:tc>
          <w:tcPr>
            <w:tcW w:w="1007" w:type="pct"/>
          </w:tcPr>
          <w:p w14:paraId="4BAA8A4A" w14:textId="759AE5C5" w:rsidR="00D941BA" w:rsidRPr="006A342F" w:rsidRDefault="00806D27"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sz w:val="20"/>
                <w:szCs w:val="20"/>
              </w:rPr>
              <w:t>48</w:t>
            </w:r>
          </w:p>
        </w:tc>
      </w:tr>
      <w:tr w:rsidR="00D941BA" w:rsidRPr="006E6390" w14:paraId="5BBFBD2D" w14:textId="77777777" w:rsidTr="000D6BF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48D582C6" w14:textId="77777777" w:rsidR="00D941BA" w:rsidRPr="006A342F" w:rsidRDefault="00D941BA" w:rsidP="00D941BA">
            <w:pPr>
              <w:spacing w:after="0" w:line="240" w:lineRule="auto"/>
              <w:jc w:val="left"/>
              <w:rPr>
                <w:rFonts w:cs="Arial"/>
                <w:b w:val="0"/>
                <w:bCs w:val="0"/>
                <w:sz w:val="20"/>
                <w:szCs w:val="20"/>
                <w:lang w:val="es-ES" w:eastAsia="es-ES"/>
              </w:rPr>
            </w:pPr>
            <w:r w:rsidRPr="006A342F">
              <w:rPr>
                <w:rFonts w:cs="Arial"/>
                <w:b w:val="0"/>
                <w:bCs w:val="0"/>
                <w:sz w:val="20"/>
                <w:szCs w:val="20"/>
                <w:lang w:val="es-ES" w:eastAsia="es-ES"/>
              </w:rPr>
              <w:t>Servicios comunales, sociales y personales</w:t>
            </w:r>
          </w:p>
        </w:tc>
        <w:tc>
          <w:tcPr>
            <w:tcW w:w="1006" w:type="pct"/>
            <w:hideMark/>
          </w:tcPr>
          <w:p w14:paraId="4206BDD2" w14:textId="526DA9A8"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rFonts w:cs="Arial"/>
                <w:sz w:val="20"/>
                <w:szCs w:val="20"/>
              </w:rPr>
              <w:t>112 150</w:t>
            </w:r>
          </w:p>
        </w:tc>
        <w:tc>
          <w:tcPr>
            <w:tcW w:w="1006" w:type="pct"/>
          </w:tcPr>
          <w:p w14:paraId="17ACFD9A" w14:textId="54126BDF" w:rsidR="00D941BA" w:rsidRPr="006A342F" w:rsidRDefault="00D941BA"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A342F">
              <w:rPr>
                <w:sz w:val="20"/>
                <w:szCs w:val="20"/>
              </w:rPr>
              <w:t>118 954</w:t>
            </w:r>
          </w:p>
        </w:tc>
        <w:tc>
          <w:tcPr>
            <w:tcW w:w="1007" w:type="pct"/>
          </w:tcPr>
          <w:p w14:paraId="6289CE64" w14:textId="61C11BAF" w:rsidR="00D941BA" w:rsidRPr="006A342F" w:rsidRDefault="00806D27" w:rsidP="00D941BA">
            <w:pPr>
              <w:spacing w:after="0" w:line="240" w:lineRule="auto"/>
              <w:ind w:left="843" w:hanging="843"/>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sz w:val="20"/>
                <w:szCs w:val="20"/>
              </w:rPr>
              <w:t>104 677</w:t>
            </w:r>
          </w:p>
        </w:tc>
      </w:tr>
      <w:tr w:rsidR="00D941BA" w:rsidRPr="006E6390" w14:paraId="33282072" w14:textId="77777777" w:rsidTr="000D6BF1">
        <w:trPr>
          <w:trHeight w:val="340"/>
          <w:jc w:val="center"/>
        </w:trPr>
        <w:tc>
          <w:tcPr>
            <w:cnfStyle w:val="001000000000" w:firstRow="0" w:lastRow="0" w:firstColumn="1" w:lastColumn="0" w:oddVBand="0" w:evenVBand="0" w:oddHBand="0" w:evenHBand="0" w:firstRowFirstColumn="0" w:firstRowLastColumn="0" w:lastRowFirstColumn="0" w:lastRowLastColumn="0"/>
            <w:tcW w:w="1981" w:type="pct"/>
            <w:hideMark/>
          </w:tcPr>
          <w:p w14:paraId="65C941EF" w14:textId="77777777" w:rsidR="00D941BA" w:rsidRPr="006E6390" w:rsidRDefault="00D941BA" w:rsidP="00D941BA">
            <w:pPr>
              <w:spacing w:after="0" w:line="240" w:lineRule="auto"/>
              <w:jc w:val="left"/>
              <w:rPr>
                <w:rFonts w:cs="Arial"/>
                <w:b w:val="0"/>
                <w:bCs w:val="0"/>
                <w:sz w:val="20"/>
                <w:szCs w:val="20"/>
                <w:lang w:val="es-ES" w:eastAsia="es-ES"/>
              </w:rPr>
            </w:pPr>
            <w:r w:rsidRPr="006E6390">
              <w:rPr>
                <w:rFonts w:cs="Arial"/>
                <w:b w:val="0"/>
                <w:bCs w:val="0"/>
                <w:sz w:val="20"/>
                <w:szCs w:val="20"/>
                <w:lang w:val="es-ES" w:eastAsia="es-ES"/>
              </w:rPr>
              <w:t>TOTAL</w:t>
            </w:r>
          </w:p>
        </w:tc>
        <w:tc>
          <w:tcPr>
            <w:tcW w:w="1006" w:type="pct"/>
            <w:hideMark/>
          </w:tcPr>
          <w:p w14:paraId="74F35ED0" w14:textId="484FE1F7" w:rsidR="00D941BA" w:rsidRPr="006E6390"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17 632 260</w:t>
            </w:r>
          </w:p>
        </w:tc>
        <w:tc>
          <w:tcPr>
            <w:tcW w:w="1006" w:type="pct"/>
            <w:hideMark/>
          </w:tcPr>
          <w:p w14:paraId="37894E78" w14:textId="3B9C8EF5" w:rsidR="00D941BA" w:rsidRPr="006E6390" w:rsidRDefault="00D941BA"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sidRPr="006E6390">
              <w:rPr>
                <w:b/>
                <w:bCs/>
                <w:sz w:val="20"/>
                <w:szCs w:val="20"/>
              </w:rPr>
              <w:t>20 410 535</w:t>
            </w:r>
          </w:p>
        </w:tc>
        <w:tc>
          <w:tcPr>
            <w:tcW w:w="1007" w:type="pct"/>
          </w:tcPr>
          <w:p w14:paraId="299423A4" w14:textId="2A339675" w:rsidR="00D941BA" w:rsidRPr="006E6390" w:rsidRDefault="00806D27" w:rsidP="00D941BA">
            <w:pPr>
              <w:spacing w:after="0" w:line="240" w:lineRule="auto"/>
              <w:ind w:left="843" w:hanging="843"/>
              <w:jc w:val="right"/>
              <w:cnfStyle w:val="000000000000" w:firstRow="0" w:lastRow="0" w:firstColumn="0" w:lastColumn="0" w:oddVBand="0" w:evenVBand="0" w:oddHBand="0" w:evenHBand="0" w:firstRowFirstColumn="0" w:firstRowLastColumn="0" w:lastRowFirstColumn="0" w:lastRowLastColumn="0"/>
              <w:rPr>
                <w:rFonts w:cs="Arial"/>
                <w:b/>
                <w:bCs/>
                <w:sz w:val="20"/>
                <w:szCs w:val="20"/>
                <w:lang w:val="es-ES" w:eastAsia="es-ES"/>
              </w:rPr>
            </w:pPr>
            <w:r>
              <w:rPr>
                <w:b/>
                <w:bCs/>
                <w:sz w:val="20"/>
                <w:szCs w:val="20"/>
              </w:rPr>
              <w:t>21 692 019</w:t>
            </w:r>
          </w:p>
        </w:tc>
      </w:tr>
    </w:tbl>
    <w:p w14:paraId="25719566" w14:textId="181FC107" w:rsidR="00F41263" w:rsidRPr="006E6390" w:rsidRDefault="00F41263" w:rsidP="0000505C">
      <w:pPr>
        <w:pStyle w:val="piedepgina0"/>
        <w:tabs>
          <w:tab w:val="left" w:pos="9270"/>
        </w:tabs>
        <w:rPr>
          <w:rFonts w:cs="Arial"/>
          <w:sz w:val="20"/>
          <w:szCs w:val="20"/>
        </w:rPr>
      </w:pPr>
      <w:r w:rsidRPr="006E6390">
        <w:rPr>
          <w:rFonts w:cs="Arial"/>
          <w:sz w:val="20"/>
          <w:szCs w:val="20"/>
        </w:rPr>
        <w:t>Fuente: RECOPE</w:t>
      </w:r>
      <w:r w:rsidR="00264A62" w:rsidRPr="006E6390">
        <w:rPr>
          <w:rFonts w:cs="Arial"/>
          <w:sz w:val="20"/>
          <w:szCs w:val="20"/>
        </w:rPr>
        <w:t xml:space="preserve"> Dirección </w:t>
      </w:r>
      <w:r w:rsidR="007C1185">
        <w:rPr>
          <w:rFonts w:cs="Arial"/>
          <w:sz w:val="20"/>
          <w:szCs w:val="20"/>
        </w:rPr>
        <w:t>Comercial</w:t>
      </w:r>
    </w:p>
    <w:p w14:paraId="117D37AF" w14:textId="12415B56" w:rsidR="00F41263" w:rsidRPr="006E6390" w:rsidRDefault="00F41263" w:rsidP="008F23AD">
      <w:pPr>
        <w:pStyle w:val="Ttulo3"/>
        <w:rPr>
          <w:rFonts w:cs="Arial"/>
        </w:rPr>
      </w:pPr>
      <w:bookmarkStart w:id="113" w:name="_Toc38630824"/>
      <w:r w:rsidRPr="006E6390">
        <w:rPr>
          <w:rFonts w:cs="Arial"/>
        </w:rPr>
        <w:t>3.1.21. Productos ofrecidos</w:t>
      </w:r>
      <w:bookmarkEnd w:id="113"/>
    </w:p>
    <w:p w14:paraId="0BCDEEF2" w14:textId="0B93DF26" w:rsidR="00F41263" w:rsidRDefault="00F41263" w:rsidP="000D6BF1">
      <w:pPr>
        <w:spacing w:after="0"/>
        <w:rPr>
          <w:rFonts w:cs="Arial"/>
          <w:lang w:eastAsia="es-MX"/>
        </w:rPr>
      </w:pPr>
      <w:r w:rsidRPr="006E6390">
        <w:rPr>
          <w:rFonts w:cs="Arial"/>
          <w:lang w:eastAsia="es-MX"/>
        </w:rPr>
        <w:t xml:space="preserve">RECOPE elabora anualmente un Manual de Productos en el cual presenta las especificaciones de los productos que comercializa y que se encuentra a disposición del público en la página web </w:t>
      </w:r>
      <w:r w:rsidR="00F75007" w:rsidRPr="006E6390">
        <w:rPr>
          <w:rFonts w:cs="Arial"/>
          <w:i/>
          <w:lang w:eastAsia="es-MX"/>
        </w:rPr>
        <w:t>https://www.recope.go.cr/</w:t>
      </w:r>
      <w:r w:rsidRPr="006E6390">
        <w:rPr>
          <w:rFonts w:cs="Arial"/>
          <w:lang w:eastAsia="es-MX"/>
        </w:rPr>
        <w:t xml:space="preserve">.  A </w:t>
      </w:r>
      <w:r w:rsidR="00DA3BD5" w:rsidRPr="006E6390">
        <w:rPr>
          <w:rFonts w:cs="Arial"/>
          <w:lang w:eastAsia="es-MX"/>
        </w:rPr>
        <w:t>continuación,</w:t>
      </w:r>
      <w:r w:rsidRPr="006E6390">
        <w:rPr>
          <w:rFonts w:cs="Arial"/>
          <w:lang w:eastAsia="es-MX"/>
        </w:rPr>
        <w:t xml:space="preserve"> se presenta el detalle para cada uno de los productos comercializados: </w:t>
      </w:r>
    </w:p>
    <w:p w14:paraId="42E45E77" w14:textId="77777777" w:rsidR="009661D1" w:rsidRPr="006E6390" w:rsidRDefault="009661D1" w:rsidP="000D6BF1">
      <w:pPr>
        <w:spacing w:after="0"/>
        <w:rPr>
          <w:rFonts w:cs="Arial"/>
          <w:lang w:eastAsia="es-MX"/>
        </w:rPr>
      </w:pPr>
    </w:p>
    <w:p w14:paraId="7654807E" w14:textId="4BE635C8" w:rsidR="00F41263" w:rsidRDefault="00F41263" w:rsidP="006A1C5D">
      <w:pPr>
        <w:pStyle w:val="Prrafodelista"/>
        <w:numPr>
          <w:ilvl w:val="0"/>
          <w:numId w:val="21"/>
        </w:numPr>
        <w:rPr>
          <w:rFonts w:cs="Arial"/>
          <w:lang w:eastAsia="es-MX"/>
        </w:rPr>
      </w:pPr>
      <w:r w:rsidRPr="006E6390">
        <w:rPr>
          <w:rFonts w:cs="Arial"/>
          <w:b/>
          <w:lang w:eastAsia="es-MX"/>
        </w:rPr>
        <w:t>Gasolinas</w:t>
      </w:r>
      <w:r w:rsidRPr="006E6390">
        <w:rPr>
          <w:rFonts w:cs="Arial"/>
          <w:lang w:eastAsia="es-MX"/>
        </w:rPr>
        <w:t xml:space="preserve">: </w:t>
      </w:r>
      <w:r w:rsidR="004B5878" w:rsidRPr="006E6390">
        <w:rPr>
          <w:rFonts w:cs="Arial"/>
          <w:lang w:eastAsia="es-MX"/>
        </w:rPr>
        <w:t>las gasolinas son una mezcla volátil de hidrocarburos líquidos que se obtiene del petróleo crudo mediante destilación fraccionada, cuyas propiedades físico-químicas de volatilidad, inflamabilidad e índice de octano, entre otras, proporcionan un fácil arranque y una máxima potencia durante la aceleración a los motores de combustión interna de ignición por chispa.</w:t>
      </w:r>
    </w:p>
    <w:p w14:paraId="59AA0DA6" w14:textId="77777777" w:rsidR="00F55F05" w:rsidRPr="006E6390" w:rsidRDefault="00F55F05" w:rsidP="000D6BF1">
      <w:pPr>
        <w:pStyle w:val="Prrafodelista"/>
        <w:spacing w:after="0"/>
        <w:rPr>
          <w:rFonts w:cs="Arial"/>
          <w:lang w:eastAsia="es-MX"/>
        </w:rPr>
      </w:pPr>
    </w:p>
    <w:p w14:paraId="22D26606" w14:textId="77777777" w:rsidR="00F41263" w:rsidRPr="006E6390" w:rsidRDefault="004B5878" w:rsidP="004B5878">
      <w:pPr>
        <w:ind w:left="720"/>
        <w:rPr>
          <w:rFonts w:cs="Arial"/>
          <w:lang w:eastAsia="es-MX"/>
        </w:rPr>
      </w:pPr>
      <w:r w:rsidRPr="006E6390">
        <w:rPr>
          <w:rFonts w:cs="Arial"/>
          <w:lang w:eastAsia="es-MX"/>
        </w:rPr>
        <w:t xml:space="preserve">Las políticas ambientales de Costa Rica y de RECOPE requieren de gasolinas que, además de ser eficientes en su desempeño, sean formulados para minimizar las emisiones a la atmósfera de compuestos tóxicos producidos en la combustión. Como parte de estos esfuerzos, el uso de aditivos organometálicos a base de manganeso, hierro y plomo está prohibido en los contratos de importación de combustible. Además, RECOPE regula el uso de sustancias cancerígenas como las olefinas y aromáticos; y establece límites más estrictos que los RTCA al contenido de azufre, las gomas y punto final de la temperatura </w:t>
      </w:r>
      <w:r w:rsidRPr="00B34EDD">
        <w:rPr>
          <w:rFonts w:cs="Arial"/>
          <w:lang w:eastAsia="es-MX"/>
        </w:rPr>
        <w:t>de</w:t>
      </w:r>
      <w:r w:rsidR="002563ED">
        <w:rPr>
          <w:rFonts w:cs="Arial"/>
          <w:lang w:eastAsia="es-MX"/>
        </w:rPr>
        <w:t xml:space="preserve"> </w:t>
      </w:r>
      <w:r w:rsidRPr="00B34EDD">
        <w:rPr>
          <w:rFonts w:cs="Arial"/>
          <w:lang w:eastAsia="es-MX"/>
        </w:rPr>
        <w:t>destilación,</w:t>
      </w:r>
      <w:r w:rsidRPr="006E6390">
        <w:rPr>
          <w:rFonts w:cs="Arial"/>
          <w:lang w:eastAsia="es-MX"/>
        </w:rPr>
        <w:t xml:space="preserve"> en los contratos de compra.</w:t>
      </w:r>
    </w:p>
    <w:p w14:paraId="7CA0BE95" w14:textId="77777777" w:rsidR="00F41263" w:rsidRPr="006E6390" w:rsidRDefault="00F41263" w:rsidP="001F388C">
      <w:pPr>
        <w:ind w:left="720"/>
        <w:rPr>
          <w:rFonts w:cs="Arial"/>
          <w:lang w:eastAsia="es-MX"/>
        </w:rPr>
      </w:pPr>
      <w:r w:rsidRPr="006E6390">
        <w:rPr>
          <w:rFonts w:cs="Arial"/>
          <w:lang w:eastAsia="es-MX"/>
        </w:rPr>
        <w:t>En Costa Rica se distribuyen dos tipos de gasolina:</w:t>
      </w:r>
    </w:p>
    <w:p w14:paraId="3DBC4221" w14:textId="77777777" w:rsidR="00052FA1" w:rsidRPr="00F55F05" w:rsidRDefault="00F41263" w:rsidP="00527FEC">
      <w:pPr>
        <w:pStyle w:val="Prrafodelista"/>
        <w:numPr>
          <w:ilvl w:val="0"/>
          <w:numId w:val="22"/>
        </w:numPr>
        <w:rPr>
          <w:rFonts w:cs="Arial"/>
          <w:lang w:eastAsia="es-MX"/>
        </w:rPr>
      </w:pPr>
      <w:r w:rsidRPr="006E6390">
        <w:rPr>
          <w:rFonts w:cs="Arial"/>
          <w:b/>
          <w:lang w:eastAsia="es-MX"/>
        </w:rPr>
        <w:t>Súper:</w:t>
      </w:r>
      <w:r w:rsidRPr="006E6390">
        <w:rPr>
          <w:rFonts w:cs="Arial"/>
          <w:lang w:eastAsia="es-MX"/>
        </w:rPr>
        <w:t xml:space="preserve"> </w:t>
      </w:r>
      <w:r w:rsidR="00527FEC" w:rsidRPr="006E6390">
        <w:rPr>
          <w:rFonts w:cs="Arial"/>
          <w:lang w:eastAsia="es-MX"/>
        </w:rPr>
        <w:t xml:space="preserve">tiene un número de octano mínimo de 95 RON y no se le adiciona colorante, se introdujo en el año de 1990 en el mercado nacional para satisfacer los </w:t>
      </w:r>
      <w:r w:rsidR="00527FEC" w:rsidRPr="00F55F05">
        <w:rPr>
          <w:rFonts w:cs="Arial"/>
          <w:lang w:eastAsia="es-MX"/>
        </w:rPr>
        <w:t xml:space="preserve">requerimientos de los motores de combustión interna de alta relación de compresión, los cuales tienden a ser más eficientes. </w:t>
      </w:r>
    </w:p>
    <w:p w14:paraId="7A41CA52" w14:textId="77777777" w:rsidR="00052FA1" w:rsidRPr="000D6BF1" w:rsidRDefault="00052FA1" w:rsidP="00052FA1">
      <w:pPr>
        <w:pStyle w:val="Prrafodelista"/>
        <w:rPr>
          <w:rFonts w:cs="Arial"/>
          <w:lang w:eastAsia="es-MX"/>
        </w:rPr>
      </w:pPr>
    </w:p>
    <w:p w14:paraId="48FB9FED" w14:textId="153CE617" w:rsidR="00F41263" w:rsidRDefault="00527FEC" w:rsidP="00052FA1">
      <w:pPr>
        <w:pStyle w:val="Prrafodelista"/>
        <w:rPr>
          <w:rFonts w:cs="Arial"/>
          <w:lang w:eastAsia="es-MX"/>
        </w:rPr>
      </w:pPr>
      <w:r w:rsidRPr="00F55F05">
        <w:rPr>
          <w:rFonts w:cs="Arial"/>
          <w:lang w:eastAsia="es-MX"/>
        </w:rPr>
        <w:t>A partir del</w:t>
      </w:r>
      <w:r w:rsidRPr="006E6390">
        <w:rPr>
          <w:rFonts w:cs="Arial"/>
          <w:lang w:eastAsia="es-MX"/>
        </w:rPr>
        <w:t xml:space="preserve"> 1° de setiembre de 2017, tanto el </w:t>
      </w:r>
      <w:r w:rsidR="00000812" w:rsidRPr="006E6390">
        <w:rPr>
          <w:rFonts w:cs="Arial"/>
          <w:lang w:eastAsia="es-MX"/>
        </w:rPr>
        <w:t>diésel</w:t>
      </w:r>
      <w:r w:rsidRPr="006E6390">
        <w:rPr>
          <w:rFonts w:cs="Arial"/>
          <w:lang w:eastAsia="es-MX"/>
        </w:rPr>
        <w:t xml:space="preserve"> como las gasolinas Plus 91 y Superior, salen a la venta con nuevos parámetros de calidad, luego de un proceso de rotación de</w:t>
      </w:r>
      <w:r w:rsidR="00052FA1" w:rsidRPr="006E6390">
        <w:rPr>
          <w:rFonts w:cs="Arial"/>
          <w:lang w:eastAsia="es-MX"/>
        </w:rPr>
        <w:t xml:space="preserve"> </w:t>
      </w:r>
      <w:r w:rsidRPr="006E6390">
        <w:rPr>
          <w:rFonts w:cs="Arial"/>
          <w:lang w:eastAsia="es-MX"/>
        </w:rPr>
        <w:t xml:space="preserve">inventarios realizado por RECOPE durante los dos meses anteriores, para asegurar que se cumpla la norma INTE E1:2016 para las gasolinas y la INTE E3:2017 para el </w:t>
      </w:r>
      <w:r w:rsidR="00000812" w:rsidRPr="006E6390">
        <w:rPr>
          <w:rFonts w:cs="Arial"/>
          <w:lang w:eastAsia="es-MX"/>
        </w:rPr>
        <w:t>diésel</w:t>
      </w:r>
      <w:r w:rsidRPr="006E6390">
        <w:rPr>
          <w:rFonts w:cs="Arial"/>
          <w:lang w:eastAsia="es-MX"/>
        </w:rPr>
        <w:t xml:space="preserve">. </w:t>
      </w:r>
      <w:r w:rsidR="00000812">
        <w:rPr>
          <w:rFonts w:cs="Arial"/>
          <w:lang w:eastAsia="es-MX"/>
        </w:rPr>
        <w:t xml:space="preserve"> </w:t>
      </w:r>
      <w:r w:rsidRPr="006E6390">
        <w:rPr>
          <w:rFonts w:cs="Arial"/>
          <w:lang w:eastAsia="es-MX"/>
        </w:rPr>
        <w:t>Para</w:t>
      </w:r>
      <w:r w:rsidR="00052FA1" w:rsidRPr="006E6390">
        <w:rPr>
          <w:rFonts w:cs="Arial"/>
          <w:lang w:eastAsia="es-MX"/>
        </w:rPr>
        <w:t xml:space="preserve"> </w:t>
      </w:r>
      <w:r w:rsidRPr="006E6390">
        <w:rPr>
          <w:rFonts w:cs="Arial"/>
          <w:lang w:eastAsia="es-MX"/>
        </w:rPr>
        <w:t xml:space="preserve">cumplir plenamente con la normativa de las gasolinas, el 1 febrero </w:t>
      </w:r>
      <w:r w:rsidRPr="006E6390">
        <w:rPr>
          <w:rFonts w:cs="Arial"/>
          <w:lang w:eastAsia="es-MX"/>
        </w:rPr>
        <w:lastRenderedPageBreak/>
        <w:t xml:space="preserve">de 2021 se cambian los colores de los </w:t>
      </w:r>
      <w:r w:rsidR="00AF147A">
        <w:rPr>
          <w:rFonts w:cs="Arial"/>
          <w:lang w:eastAsia="es-MX"/>
        </w:rPr>
        <w:t>dos</w:t>
      </w:r>
      <w:r w:rsidR="00AF147A" w:rsidRPr="006E6390">
        <w:rPr>
          <w:rFonts w:cs="Arial"/>
          <w:lang w:eastAsia="es-MX"/>
        </w:rPr>
        <w:t xml:space="preserve"> </w:t>
      </w:r>
      <w:r w:rsidRPr="006E6390">
        <w:rPr>
          <w:rFonts w:cs="Arial"/>
          <w:lang w:eastAsia="es-MX"/>
        </w:rPr>
        <w:t>combustibles, la gasolina Superior es incolora y la Plus 91 es de color rojo.</w:t>
      </w:r>
    </w:p>
    <w:p w14:paraId="49926D83" w14:textId="77777777" w:rsidR="00F55F05" w:rsidRPr="006E6390" w:rsidRDefault="00F55F05" w:rsidP="000D6BF1">
      <w:pPr>
        <w:pStyle w:val="Prrafodelista"/>
        <w:spacing w:after="0"/>
        <w:rPr>
          <w:rFonts w:cs="Arial"/>
          <w:lang w:eastAsia="es-MX"/>
        </w:rPr>
      </w:pPr>
    </w:p>
    <w:p w14:paraId="783335EA" w14:textId="77777777" w:rsidR="00F41263" w:rsidRPr="006E6390" w:rsidRDefault="00052FA1" w:rsidP="00052FA1">
      <w:pPr>
        <w:ind w:left="720"/>
        <w:rPr>
          <w:rFonts w:cs="Arial"/>
          <w:lang w:eastAsia="es-MX"/>
        </w:rPr>
      </w:pPr>
      <w:r w:rsidRPr="006E6390">
        <w:rPr>
          <w:rFonts w:cs="Arial"/>
          <w:lang w:eastAsia="es-MX"/>
        </w:rPr>
        <w:t>Por lo tanto, esta gasolina, además de satisfacer las necesidades de número de octano de los motores de alta relación de compresión, colabora en el cuidado de la salud y el medio ambiente.</w:t>
      </w:r>
    </w:p>
    <w:p w14:paraId="5FA844A6" w14:textId="77777777" w:rsidR="00CA01B7" w:rsidRDefault="00F41263" w:rsidP="006A1C5D">
      <w:pPr>
        <w:pStyle w:val="Prrafodelista"/>
        <w:numPr>
          <w:ilvl w:val="0"/>
          <w:numId w:val="22"/>
        </w:numPr>
        <w:rPr>
          <w:rFonts w:cs="Arial"/>
          <w:lang w:eastAsia="es-MX"/>
        </w:rPr>
      </w:pPr>
      <w:r w:rsidRPr="006E6390">
        <w:rPr>
          <w:rFonts w:cs="Arial"/>
          <w:b/>
          <w:lang w:eastAsia="es-MX"/>
        </w:rPr>
        <w:t xml:space="preserve">Plus 91: </w:t>
      </w:r>
      <w:r w:rsidR="00CA01B7" w:rsidRPr="006E6390">
        <w:rPr>
          <w:rFonts w:cs="Arial"/>
          <w:lang w:eastAsia="es-MX"/>
        </w:rPr>
        <w:t>La Gasolina Plus 91 conocida como “regular” está diseñada para ser utilizada en motores de baja a mediana relación de compresión, pues cumple con un número de octano mínimo de 91. Esta especificación es mayor que el mínimo de 88 octanos que exige el Reglamento Técnico Centroamericano, lo cual permite la importación al país de vehículos más eficientes y amigables con el ambiente.</w:t>
      </w:r>
    </w:p>
    <w:p w14:paraId="555E6AD9" w14:textId="77777777" w:rsidR="000117A5" w:rsidRPr="006E6390" w:rsidRDefault="000117A5" w:rsidP="000117A5">
      <w:pPr>
        <w:pStyle w:val="Prrafodelista"/>
        <w:rPr>
          <w:rFonts w:cs="Arial"/>
          <w:lang w:eastAsia="es-MX"/>
        </w:rPr>
      </w:pPr>
    </w:p>
    <w:p w14:paraId="2235D8CE" w14:textId="77777777" w:rsidR="00CA01B7" w:rsidRPr="006E6390" w:rsidRDefault="00CA01B7" w:rsidP="00CA01B7">
      <w:pPr>
        <w:pStyle w:val="Prrafodelista"/>
        <w:rPr>
          <w:rFonts w:cs="Arial"/>
          <w:lang w:eastAsia="es-MX"/>
        </w:rPr>
      </w:pPr>
      <w:r w:rsidRPr="006E6390">
        <w:rPr>
          <w:rFonts w:cs="Arial"/>
          <w:lang w:eastAsia="es-MX"/>
        </w:rPr>
        <w:t xml:space="preserve">Con respecto a la reducción del plomo, en el caso de la Gasolina Plus se realizó gradualmente entre 1994 y 1996. </w:t>
      </w:r>
      <w:r w:rsidR="000117A5">
        <w:rPr>
          <w:rFonts w:cs="Arial"/>
          <w:lang w:eastAsia="es-MX"/>
        </w:rPr>
        <w:t xml:space="preserve"> </w:t>
      </w:r>
      <w:r w:rsidRPr="006E6390">
        <w:rPr>
          <w:rFonts w:cs="Arial"/>
          <w:lang w:eastAsia="es-MX"/>
        </w:rPr>
        <w:t xml:space="preserve">El primer año se pasó de 0,84 g Pb/L a 0,54 g Pb/L, luego hasta un promedio 0,20 g Pb/L en 1995; y en abril de 1996 finalmente se logró eliminarlo por completo. </w:t>
      </w:r>
      <w:r w:rsidR="000117A5">
        <w:rPr>
          <w:rFonts w:cs="Arial"/>
          <w:lang w:eastAsia="es-MX"/>
        </w:rPr>
        <w:t xml:space="preserve"> </w:t>
      </w:r>
      <w:r w:rsidRPr="006E6390">
        <w:rPr>
          <w:rFonts w:cs="Arial"/>
          <w:lang w:eastAsia="es-MX"/>
        </w:rPr>
        <w:t xml:space="preserve">Dicho logro convirtió a Costa Rica en uno de los primeros países a nivel </w:t>
      </w:r>
      <w:r w:rsidR="000117A5">
        <w:rPr>
          <w:rFonts w:cs="Arial"/>
          <w:lang w:eastAsia="es-MX"/>
        </w:rPr>
        <w:t>l</w:t>
      </w:r>
      <w:r w:rsidRPr="006E6390">
        <w:rPr>
          <w:rFonts w:cs="Arial"/>
          <w:lang w:eastAsia="es-MX"/>
        </w:rPr>
        <w:t>atinoamericano en utilizar únicamente gasolinas sin plomo.</w:t>
      </w:r>
    </w:p>
    <w:p w14:paraId="06CB25BD" w14:textId="77777777" w:rsidR="00CA01B7" w:rsidRPr="006E6390" w:rsidRDefault="00CA01B7" w:rsidP="00CA01B7">
      <w:pPr>
        <w:pStyle w:val="Prrafodelista"/>
        <w:rPr>
          <w:rFonts w:cs="Arial"/>
          <w:lang w:eastAsia="es-MX"/>
        </w:rPr>
      </w:pPr>
    </w:p>
    <w:p w14:paraId="3A738167" w14:textId="77777777" w:rsidR="00CA01B7" w:rsidRPr="006E6390" w:rsidRDefault="00CA01B7" w:rsidP="00CA01B7">
      <w:pPr>
        <w:pStyle w:val="Prrafodelista"/>
        <w:rPr>
          <w:rFonts w:cs="Arial"/>
          <w:lang w:eastAsia="es-MX"/>
        </w:rPr>
      </w:pPr>
      <w:r w:rsidRPr="006E6390">
        <w:rPr>
          <w:rFonts w:cs="Arial"/>
          <w:lang w:eastAsia="es-MX"/>
        </w:rPr>
        <w:t xml:space="preserve">A partir del 1° de setiembre de 2017, tanto el </w:t>
      </w:r>
      <w:r w:rsidR="000117A5" w:rsidRPr="006E6390">
        <w:rPr>
          <w:rFonts w:cs="Arial"/>
          <w:lang w:eastAsia="es-MX"/>
        </w:rPr>
        <w:t>diésel</w:t>
      </w:r>
      <w:r w:rsidRPr="006E6390">
        <w:rPr>
          <w:rFonts w:cs="Arial"/>
          <w:lang w:eastAsia="es-MX"/>
        </w:rPr>
        <w:t xml:space="preserve"> como las gasolinas Plus 91 y S</w:t>
      </w:r>
      <w:r w:rsidR="000117A5">
        <w:rPr>
          <w:rFonts w:cs="Arial"/>
          <w:lang w:eastAsia="es-MX"/>
        </w:rPr>
        <w:t>ú</w:t>
      </w:r>
      <w:r w:rsidRPr="006E6390">
        <w:rPr>
          <w:rFonts w:cs="Arial"/>
          <w:lang w:eastAsia="es-MX"/>
        </w:rPr>
        <w:t>per,</w:t>
      </w:r>
      <w:r w:rsidR="000117A5">
        <w:rPr>
          <w:rFonts w:cs="Arial"/>
          <w:lang w:eastAsia="es-MX"/>
        </w:rPr>
        <w:t xml:space="preserve"> </w:t>
      </w:r>
      <w:r w:rsidRPr="006E6390">
        <w:rPr>
          <w:rFonts w:cs="Arial"/>
          <w:lang w:eastAsia="es-MX"/>
        </w:rPr>
        <w:t xml:space="preserve">salen a la venta con nuevos parámetros de calidad, luego de un proceso de rotación de inventarios realizado por RECOPE durante los dos meses anteriores, para asegurar que se cumpla la norma INTE E1:2016 para las gasolinas y la INTE E3:2017 para el </w:t>
      </w:r>
      <w:r w:rsidR="000117A5" w:rsidRPr="006E6390">
        <w:rPr>
          <w:rFonts w:cs="Arial"/>
          <w:lang w:eastAsia="es-MX"/>
        </w:rPr>
        <w:t>diésel</w:t>
      </w:r>
      <w:r w:rsidRPr="006E6390">
        <w:rPr>
          <w:rFonts w:cs="Arial"/>
          <w:lang w:eastAsia="es-MX"/>
        </w:rPr>
        <w:t>.</w:t>
      </w:r>
    </w:p>
    <w:p w14:paraId="7C3819AA" w14:textId="77777777" w:rsidR="00CA01B7" w:rsidRPr="006E6390" w:rsidRDefault="00CA01B7" w:rsidP="00CA01B7">
      <w:pPr>
        <w:pStyle w:val="Prrafodelista"/>
        <w:rPr>
          <w:rFonts w:cs="Arial"/>
          <w:lang w:eastAsia="es-MX"/>
        </w:rPr>
      </w:pPr>
    </w:p>
    <w:p w14:paraId="4A57A23C" w14:textId="17F9DE93" w:rsidR="000D6BF1" w:rsidRDefault="00C74A48" w:rsidP="00CA01B7">
      <w:pPr>
        <w:pStyle w:val="Prrafodelista"/>
        <w:rPr>
          <w:rFonts w:cs="Arial"/>
          <w:lang w:eastAsia="es-MX"/>
        </w:rPr>
      </w:pPr>
      <w:r w:rsidRPr="006E6390">
        <w:rPr>
          <w:rFonts w:cs="Arial"/>
          <w:lang w:eastAsia="es-MX"/>
        </w:rPr>
        <w:t>En 2021, las ventas de gasolinas representaron 38,8% de las ventas físicas y aumentaron con respecto a 2020 en 16,5%.</w:t>
      </w:r>
      <w:r w:rsidR="00AF147A">
        <w:rPr>
          <w:rFonts w:cs="Arial"/>
          <w:lang w:eastAsia="es-MX"/>
        </w:rPr>
        <w:t xml:space="preserve">  En 2022, la participación </w:t>
      </w:r>
      <w:r w:rsidR="000D6BF1">
        <w:rPr>
          <w:rFonts w:cs="Arial"/>
          <w:lang w:eastAsia="es-MX"/>
        </w:rPr>
        <w:t xml:space="preserve">fue de </w:t>
      </w:r>
      <w:r w:rsidR="00AF147A">
        <w:rPr>
          <w:rFonts w:cs="Arial"/>
          <w:lang w:eastAsia="es-MX"/>
        </w:rPr>
        <w:t>37,7%</w:t>
      </w:r>
      <w:r w:rsidR="000D6BF1">
        <w:rPr>
          <w:rFonts w:cs="Arial"/>
          <w:lang w:eastAsia="es-MX"/>
        </w:rPr>
        <w:t>.</w:t>
      </w:r>
    </w:p>
    <w:p w14:paraId="4931D336" w14:textId="77777777" w:rsidR="00C74A48" w:rsidRPr="006E6390" w:rsidRDefault="00C74A48" w:rsidP="00CA01B7">
      <w:pPr>
        <w:pStyle w:val="Prrafodelista"/>
        <w:rPr>
          <w:rFonts w:cs="Arial"/>
          <w:lang w:eastAsia="es-MX"/>
        </w:rPr>
      </w:pPr>
    </w:p>
    <w:p w14:paraId="1780A892" w14:textId="341F9108" w:rsidR="00F41263" w:rsidRDefault="00F41263" w:rsidP="00CA01B7">
      <w:pPr>
        <w:pStyle w:val="Prrafodelista"/>
        <w:numPr>
          <w:ilvl w:val="0"/>
          <w:numId w:val="21"/>
        </w:numPr>
        <w:rPr>
          <w:rFonts w:cs="Arial"/>
          <w:lang w:eastAsia="es-MX"/>
        </w:rPr>
      </w:pPr>
      <w:r w:rsidRPr="006E6390">
        <w:rPr>
          <w:rFonts w:cs="Arial"/>
          <w:b/>
          <w:lang w:eastAsia="es-MX"/>
        </w:rPr>
        <w:t xml:space="preserve">Diésel: </w:t>
      </w:r>
      <w:r w:rsidRPr="006E6390">
        <w:rPr>
          <w:rFonts w:cs="Arial"/>
          <w:lang w:eastAsia="es-MX"/>
        </w:rPr>
        <w:t xml:space="preserve">Es una mezcla de hidrocarburos que se obtiene de la destilación fraccionada del petróleo a una temperatura entre 250°C y 350°C a presión atmosférica.  </w:t>
      </w:r>
      <w:r w:rsidR="00702A4E" w:rsidRPr="006E6390">
        <w:rPr>
          <w:rFonts w:cs="Arial"/>
          <w:lang w:eastAsia="es-MX"/>
        </w:rPr>
        <w:t>T</w:t>
      </w:r>
      <w:r w:rsidRPr="006E6390">
        <w:rPr>
          <w:rFonts w:cs="Arial"/>
          <w:lang w:eastAsia="es-MX"/>
        </w:rPr>
        <w:t xml:space="preserve">iene 18% más de energía por unidad de volumen que la gasolina, lo que, sumado a la mayor eficiencia de los motores </w:t>
      </w:r>
      <w:r w:rsidR="003C0B23" w:rsidRPr="006E6390">
        <w:rPr>
          <w:rFonts w:cs="Arial"/>
          <w:lang w:eastAsia="es-MX"/>
        </w:rPr>
        <w:t xml:space="preserve">diésel </w:t>
      </w:r>
      <w:r w:rsidRPr="006E6390">
        <w:rPr>
          <w:rFonts w:cs="Arial"/>
          <w:lang w:eastAsia="es-MX"/>
        </w:rPr>
        <w:t>contribuye a que su rendimiento sea m</w:t>
      </w:r>
      <w:r w:rsidR="00D46A12" w:rsidRPr="006E6390">
        <w:rPr>
          <w:rFonts w:cs="Arial"/>
          <w:lang w:eastAsia="es-MX"/>
        </w:rPr>
        <w:t>ej</w:t>
      </w:r>
      <w:r w:rsidRPr="006E6390">
        <w:rPr>
          <w:rFonts w:cs="Arial"/>
          <w:lang w:eastAsia="es-MX"/>
        </w:rPr>
        <w:t>or.</w:t>
      </w:r>
    </w:p>
    <w:p w14:paraId="3A0BAC69" w14:textId="77777777" w:rsidR="00604C8B" w:rsidRPr="006E6390" w:rsidRDefault="00604C8B" w:rsidP="000D6BF1">
      <w:pPr>
        <w:pStyle w:val="Prrafodelista"/>
        <w:spacing w:after="0"/>
        <w:rPr>
          <w:rFonts w:cs="Arial"/>
          <w:lang w:eastAsia="es-MX"/>
        </w:rPr>
      </w:pPr>
    </w:p>
    <w:p w14:paraId="3DCF965F" w14:textId="77777777" w:rsidR="00F41263" w:rsidRPr="006E6390" w:rsidRDefault="00F41263" w:rsidP="001F388C">
      <w:pPr>
        <w:tabs>
          <w:tab w:val="left" w:pos="9270"/>
        </w:tabs>
        <w:ind w:left="720"/>
        <w:rPr>
          <w:rFonts w:cs="Arial"/>
          <w:lang w:eastAsia="es-MX"/>
        </w:rPr>
      </w:pPr>
      <w:r w:rsidRPr="006E6390">
        <w:rPr>
          <w:rFonts w:cs="Arial"/>
          <w:lang w:eastAsia="es-MX"/>
        </w:rPr>
        <w:t xml:space="preserve">En el mercado nacional se vendían dos tipos de </w:t>
      </w:r>
      <w:r w:rsidR="00B5257E" w:rsidRPr="006E6390">
        <w:rPr>
          <w:rFonts w:cs="Arial"/>
          <w:lang w:eastAsia="es-MX"/>
        </w:rPr>
        <w:t>diésel</w:t>
      </w:r>
      <w:r w:rsidRPr="006E6390">
        <w:rPr>
          <w:rFonts w:cs="Arial"/>
          <w:lang w:eastAsia="es-MX"/>
        </w:rPr>
        <w:t>, a saber:</w:t>
      </w:r>
    </w:p>
    <w:p w14:paraId="39BF2FBE" w14:textId="6036001D" w:rsidR="00AB325D" w:rsidRDefault="00F41263">
      <w:pPr>
        <w:pStyle w:val="Prrafodelista"/>
        <w:numPr>
          <w:ilvl w:val="0"/>
          <w:numId w:val="24"/>
        </w:numPr>
        <w:spacing w:after="0"/>
        <w:contextualSpacing w:val="0"/>
        <w:rPr>
          <w:rFonts w:cs="Arial"/>
          <w:lang w:eastAsia="es-MX"/>
        </w:rPr>
      </w:pPr>
      <w:r w:rsidRPr="006E6390">
        <w:rPr>
          <w:rFonts w:cs="Arial"/>
          <w:b/>
          <w:lang w:eastAsia="es-MX"/>
        </w:rPr>
        <w:t>Di</w:t>
      </w:r>
      <w:r w:rsidR="00DD13DF" w:rsidRPr="006E6390">
        <w:rPr>
          <w:rFonts w:cs="Arial"/>
          <w:b/>
          <w:lang w:eastAsia="es-MX"/>
        </w:rPr>
        <w:t>é</w:t>
      </w:r>
      <w:r w:rsidRPr="006E6390">
        <w:rPr>
          <w:rFonts w:cs="Arial"/>
          <w:b/>
          <w:lang w:eastAsia="es-MX"/>
        </w:rPr>
        <w:t xml:space="preserve">sel 50: </w:t>
      </w:r>
      <w:r w:rsidRPr="006E6390">
        <w:rPr>
          <w:rFonts w:cs="Arial"/>
          <w:lang w:eastAsia="es-MX"/>
        </w:rPr>
        <w:t xml:space="preserve">en el marco de las políticas ambientales que han caracterizado a Costa Rica, </w:t>
      </w:r>
      <w:r w:rsidR="005168A1" w:rsidRPr="006E6390">
        <w:rPr>
          <w:rFonts w:cs="Arial"/>
          <w:lang w:eastAsia="es-MX"/>
        </w:rPr>
        <w:t xml:space="preserve">En 2014, mediante Decreto Nº 38669-COMEX-MINAE-MEIC, se publicó en la Gaceta la Resolución N°341-2014 del Consejo de Ministros de Integración Económica. En dicha resolución se aprueba el “Reglamento Técnico Centroamericano RTCA 75.02.17:13 Productos de Petróleo, Aceite Combustible Diesel, Especificaciones” y se establece que el contenido de azufre en este combustible no puede ser mayor a 0,05% m/m (500 ppm).Sin embargo, desde 2011 ya Costa Rica había reducido el contenido de azufre a un valor máximo de 50 ppm (partes por millón) </w:t>
      </w:r>
      <w:r w:rsidR="000D6BF1" w:rsidRPr="006E6390">
        <w:rPr>
          <w:rFonts w:cs="Arial"/>
          <w:lang w:eastAsia="es-MX"/>
        </w:rPr>
        <w:t>o</w:t>
      </w:r>
      <w:r w:rsidR="005168A1" w:rsidRPr="006E6390">
        <w:rPr>
          <w:rFonts w:cs="Arial"/>
          <w:lang w:eastAsia="es-MX"/>
        </w:rPr>
        <w:t xml:space="preserve"> 0,005% m/m (porcentaje masa/masa), según el Decreto N° </w:t>
      </w:r>
      <w:r w:rsidR="005168A1" w:rsidRPr="006E6390">
        <w:rPr>
          <w:rFonts w:cs="Arial"/>
          <w:lang w:eastAsia="es-MX"/>
        </w:rPr>
        <w:lastRenderedPageBreak/>
        <w:t xml:space="preserve">36372-MINAET y desde entonces la concentración de azufre en el </w:t>
      </w:r>
      <w:r w:rsidR="000117A5" w:rsidRPr="006E6390">
        <w:rPr>
          <w:rFonts w:cs="Arial"/>
          <w:lang w:eastAsia="es-MX"/>
        </w:rPr>
        <w:t>diésel</w:t>
      </w:r>
      <w:r w:rsidR="005168A1" w:rsidRPr="006E6390">
        <w:rPr>
          <w:rFonts w:cs="Arial"/>
          <w:lang w:eastAsia="es-MX"/>
        </w:rPr>
        <w:t xml:space="preserve"> ha estado por debajo de este límite. </w:t>
      </w:r>
      <w:r w:rsidR="000117A5">
        <w:rPr>
          <w:rFonts w:cs="Arial"/>
          <w:lang w:eastAsia="es-MX"/>
        </w:rPr>
        <w:t xml:space="preserve"> </w:t>
      </w:r>
    </w:p>
    <w:p w14:paraId="7FC0AE06" w14:textId="77777777" w:rsidR="00AB325D" w:rsidRDefault="00AB325D" w:rsidP="000D6BF1">
      <w:pPr>
        <w:pStyle w:val="Prrafodelista"/>
        <w:spacing w:after="0"/>
        <w:contextualSpacing w:val="0"/>
        <w:rPr>
          <w:rFonts w:cs="Arial"/>
          <w:lang w:eastAsia="es-MX"/>
        </w:rPr>
      </w:pPr>
    </w:p>
    <w:p w14:paraId="5FC8903A" w14:textId="16FBEC2C" w:rsidR="00F41263" w:rsidRDefault="30554478" w:rsidP="30554478">
      <w:pPr>
        <w:pStyle w:val="Prrafodelista"/>
        <w:spacing w:after="0"/>
        <w:rPr>
          <w:rFonts w:cs="Arial"/>
          <w:lang w:eastAsia="es-MX"/>
        </w:rPr>
      </w:pPr>
      <w:r w:rsidRPr="30554478">
        <w:rPr>
          <w:rFonts w:cs="Arial"/>
          <w:lang w:eastAsia="es-MX"/>
        </w:rPr>
        <w:t>En 2020, 38,2% de las ventas físicas de combustibles correspondieron al diésel 50, porcentaje menor en 2021 (37,0%) y 2022 (35,8%).  La participación en los ingresos de venta fue de 38,3% en 2020, bajó a 37,0% en 2021 y subió en 2022 a 38,8% porque fue uno de los combustibles con más alto precio internacional en ese año.</w:t>
      </w:r>
    </w:p>
    <w:p w14:paraId="0E51C737" w14:textId="77777777" w:rsidR="00604C8B" w:rsidRPr="006E6390" w:rsidRDefault="00604C8B" w:rsidP="000D6BF1">
      <w:pPr>
        <w:pStyle w:val="Prrafodelista"/>
        <w:spacing w:after="0"/>
        <w:contextualSpacing w:val="0"/>
        <w:rPr>
          <w:rFonts w:cs="Arial"/>
          <w:lang w:eastAsia="es-MX"/>
        </w:rPr>
      </w:pPr>
    </w:p>
    <w:p w14:paraId="2C51F97B" w14:textId="77777777" w:rsidR="005168A1" w:rsidRPr="006E6390" w:rsidRDefault="005168A1" w:rsidP="005168A1">
      <w:pPr>
        <w:pStyle w:val="Prrafodelista"/>
        <w:rPr>
          <w:rFonts w:cs="Arial"/>
          <w:lang w:eastAsia="es-MX"/>
        </w:rPr>
      </w:pPr>
      <w:r w:rsidRPr="006E6390">
        <w:rPr>
          <w:rFonts w:cs="Arial"/>
          <w:lang w:eastAsia="es-MX"/>
        </w:rPr>
        <w:t xml:space="preserve">A partir del 1° de setiembre de 2017, tanto el </w:t>
      </w:r>
      <w:r w:rsidR="000117A5" w:rsidRPr="006E6390">
        <w:rPr>
          <w:rFonts w:cs="Arial"/>
          <w:lang w:eastAsia="es-MX"/>
        </w:rPr>
        <w:t>diésel</w:t>
      </w:r>
      <w:r w:rsidRPr="006E6390">
        <w:rPr>
          <w:rFonts w:cs="Arial"/>
          <w:lang w:eastAsia="es-MX"/>
        </w:rPr>
        <w:t xml:space="preserve"> como las gasolinas Plus 91 y Superior, salen a la venta con nuevos parámetros de calidad, luego de un proceso de rotación de inventarios realizado por RECOPE durante los dos meses anteriores, para asegurar que se cumpla la norma INTE E1:2016 para las gasolinas y la INTE E3:2017 para el </w:t>
      </w:r>
      <w:r w:rsidR="000117A5" w:rsidRPr="006E6390">
        <w:rPr>
          <w:rFonts w:cs="Arial"/>
          <w:lang w:eastAsia="es-MX"/>
        </w:rPr>
        <w:t>diésel</w:t>
      </w:r>
      <w:r w:rsidRPr="006E6390">
        <w:rPr>
          <w:rFonts w:cs="Arial"/>
          <w:lang w:eastAsia="es-MX"/>
        </w:rPr>
        <w:t xml:space="preserve">. </w:t>
      </w:r>
      <w:r w:rsidR="000117A5">
        <w:rPr>
          <w:rFonts w:cs="Arial"/>
          <w:lang w:eastAsia="es-MX"/>
        </w:rPr>
        <w:t xml:space="preserve"> </w:t>
      </w:r>
      <w:r w:rsidRPr="006E6390">
        <w:rPr>
          <w:rFonts w:cs="Arial"/>
          <w:lang w:eastAsia="es-MX"/>
        </w:rPr>
        <w:t>Por ejemplo, el año 2021, el valor promedio de azufre fue de 4,4 ppm.</w:t>
      </w:r>
    </w:p>
    <w:p w14:paraId="5FDCB98D" w14:textId="77777777" w:rsidR="005168A1" w:rsidRPr="006E6390" w:rsidRDefault="005168A1" w:rsidP="005168A1">
      <w:pPr>
        <w:pStyle w:val="Prrafodelista"/>
        <w:rPr>
          <w:rFonts w:cs="Arial"/>
          <w:lang w:eastAsia="es-MX"/>
        </w:rPr>
      </w:pPr>
    </w:p>
    <w:p w14:paraId="31C73635" w14:textId="77777777" w:rsidR="005168A1" w:rsidRPr="006E6390" w:rsidRDefault="005168A1" w:rsidP="005168A1">
      <w:pPr>
        <w:pStyle w:val="Prrafodelista"/>
        <w:rPr>
          <w:rFonts w:cs="Arial"/>
          <w:lang w:eastAsia="es-MX"/>
        </w:rPr>
      </w:pPr>
      <w:r w:rsidRPr="006E6390">
        <w:rPr>
          <w:rFonts w:cs="Arial"/>
          <w:lang w:eastAsia="es-MX"/>
        </w:rPr>
        <w:t xml:space="preserve">Dicha sustitución del Diesel 500 (de 500 partes por millón de azufre) por Diesel 50, ha sido un paso importante en materia de conservación del medio ambiente que le ha permitido a Costa Rica diferenciarse del resto de naciones centroamericanas, pues ha generado una reducción mayor al 90% de las emisiones de compuestos de azufre relacionadas con el consumo de este combustible. </w:t>
      </w:r>
      <w:r w:rsidR="00622717">
        <w:rPr>
          <w:rFonts w:cs="Arial"/>
          <w:lang w:eastAsia="es-MX"/>
        </w:rPr>
        <w:t xml:space="preserve"> </w:t>
      </w:r>
      <w:r w:rsidRPr="006E6390">
        <w:rPr>
          <w:rFonts w:cs="Arial"/>
          <w:lang w:eastAsia="es-MX"/>
        </w:rPr>
        <w:t>Esto, a su vez, ha permitido la importación de autobuses, camiones y automóviles con tecnologías más avanzadas, más eficientes y con normas de emisión más estrictas, los cuales ayudan a disminuir aún más los niveles de otros contaminantes que se generan por la combustión de hidrocarburos.</w:t>
      </w:r>
    </w:p>
    <w:p w14:paraId="42775CE1" w14:textId="77777777" w:rsidR="000951E0" w:rsidRPr="006E6390" w:rsidRDefault="000951E0" w:rsidP="005168A1">
      <w:pPr>
        <w:pStyle w:val="Prrafodelista"/>
        <w:rPr>
          <w:rFonts w:cs="Arial"/>
          <w:lang w:eastAsia="es-MX"/>
        </w:rPr>
      </w:pPr>
    </w:p>
    <w:p w14:paraId="78330478" w14:textId="0EDB46A9" w:rsidR="0080360C" w:rsidRDefault="00F41263" w:rsidP="000D6BF1">
      <w:pPr>
        <w:pStyle w:val="Prrafodelista"/>
        <w:numPr>
          <w:ilvl w:val="0"/>
          <w:numId w:val="24"/>
        </w:numPr>
        <w:spacing w:after="0"/>
        <w:contextualSpacing w:val="0"/>
        <w:rPr>
          <w:rFonts w:cs="Arial"/>
          <w:bCs/>
          <w:lang w:eastAsia="es-MX"/>
        </w:rPr>
      </w:pPr>
      <w:r w:rsidRPr="006E6390">
        <w:rPr>
          <w:rFonts w:cs="Arial"/>
          <w:b/>
          <w:lang w:eastAsia="es-MX"/>
        </w:rPr>
        <w:t xml:space="preserve">Diésel térmico: </w:t>
      </w:r>
      <w:r w:rsidRPr="000D6BF1">
        <w:rPr>
          <w:rFonts w:cs="Arial"/>
          <w:bCs/>
          <w:lang w:eastAsia="es-MX"/>
        </w:rPr>
        <w:t>este diésel se utilizaba únicamente en la generación térmica de electricidad</w:t>
      </w:r>
      <w:r w:rsidR="0080360C" w:rsidRPr="000D6BF1">
        <w:rPr>
          <w:rFonts w:cs="Arial"/>
          <w:bCs/>
          <w:lang w:eastAsia="es-MX"/>
        </w:rPr>
        <w:t xml:space="preserve">. </w:t>
      </w:r>
      <w:r w:rsidR="00622717" w:rsidRPr="000D6BF1">
        <w:rPr>
          <w:rFonts w:cs="Arial"/>
          <w:bCs/>
          <w:lang w:eastAsia="es-MX"/>
        </w:rPr>
        <w:t xml:space="preserve"> </w:t>
      </w:r>
      <w:r w:rsidR="0080360C" w:rsidRPr="000D6BF1">
        <w:rPr>
          <w:rFonts w:cs="Arial"/>
          <w:bCs/>
          <w:lang w:eastAsia="es-MX"/>
        </w:rPr>
        <w:t>Desde el año 2013 no se presentan ventas de este producto.</w:t>
      </w:r>
    </w:p>
    <w:p w14:paraId="0D326909" w14:textId="77777777" w:rsidR="000D6BF1" w:rsidRPr="000D6BF1" w:rsidRDefault="000D6BF1" w:rsidP="008E2266">
      <w:pPr>
        <w:spacing w:after="0"/>
        <w:ind w:left="360"/>
        <w:rPr>
          <w:rFonts w:cs="Arial"/>
          <w:bCs/>
          <w:lang w:eastAsia="es-MX"/>
        </w:rPr>
      </w:pPr>
    </w:p>
    <w:p w14:paraId="583F5C8A" w14:textId="77777777" w:rsidR="00B05838" w:rsidRPr="006E6390" w:rsidRDefault="00F41263" w:rsidP="009E4996">
      <w:pPr>
        <w:pStyle w:val="Prrafodelista"/>
        <w:numPr>
          <w:ilvl w:val="0"/>
          <w:numId w:val="21"/>
        </w:numPr>
        <w:rPr>
          <w:rFonts w:cs="Arial"/>
          <w:lang w:eastAsia="es-MX"/>
        </w:rPr>
      </w:pPr>
      <w:r w:rsidRPr="006E6390">
        <w:rPr>
          <w:rFonts w:cs="Arial"/>
          <w:b/>
          <w:lang w:eastAsia="es-MX"/>
        </w:rPr>
        <w:t xml:space="preserve">Jet A-1: </w:t>
      </w:r>
      <w:r w:rsidR="00B05838" w:rsidRPr="006E6390">
        <w:rPr>
          <w:rFonts w:cs="Arial"/>
          <w:lang w:eastAsia="es-MX"/>
        </w:rPr>
        <w:t xml:space="preserve">Es un combustible con buenas características de combustión y alto contenido energético, que se utiliza principalmente en motores de turbina utilizados por el transporte aéreo. </w:t>
      </w:r>
      <w:r w:rsidR="00622717">
        <w:rPr>
          <w:rFonts w:cs="Arial"/>
          <w:lang w:eastAsia="es-MX"/>
        </w:rPr>
        <w:t xml:space="preserve">- </w:t>
      </w:r>
      <w:r w:rsidR="00B05838" w:rsidRPr="006E6390">
        <w:rPr>
          <w:rFonts w:cs="Arial"/>
          <w:lang w:eastAsia="es-MX"/>
        </w:rPr>
        <w:t>Es una mezcla de hidrocarburos donde predominan las parafinas y compuestos nafténicos; contiene pequeñas cantidades de olefinas y un contenido de aromáticos restringido.</w:t>
      </w:r>
    </w:p>
    <w:p w14:paraId="11CDF82C" w14:textId="77777777" w:rsidR="00B05838" w:rsidRPr="006E6390" w:rsidRDefault="00B05838" w:rsidP="00B05838">
      <w:pPr>
        <w:pStyle w:val="Prrafodelista"/>
        <w:rPr>
          <w:rFonts w:cs="Arial"/>
          <w:lang w:eastAsia="es-MX"/>
        </w:rPr>
      </w:pPr>
    </w:p>
    <w:p w14:paraId="25B661E3" w14:textId="77777777" w:rsidR="00B05838" w:rsidRPr="006E6390" w:rsidRDefault="00B05838" w:rsidP="00B05838">
      <w:pPr>
        <w:pStyle w:val="Prrafodelista"/>
        <w:rPr>
          <w:rFonts w:cs="Arial"/>
          <w:lang w:eastAsia="es-MX"/>
        </w:rPr>
      </w:pPr>
      <w:r w:rsidRPr="006E6390">
        <w:rPr>
          <w:rFonts w:cs="Arial"/>
          <w:lang w:eastAsia="es-MX"/>
        </w:rPr>
        <w:t xml:space="preserve">RECOPE, consciente de la vulnerabilidad en el uso de estos combustibles, mantiene un estricto control de calidad, durante todo el proceso de almacenamiento y transporte hasta las aeronaves. </w:t>
      </w:r>
      <w:r w:rsidR="00622717">
        <w:rPr>
          <w:rFonts w:cs="Arial"/>
          <w:lang w:eastAsia="es-MX"/>
        </w:rPr>
        <w:t xml:space="preserve"> </w:t>
      </w:r>
      <w:r w:rsidRPr="006E6390">
        <w:rPr>
          <w:rFonts w:cs="Arial"/>
          <w:lang w:eastAsia="es-MX"/>
        </w:rPr>
        <w:t xml:space="preserve">Su calidad está establecida por el Reglamento Técnico No.32812 COMEXMINAE- MEIC del 20 de diciembre del 2005 y cumple con la lista de verificación "CHECK LIST" (JOINT FUELLING SYSTEM CHECK LIST Def Stan 91 -91). </w:t>
      </w:r>
      <w:r w:rsidR="00622717">
        <w:rPr>
          <w:rFonts w:cs="Arial"/>
          <w:lang w:eastAsia="es-MX"/>
        </w:rPr>
        <w:t xml:space="preserve"> </w:t>
      </w:r>
      <w:r w:rsidRPr="006E6390">
        <w:rPr>
          <w:rFonts w:cs="Arial"/>
          <w:lang w:eastAsia="es-MX"/>
        </w:rPr>
        <w:t xml:space="preserve">El "CHECK LIST" cuenta con el acuerdo de los más importantes distribuidores de combustible de aviación del mundo y reúne los requerimientos más exigentes de las especificaciones que se citan comúnmente para combustible de aviación: ASTM D 1655, Y MATERIAL DE GUIA de IATA. </w:t>
      </w:r>
    </w:p>
    <w:p w14:paraId="60D61A41" w14:textId="77777777" w:rsidR="00B05838" w:rsidRPr="006E6390" w:rsidRDefault="00B05838" w:rsidP="00B05838">
      <w:pPr>
        <w:pStyle w:val="Prrafodelista"/>
        <w:rPr>
          <w:rFonts w:cs="Arial"/>
          <w:lang w:eastAsia="es-MX"/>
        </w:rPr>
      </w:pPr>
    </w:p>
    <w:p w14:paraId="10BA12D2" w14:textId="39F0CC82" w:rsidR="001F388C" w:rsidRPr="006E6390" w:rsidRDefault="00F41263" w:rsidP="00B05838">
      <w:pPr>
        <w:pStyle w:val="Prrafodelista"/>
        <w:rPr>
          <w:rFonts w:cs="Arial"/>
          <w:lang w:eastAsia="es-MX"/>
        </w:rPr>
      </w:pPr>
      <w:r w:rsidRPr="006E6390">
        <w:rPr>
          <w:rFonts w:cs="Arial"/>
          <w:lang w:eastAsia="es-MX"/>
        </w:rPr>
        <w:lastRenderedPageBreak/>
        <w:t xml:space="preserve">Los ingresos por Jet A-1 representaron </w:t>
      </w:r>
      <w:r w:rsidR="000C1138" w:rsidRPr="006E6390">
        <w:rPr>
          <w:rFonts w:cs="Arial"/>
          <w:lang w:eastAsia="es-MX"/>
        </w:rPr>
        <w:t>5</w:t>
      </w:r>
      <w:r w:rsidRPr="006E6390">
        <w:rPr>
          <w:rFonts w:cs="Arial"/>
          <w:lang w:eastAsia="es-MX"/>
        </w:rPr>
        <w:t>,</w:t>
      </w:r>
      <w:r w:rsidR="000C1138" w:rsidRPr="006E6390">
        <w:rPr>
          <w:rFonts w:cs="Arial"/>
          <w:lang w:eastAsia="es-MX"/>
        </w:rPr>
        <w:t>5</w:t>
      </w:r>
      <w:r w:rsidRPr="006E6390">
        <w:rPr>
          <w:rFonts w:cs="Arial"/>
          <w:lang w:eastAsia="es-MX"/>
        </w:rPr>
        <w:t xml:space="preserve">% de los ingresos totales de </w:t>
      </w:r>
      <w:r w:rsidR="007F5313" w:rsidRPr="006E6390">
        <w:rPr>
          <w:rFonts w:cs="Arial"/>
          <w:lang w:eastAsia="es-MX"/>
        </w:rPr>
        <w:t>20</w:t>
      </w:r>
      <w:r w:rsidR="00A27177" w:rsidRPr="006E6390">
        <w:rPr>
          <w:rFonts w:cs="Arial"/>
          <w:lang w:eastAsia="es-MX"/>
        </w:rPr>
        <w:t>21</w:t>
      </w:r>
      <w:r w:rsidR="00D41CAB" w:rsidRPr="006E6390">
        <w:rPr>
          <w:rFonts w:cs="Arial"/>
          <w:lang w:eastAsia="es-MX"/>
        </w:rPr>
        <w:t xml:space="preserve">, aumentando a </w:t>
      </w:r>
      <w:r w:rsidR="000C1138" w:rsidRPr="006E6390">
        <w:rPr>
          <w:rFonts w:cs="Arial"/>
          <w:lang w:eastAsia="es-MX"/>
        </w:rPr>
        <w:t>96</w:t>
      </w:r>
      <w:r w:rsidR="00D41CAB" w:rsidRPr="006E6390">
        <w:rPr>
          <w:rFonts w:cs="Arial"/>
          <w:lang w:eastAsia="es-MX"/>
        </w:rPr>
        <w:t>,</w:t>
      </w:r>
      <w:r w:rsidR="000C1138" w:rsidRPr="006E6390">
        <w:rPr>
          <w:rFonts w:cs="Arial"/>
          <w:lang w:eastAsia="es-MX"/>
        </w:rPr>
        <w:t>1</w:t>
      </w:r>
      <w:r w:rsidR="00F47D68">
        <w:rPr>
          <w:rFonts w:cs="Arial"/>
          <w:lang w:eastAsia="es-MX"/>
        </w:rPr>
        <w:t xml:space="preserve"> </w:t>
      </w:r>
      <w:r w:rsidR="000C1138" w:rsidRPr="006E6390">
        <w:rPr>
          <w:rFonts w:cs="Arial"/>
          <w:lang w:eastAsia="es-MX"/>
        </w:rPr>
        <w:t xml:space="preserve">con respecto al </w:t>
      </w:r>
      <w:r w:rsidR="00383948" w:rsidRPr="006E6390">
        <w:rPr>
          <w:rFonts w:cs="Arial"/>
          <w:lang w:eastAsia="es-MX"/>
        </w:rPr>
        <w:t>202</w:t>
      </w:r>
      <w:r w:rsidR="000C1138" w:rsidRPr="006E6390">
        <w:rPr>
          <w:rFonts w:cs="Arial"/>
          <w:lang w:eastAsia="es-MX"/>
        </w:rPr>
        <w:t>0</w:t>
      </w:r>
      <w:r w:rsidR="007030FE">
        <w:rPr>
          <w:rFonts w:cs="Arial"/>
          <w:lang w:eastAsia="es-MX"/>
        </w:rPr>
        <w:t>, en 2022 continuaron al alza en 142% (combinación de alza volumétrica y precios más altos)</w:t>
      </w:r>
      <w:r w:rsidR="00F47D68">
        <w:rPr>
          <w:rFonts w:cs="Arial"/>
          <w:lang w:eastAsia="es-MX"/>
        </w:rPr>
        <w:t xml:space="preserve"> aumentando su participación al 9%</w:t>
      </w:r>
      <w:r w:rsidR="0080360C" w:rsidRPr="006E6390">
        <w:rPr>
          <w:rFonts w:cs="Arial"/>
          <w:lang w:eastAsia="es-MX"/>
        </w:rPr>
        <w:t>.</w:t>
      </w:r>
      <w:r w:rsidR="009458A5" w:rsidRPr="006E6390">
        <w:rPr>
          <w:rFonts w:cs="Arial"/>
          <w:lang w:eastAsia="es-MX"/>
        </w:rPr>
        <w:t xml:space="preserve"> </w:t>
      </w:r>
      <w:r w:rsidR="00622717">
        <w:rPr>
          <w:rFonts w:cs="Arial"/>
          <w:lang w:eastAsia="es-MX"/>
        </w:rPr>
        <w:t xml:space="preserve"> </w:t>
      </w:r>
      <w:r w:rsidRPr="006E6390">
        <w:rPr>
          <w:rFonts w:cs="Arial"/>
          <w:lang w:eastAsia="es-MX"/>
        </w:rPr>
        <w:t xml:space="preserve">Por su parte, el volumen vendido pasó de </w:t>
      </w:r>
      <w:r w:rsidR="008C742F" w:rsidRPr="006E6390">
        <w:rPr>
          <w:rFonts w:cs="Arial"/>
          <w:lang w:eastAsia="es-MX"/>
        </w:rPr>
        <w:t>8</w:t>
      </w:r>
      <w:r w:rsidRPr="006E6390">
        <w:rPr>
          <w:rFonts w:cs="Arial"/>
          <w:lang w:eastAsia="es-MX"/>
        </w:rPr>
        <w:t>,</w:t>
      </w:r>
      <w:r w:rsidR="004C12A2" w:rsidRPr="006E6390">
        <w:rPr>
          <w:rFonts w:cs="Arial"/>
          <w:lang w:eastAsia="es-MX"/>
        </w:rPr>
        <w:t>4</w:t>
      </w:r>
      <w:r w:rsidRPr="006E6390">
        <w:rPr>
          <w:rFonts w:cs="Arial"/>
          <w:lang w:eastAsia="es-MX"/>
        </w:rPr>
        <w:t>%</w:t>
      </w:r>
      <w:r w:rsidR="008C742F" w:rsidRPr="006E6390">
        <w:rPr>
          <w:rFonts w:cs="Arial"/>
          <w:lang w:eastAsia="es-MX"/>
        </w:rPr>
        <w:t xml:space="preserve"> en 2019</w:t>
      </w:r>
      <w:r w:rsidRPr="006E6390">
        <w:rPr>
          <w:rFonts w:cs="Arial"/>
          <w:lang w:eastAsia="es-MX"/>
        </w:rPr>
        <w:t xml:space="preserve"> a </w:t>
      </w:r>
      <w:r w:rsidR="008C742F" w:rsidRPr="006E6390">
        <w:rPr>
          <w:rFonts w:cs="Arial"/>
          <w:lang w:eastAsia="es-MX"/>
        </w:rPr>
        <w:t>4</w:t>
      </w:r>
      <w:r w:rsidR="004C12A2" w:rsidRPr="006E6390">
        <w:rPr>
          <w:rFonts w:cs="Arial"/>
          <w:lang w:eastAsia="es-MX"/>
        </w:rPr>
        <w:t>,</w:t>
      </w:r>
      <w:r w:rsidR="008C742F" w:rsidRPr="006E6390">
        <w:rPr>
          <w:rFonts w:cs="Arial"/>
          <w:lang w:eastAsia="es-MX"/>
        </w:rPr>
        <w:t>6</w:t>
      </w:r>
      <w:r w:rsidRPr="006E6390">
        <w:rPr>
          <w:rFonts w:cs="Arial"/>
          <w:lang w:eastAsia="es-MX"/>
        </w:rPr>
        <w:t>%</w:t>
      </w:r>
      <w:r w:rsidR="00E63F3C" w:rsidRPr="006E6390">
        <w:rPr>
          <w:rFonts w:cs="Arial"/>
          <w:lang w:eastAsia="es-MX"/>
        </w:rPr>
        <w:t xml:space="preserve"> en 20</w:t>
      </w:r>
      <w:r w:rsidR="008C742F" w:rsidRPr="006E6390">
        <w:rPr>
          <w:rFonts w:cs="Arial"/>
          <w:lang w:eastAsia="es-MX"/>
        </w:rPr>
        <w:t>20</w:t>
      </w:r>
      <w:r w:rsidR="00383948" w:rsidRPr="006E6390">
        <w:rPr>
          <w:rFonts w:cs="Arial"/>
          <w:lang w:eastAsia="es-MX"/>
        </w:rPr>
        <w:t xml:space="preserve">, </w:t>
      </w:r>
      <w:r w:rsidR="00E63F3C" w:rsidRPr="006E6390">
        <w:rPr>
          <w:rFonts w:cs="Arial"/>
          <w:lang w:eastAsia="es-MX"/>
        </w:rPr>
        <w:t>aumentando en 20</w:t>
      </w:r>
      <w:r w:rsidR="008C742F" w:rsidRPr="006E6390">
        <w:rPr>
          <w:rFonts w:cs="Arial"/>
          <w:lang w:eastAsia="es-MX"/>
        </w:rPr>
        <w:t>21</w:t>
      </w:r>
      <w:r w:rsidR="00E63F3C" w:rsidRPr="006E6390">
        <w:rPr>
          <w:rFonts w:cs="Arial"/>
          <w:lang w:eastAsia="es-MX"/>
        </w:rPr>
        <w:t xml:space="preserve"> </w:t>
      </w:r>
      <w:r w:rsidR="009458A5" w:rsidRPr="006E6390">
        <w:rPr>
          <w:rFonts w:cs="Arial"/>
          <w:lang w:eastAsia="es-MX"/>
        </w:rPr>
        <w:t>a 6</w:t>
      </w:r>
      <w:r w:rsidR="00E63F3C" w:rsidRPr="006E6390">
        <w:rPr>
          <w:rFonts w:cs="Arial"/>
          <w:lang w:eastAsia="es-MX"/>
        </w:rPr>
        <w:t>,</w:t>
      </w:r>
      <w:r w:rsidR="009458A5" w:rsidRPr="006E6390">
        <w:rPr>
          <w:rFonts w:cs="Arial"/>
          <w:lang w:eastAsia="es-MX"/>
        </w:rPr>
        <w:t>7</w:t>
      </w:r>
      <w:r w:rsidR="00E63F3C" w:rsidRPr="006E6390">
        <w:rPr>
          <w:rFonts w:cs="Arial"/>
          <w:lang w:eastAsia="es-MX"/>
        </w:rPr>
        <w:t>%</w:t>
      </w:r>
      <w:r w:rsidR="00F47D68">
        <w:rPr>
          <w:rFonts w:cs="Arial"/>
          <w:lang w:eastAsia="es-MX"/>
        </w:rPr>
        <w:t xml:space="preserve"> y luego a 9,1%</w:t>
      </w:r>
      <w:r w:rsidR="000E5F53">
        <w:rPr>
          <w:rFonts w:cs="Arial"/>
          <w:lang w:eastAsia="es-MX"/>
        </w:rPr>
        <w:t xml:space="preserve"> en 2022</w:t>
      </w:r>
      <w:r w:rsidR="00F47D68">
        <w:rPr>
          <w:rFonts w:cs="Arial"/>
          <w:lang w:eastAsia="es-MX"/>
        </w:rPr>
        <w:t>, es decir, superando los niveles prepandemia</w:t>
      </w:r>
      <w:r w:rsidR="00E63F3C" w:rsidRPr="006E6390">
        <w:rPr>
          <w:rFonts w:cs="Arial"/>
          <w:lang w:eastAsia="es-MX"/>
        </w:rPr>
        <w:t>.</w:t>
      </w:r>
    </w:p>
    <w:p w14:paraId="4D70C8A5" w14:textId="77777777" w:rsidR="00B05838" w:rsidRPr="006E6390" w:rsidRDefault="00B05838" w:rsidP="00B05838">
      <w:pPr>
        <w:pStyle w:val="Prrafodelista"/>
        <w:rPr>
          <w:rFonts w:cs="Arial"/>
          <w:lang w:eastAsia="es-MX"/>
        </w:rPr>
      </w:pPr>
    </w:p>
    <w:p w14:paraId="7ACE5148" w14:textId="77777777" w:rsidR="00BC2478" w:rsidRPr="006E6390" w:rsidRDefault="001F388C" w:rsidP="009E4996">
      <w:pPr>
        <w:pStyle w:val="Prrafodelista"/>
        <w:numPr>
          <w:ilvl w:val="0"/>
          <w:numId w:val="21"/>
        </w:numPr>
        <w:rPr>
          <w:rFonts w:cs="Arial"/>
          <w:lang w:eastAsia="es-MX"/>
        </w:rPr>
      </w:pPr>
      <w:r w:rsidRPr="006E6390">
        <w:rPr>
          <w:rFonts w:cs="Arial"/>
          <w:b/>
          <w:lang w:eastAsia="es-MX"/>
        </w:rPr>
        <w:t>G</w:t>
      </w:r>
      <w:r w:rsidR="00F41263" w:rsidRPr="006E6390">
        <w:rPr>
          <w:rFonts w:cs="Arial"/>
          <w:b/>
          <w:lang w:eastAsia="es-MX"/>
        </w:rPr>
        <w:t>as Licuado de Petróleo (</w:t>
      </w:r>
      <w:r w:rsidR="00D824DC">
        <w:rPr>
          <w:rFonts w:cs="Arial"/>
          <w:b/>
          <w:lang w:eastAsia="es-MX"/>
        </w:rPr>
        <w:t>GLP</w:t>
      </w:r>
      <w:r w:rsidR="00F41263" w:rsidRPr="006E6390">
        <w:rPr>
          <w:rFonts w:cs="Arial"/>
          <w:b/>
          <w:lang w:eastAsia="es-MX"/>
        </w:rPr>
        <w:t xml:space="preserve">): </w:t>
      </w:r>
      <w:r w:rsidR="00BC2478" w:rsidRPr="006E6390">
        <w:rPr>
          <w:rFonts w:cs="Arial"/>
          <w:lang w:eastAsia="es-MX"/>
        </w:rPr>
        <w:t>es una mezcla de hidrocarburos gaseosos provenientes de la refinación del petróleo, su uso ofrece grandes ventajas desde el punto de vista ambiental, ya que produce menos emisiones de gases contaminantes que los combustibles líquidos. Sus principales usos se dan en:</w:t>
      </w:r>
    </w:p>
    <w:p w14:paraId="58113436" w14:textId="77777777" w:rsidR="00BC2478" w:rsidRPr="006E6390" w:rsidRDefault="00BC2478" w:rsidP="00BC2478">
      <w:pPr>
        <w:pStyle w:val="Prrafodelista"/>
        <w:rPr>
          <w:rFonts w:cs="Arial"/>
          <w:lang w:eastAsia="es-MX"/>
        </w:rPr>
      </w:pPr>
    </w:p>
    <w:p w14:paraId="270CDB9A" w14:textId="77777777" w:rsidR="00BC2478" w:rsidRPr="006E6390" w:rsidRDefault="00BC2478" w:rsidP="00BC2478">
      <w:pPr>
        <w:pStyle w:val="Prrafodelista"/>
        <w:numPr>
          <w:ilvl w:val="0"/>
          <w:numId w:val="48"/>
        </w:numPr>
        <w:rPr>
          <w:rFonts w:cs="Arial"/>
          <w:lang w:eastAsia="es-MX"/>
        </w:rPr>
      </w:pPr>
      <w:r w:rsidRPr="006E6390">
        <w:rPr>
          <w:rFonts w:cs="Arial"/>
          <w:lang w:eastAsia="es-MX"/>
        </w:rPr>
        <w:t>Hogares, restaurantes y hotelería: se usa directamente en la cocción de alimentos, calentamiento de agua y secado de ropa.</w:t>
      </w:r>
    </w:p>
    <w:p w14:paraId="33517092" w14:textId="12AF2F3B" w:rsidR="00BC2478" w:rsidRPr="006E6390" w:rsidRDefault="00BC2478" w:rsidP="00BC2478">
      <w:pPr>
        <w:pStyle w:val="Prrafodelista"/>
        <w:numPr>
          <w:ilvl w:val="0"/>
          <w:numId w:val="48"/>
        </w:numPr>
        <w:rPr>
          <w:rFonts w:cs="Arial"/>
          <w:lang w:eastAsia="es-MX"/>
        </w:rPr>
      </w:pPr>
      <w:r w:rsidRPr="006E6390">
        <w:rPr>
          <w:rFonts w:cs="Arial"/>
          <w:lang w:eastAsia="es-MX"/>
        </w:rPr>
        <w:t xml:space="preserve">Producción industrial y energética: se utiliza en hornos de alta temperatura que requieren combustibles que dejen poco residuo. </w:t>
      </w:r>
      <w:r w:rsidR="008202C2">
        <w:rPr>
          <w:rFonts w:cs="Arial"/>
          <w:lang w:eastAsia="es-MX"/>
        </w:rPr>
        <w:t xml:space="preserve"> </w:t>
      </w:r>
      <w:r w:rsidRPr="006E6390">
        <w:rPr>
          <w:rFonts w:cs="Arial"/>
          <w:lang w:eastAsia="es-MX"/>
        </w:rPr>
        <w:t>Asimismo, se puede generar energía eléctrica mediante la utilización de un alternador en los sectores doméstico y agrícola.</w:t>
      </w:r>
    </w:p>
    <w:p w14:paraId="565871C5" w14:textId="77777777" w:rsidR="00BC2478" w:rsidRPr="006E6390" w:rsidRDefault="00BC2478" w:rsidP="00BC2478">
      <w:pPr>
        <w:pStyle w:val="Prrafodelista"/>
        <w:numPr>
          <w:ilvl w:val="0"/>
          <w:numId w:val="48"/>
        </w:numPr>
        <w:rPr>
          <w:rFonts w:cs="Arial"/>
          <w:lang w:eastAsia="es-MX"/>
        </w:rPr>
      </w:pPr>
      <w:r w:rsidRPr="006E6390">
        <w:rPr>
          <w:rFonts w:cs="Arial"/>
          <w:lang w:eastAsia="es-MX"/>
        </w:rPr>
        <w:t>Transporte: carretillas elevadoras, vehículos de turismo, autobuses urbanos, camiones de basura, vehículos livianos convertidos a Gas LP, etc.</w:t>
      </w:r>
    </w:p>
    <w:p w14:paraId="1A117F84" w14:textId="77777777" w:rsidR="00BC2478" w:rsidRPr="006E6390" w:rsidRDefault="00BC2478" w:rsidP="00BC2478">
      <w:pPr>
        <w:pStyle w:val="Prrafodelista"/>
        <w:rPr>
          <w:rFonts w:cs="Arial"/>
          <w:lang w:eastAsia="es-MX"/>
        </w:rPr>
      </w:pPr>
    </w:p>
    <w:p w14:paraId="2C55A27A" w14:textId="77777777" w:rsidR="00BC2478" w:rsidRPr="006E6390" w:rsidRDefault="00BC2478" w:rsidP="00BC2478">
      <w:pPr>
        <w:pStyle w:val="Prrafodelista"/>
        <w:rPr>
          <w:rFonts w:cs="Arial"/>
          <w:lang w:eastAsia="es-MX"/>
        </w:rPr>
      </w:pPr>
      <w:r w:rsidRPr="006E6390">
        <w:rPr>
          <w:rFonts w:cs="Arial"/>
          <w:lang w:eastAsia="es-MX"/>
        </w:rPr>
        <w:t>Los tipos de Gas LP y sus propiedades dependen de los componentes: puede ser solo propano, solo butano o una mezcla de ambos, con cantidades menores de etileno, propileno, butileno y pentano, entre otros. Como estos gases son inodoros e incoloros, por motivos de seguridad al Gas LP se le adiciona un odorizante (etil mercaptano) que le otorga un olor pestilente para posibilitar su identificación en caso de fugas.</w:t>
      </w:r>
    </w:p>
    <w:p w14:paraId="6C46ECA6" w14:textId="77777777" w:rsidR="00BC2478" w:rsidRPr="006E6390" w:rsidRDefault="00BC2478" w:rsidP="00BC2478">
      <w:pPr>
        <w:pStyle w:val="Prrafodelista"/>
        <w:rPr>
          <w:rFonts w:cs="Arial"/>
          <w:lang w:eastAsia="es-MX"/>
        </w:rPr>
      </w:pPr>
    </w:p>
    <w:p w14:paraId="77F17D55" w14:textId="66E89585" w:rsidR="00F41263" w:rsidRDefault="00BC2478" w:rsidP="00BC2478">
      <w:pPr>
        <w:pStyle w:val="Prrafodelista"/>
        <w:rPr>
          <w:rFonts w:cs="Arial"/>
          <w:lang w:eastAsia="es-MX"/>
        </w:rPr>
      </w:pPr>
      <w:r w:rsidRPr="006E6390">
        <w:rPr>
          <w:rFonts w:cs="Arial"/>
          <w:lang w:eastAsia="es-MX"/>
        </w:rPr>
        <w:t xml:space="preserve">Para almacenar el butano y el propano en estado líquido a temperatura ambiente, se requieren recipientes capaces de soportar de manera segura sus presiones de vapor, las cuales son de 2 y 10 atmósferas, respectivamente. </w:t>
      </w:r>
      <w:r w:rsidR="00622717">
        <w:rPr>
          <w:rFonts w:cs="Arial"/>
          <w:lang w:eastAsia="es-MX"/>
        </w:rPr>
        <w:t xml:space="preserve"> </w:t>
      </w:r>
      <w:r w:rsidRPr="006E6390">
        <w:rPr>
          <w:rFonts w:cs="Arial"/>
          <w:lang w:eastAsia="es-MX"/>
        </w:rPr>
        <w:t>Cabe mencionar que el almacenamiento a alta presión del Gas LP es más práctico y económico que el almacenamiento a presión atmosférica, pues se requerirían temperaturas de -0,5°C y -42,2°C, para mantener el butano y propano en estado líquido, respectivamente.</w:t>
      </w:r>
    </w:p>
    <w:p w14:paraId="03BCEDBB" w14:textId="77777777" w:rsidR="00604C8B" w:rsidRPr="006E6390" w:rsidRDefault="00604C8B" w:rsidP="000D6BF1">
      <w:pPr>
        <w:pStyle w:val="Prrafodelista"/>
        <w:spacing w:after="0"/>
        <w:rPr>
          <w:rFonts w:cs="Arial"/>
          <w:lang w:eastAsia="es-MX"/>
        </w:rPr>
      </w:pPr>
    </w:p>
    <w:p w14:paraId="06622EC7" w14:textId="11061DF8" w:rsidR="00F41263" w:rsidRPr="006E6390" w:rsidRDefault="008C1189" w:rsidP="001F388C">
      <w:pPr>
        <w:ind w:left="714"/>
        <w:rPr>
          <w:rFonts w:cs="Arial"/>
          <w:lang w:eastAsia="es-MX"/>
        </w:rPr>
      </w:pPr>
      <w:r w:rsidRPr="006E6390">
        <w:rPr>
          <w:rFonts w:cs="Arial"/>
          <w:lang w:eastAsia="es-MX"/>
        </w:rPr>
        <w:t>La participación del</w:t>
      </w:r>
      <w:r w:rsidR="00F65D7F" w:rsidRPr="006E6390">
        <w:rPr>
          <w:rFonts w:cs="Arial"/>
          <w:lang w:eastAsia="es-MX"/>
        </w:rPr>
        <w:t xml:space="preserve"> </w:t>
      </w:r>
      <w:r w:rsidR="00D824DC">
        <w:rPr>
          <w:rFonts w:cs="Arial"/>
          <w:lang w:eastAsia="es-MX"/>
        </w:rPr>
        <w:t>GLP</w:t>
      </w:r>
      <w:r w:rsidRPr="006E6390">
        <w:rPr>
          <w:rFonts w:cs="Arial"/>
          <w:lang w:eastAsia="es-MX"/>
        </w:rPr>
        <w:t xml:space="preserve"> en</w:t>
      </w:r>
      <w:r w:rsidR="00F65D7F" w:rsidRPr="006E6390">
        <w:rPr>
          <w:rFonts w:cs="Arial"/>
          <w:lang w:eastAsia="es-MX"/>
        </w:rPr>
        <w:t xml:space="preserve"> las ventas durante el año 202</w:t>
      </w:r>
      <w:r w:rsidRPr="006E6390">
        <w:rPr>
          <w:rFonts w:cs="Arial"/>
          <w:lang w:eastAsia="es-MX"/>
        </w:rPr>
        <w:t>1 fue de 11,4%</w:t>
      </w:r>
      <w:r w:rsidR="00F65D7F" w:rsidRPr="006E6390">
        <w:rPr>
          <w:rFonts w:cs="Arial"/>
          <w:lang w:eastAsia="es-MX"/>
        </w:rPr>
        <w:t xml:space="preserve">. </w:t>
      </w:r>
      <w:r w:rsidR="00622717">
        <w:rPr>
          <w:rFonts w:cs="Arial"/>
          <w:lang w:eastAsia="es-MX"/>
        </w:rPr>
        <w:t xml:space="preserve"> </w:t>
      </w:r>
      <w:r w:rsidR="00F41263" w:rsidRPr="006E6390">
        <w:rPr>
          <w:rFonts w:cs="Arial"/>
          <w:lang w:eastAsia="es-MX"/>
        </w:rPr>
        <w:t xml:space="preserve">En </w:t>
      </w:r>
      <w:r w:rsidR="00AA2BDD" w:rsidRPr="006E6390">
        <w:rPr>
          <w:rFonts w:cs="Arial"/>
          <w:lang w:eastAsia="es-MX"/>
        </w:rPr>
        <w:t>20</w:t>
      </w:r>
      <w:r w:rsidR="00AA2BDD">
        <w:rPr>
          <w:rFonts w:cs="Arial"/>
          <w:lang w:eastAsia="es-MX"/>
        </w:rPr>
        <w:t>20</w:t>
      </w:r>
      <w:r w:rsidR="00F41263" w:rsidRPr="006E6390">
        <w:rPr>
          <w:rFonts w:cs="Arial"/>
          <w:lang w:eastAsia="es-MX"/>
        </w:rPr>
        <w:t xml:space="preserve">, el volumen vendido de </w:t>
      </w:r>
      <w:r w:rsidR="00D824DC">
        <w:rPr>
          <w:rFonts w:cs="Arial"/>
          <w:lang w:eastAsia="es-MX"/>
        </w:rPr>
        <w:t>GLP</w:t>
      </w:r>
      <w:r w:rsidR="00F41263" w:rsidRPr="006E6390">
        <w:rPr>
          <w:rFonts w:cs="Arial"/>
          <w:lang w:eastAsia="es-MX"/>
        </w:rPr>
        <w:t xml:space="preserve"> representó </w:t>
      </w:r>
      <w:r w:rsidRPr="006E6390">
        <w:rPr>
          <w:rFonts w:cs="Arial"/>
          <w:lang w:eastAsia="es-MX"/>
        </w:rPr>
        <w:t>11</w:t>
      </w:r>
      <w:r w:rsidR="009734AC" w:rsidRPr="006E6390">
        <w:rPr>
          <w:rFonts w:cs="Arial"/>
          <w:lang w:eastAsia="es-MX"/>
        </w:rPr>
        <w:t>,</w:t>
      </w:r>
      <w:r w:rsidRPr="006E6390">
        <w:rPr>
          <w:rFonts w:cs="Arial"/>
          <w:lang w:eastAsia="es-MX"/>
        </w:rPr>
        <w:t>7</w:t>
      </w:r>
      <w:r w:rsidR="009734AC" w:rsidRPr="006E6390">
        <w:rPr>
          <w:rFonts w:cs="Arial"/>
          <w:lang w:eastAsia="es-MX"/>
        </w:rPr>
        <w:t>%</w:t>
      </w:r>
      <w:r w:rsidR="00AA2BDD">
        <w:rPr>
          <w:rFonts w:cs="Arial"/>
          <w:lang w:eastAsia="es-MX"/>
        </w:rPr>
        <w:t xml:space="preserve">, bajó a 11,4% en 2021 y volvió a 11,7% </w:t>
      </w:r>
      <w:r w:rsidR="009734AC" w:rsidRPr="006E6390">
        <w:rPr>
          <w:rFonts w:cs="Arial"/>
          <w:lang w:eastAsia="es-MX"/>
        </w:rPr>
        <w:t xml:space="preserve">en </w:t>
      </w:r>
      <w:r w:rsidR="00AA2BDD" w:rsidRPr="006E6390">
        <w:rPr>
          <w:rFonts w:cs="Arial"/>
          <w:lang w:eastAsia="es-MX"/>
        </w:rPr>
        <w:t>202</w:t>
      </w:r>
      <w:r w:rsidR="00AA2BDD">
        <w:rPr>
          <w:rFonts w:cs="Arial"/>
          <w:lang w:eastAsia="es-MX"/>
        </w:rPr>
        <w:t>2</w:t>
      </w:r>
      <w:r w:rsidR="00F41263" w:rsidRPr="006E6390">
        <w:rPr>
          <w:rFonts w:cs="Arial"/>
          <w:lang w:eastAsia="es-MX"/>
        </w:rPr>
        <w:t>.</w:t>
      </w:r>
      <w:r w:rsidR="00F65D7F" w:rsidRPr="006E6390">
        <w:rPr>
          <w:rFonts w:cs="Arial"/>
          <w:lang w:eastAsia="es-MX"/>
        </w:rPr>
        <w:t xml:space="preserve"> </w:t>
      </w:r>
      <w:r w:rsidR="00F41263" w:rsidRPr="006E6390">
        <w:rPr>
          <w:rFonts w:cs="Arial"/>
          <w:lang w:eastAsia="es-MX"/>
        </w:rPr>
        <w:t xml:space="preserve"> </w:t>
      </w:r>
      <w:r w:rsidR="000C1A53" w:rsidRPr="006E6390">
        <w:rPr>
          <w:rFonts w:cs="Arial"/>
          <w:lang w:eastAsia="es-MX"/>
        </w:rPr>
        <w:t xml:space="preserve">Los ingresos por </w:t>
      </w:r>
      <w:r w:rsidR="00D824DC">
        <w:rPr>
          <w:rFonts w:cs="Arial"/>
          <w:lang w:eastAsia="es-MX"/>
        </w:rPr>
        <w:t>GLP</w:t>
      </w:r>
      <w:r w:rsidR="000C1A53" w:rsidRPr="006E6390">
        <w:rPr>
          <w:rFonts w:cs="Arial"/>
          <w:lang w:eastAsia="es-MX"/>
        </w:rPr>
        <w:t xml:space="preserve"> representaron </w:t>
      </w:r>
      <w:r w:rsidR="00E50AD8" w:rsidRPr="006E6390">
        <w:rPr>
          <w:rFonts w:cs="Arial"/>
          <w:lang w:eastAsia="es-MX"/>
        </w:rPr>
        <w:t>3</w:t>
      </w:r>
      <w:r w:rsidR="000C1A53" w:rsidRPr="006E6390">
        <w:rPr>
          <w:rFonts w:cs="Arial"/>
          <w:lang w:eastAsia="es-MX"/>
        </w:rPr>
        <w:t>,</w:t>
      </w:r>
      <w:r w:rsidR="00A77598">
        <w:rPr>
          <w:rFonts w:cs="Arial"/>
          <w:lang w:eastAsia="es-MX"/>
        </w:rPr>
        <w:t>9</w:t>
      </w:r>
      <w:r w:rsidR="000C1A53" w:rsidRPr="006E6390">
        <w:rPr>
          <w:rFonts w:cs="Arial"/>
          <w:lang w:eastAsia="es-MX"/>
        </w:rPr>
        <w:t>% de las ventas</w:t>
      </w:r>
      <w:r w:rsidR="009734AC" w:rsidRPr="006E6390">
        <w:rPr>
          <w:rFonts w:cs="Arial"/>
          <w:lang w:eastAsia="es-MX"/>
        </w:rPr>
        <w:t xml:space="preserve"> en </w:t>
      </w:r>
      <w:r w:rsidR="00A77598" w:rsidRPr="006E6390">
        <w:rPr>
          <w:rFonts w:cs="Arial"/>
          <w:lang w:eastAsia="es-MX"/>
        </w:rPr>
        <w:t>20</w:t>
      </w:r>
      <w:r w:rsidR="00A77598">
        <w:rPr>
          <w:rFonts w:cs="Arial"/>
          <w:lang w:eastAsia="es-MX"/>
        </w:rPr>
        <w:t>20</w:t>
      </w:r>
      <w:r w:rsidR="000C1A53" w:rsidRPr="006E6390">
        <w:rPr>
          <w:rFonts w:cs="Arial"/>
          <w:lang w:eastAsia="es-MX"/>
        </w:rPr>
        <w:t xml:space="preserve">, </w:t>
      </w:r>
      <w:r w:rsidR="0080360C" w:rsidRPr="006E6390">
        <w:rPr>
          <w:rFonts w:cs="Arial"/>
          <w:lang w:eastAsia="es-MX"/>
        </w:rPr>
        <w:t xml:space="preserve">se </w:t>
      </w:r>
      <w:r w:rsidR="00E50AD8" w:rsidRPr="006E6390">
        <w:rPr>
          <w:rFonts w:cs="Arial"/>
          <w:lang w:eastAsia="es-MX"/>
        </w:rPr>
        <w:t>aumentar</w:t>
      </w:r>
      <w:r w:rsidR="0080360C" w:rsidRPr="006E6390">
        <w:rPr>
          <w:rFonts w:cs="Arial"/>
          <w:lang w:eastAsia="es-MX"/>
        </w:rPr>
        <w:t xml:space="preserve">on a </w:t>
      </w:r>
      <w:r w:rsidR="00A77598">
        <w:rPr>
          <w:rFonts w:cs="Arial"/>
          <w:lang w:eastAsia="es-MX"/>
        </w:rPr>
        <w:t>5,6</w:t>
      </w:r>
      <w:r w:rsidR="0080360C" w:rsidRPr="006E6390">
        <w:rPr>
          <w:rFonts w:cs="Arial"/>
          <w:lang w:eastAsia="es-MX"/>
        </w:rPr>
        <w:t xml:space="preserve">% en </w:t>
      </w:r>
      <w:r w:rsidR="00A77598" w:rsidRPr="006E6390">
        <w:rPr>
          <w:rFonts w:cs="Arial"/>
          <w:lang w:eastAsia="es-MX"/>
        </w:rPr>
        <w:t>202</w:t>
      </w:r>
      <w:r w:rsidR="00A77598">
        <w:rPr>
          <w:rFonts w:cs="Arial"/>
          <w:lang w:eastAsia="es-MX"/>
        </w:rPr>
        <w:t>1</w:t>
      </w:r>
      <w:r w:rsidR="00A77598" w:rsidRPr="006E6390">
        <w:rPr>
          <w:rFonts w:cs="Arial"/>
          <w:lang w:eastAsia="es-MX"/>
        </w:rPr>
        <w:t xml:space="preserve"> </w:t>
      </w:r>
      <w:r w:rsidR="00FF057E" w:rsidRPr="006E6390">
        <w:rPr>
          <w:rFonts w:cs="Arial"/>
          <w:lang w:eastAsia="es-MX"/>
        </w:rPr>
        <w:t xml:space="preserve">y </w:t>
      </w:r>
      <w:r w:rsidR="00E859E8">
        <w:rPr>
          <w:rFonts w:cs="Arial"/>
          <w:lang w:eastAsia="es-MX"/>
        </w:rPr>
        <w:t>cayendo a</w:t>
      </w:r>
      <w:r w:rsidR="00FF057E" w:rsidRPr="006E6390">
        <w:rPr>
          <w:rFonts w:cs="Arial"/>
          <w:lang w:eastAsia="es-MX"/>
        </w:rPr>
        <w:t xml:space="preserve"> </w:t>
      </w:r>
      <w:r w:rsidR="00E859E8">
        <w:rPr>
          <w:rFonts w:cs="Arial"/>
          <w:lang w:eastAsia="es-MX"/>
        </w:rPr>
        <w:t>4</w:t>
      </w:r>
      <w:r w:rsidR="00FF057E" w:rsidRPr="006E6390">
        <w:rPr>
          <w:rFonts w:cs="Arial"/>
          <w:lang w:eastAsia="es-MX"/>
        </w:rPr>
        <w:t>,</w:t>
      </w:r>
      <w:r w:rsidR="00E859E8">
        <w:rPr>
          <w:rFonts w:cs="Arial"/>
          <w:lang w:eastAsia="es-MX"/>
        </w:rPr>
        <w:t>4</w:t>
      </w:r>
      <w:r w:rsidR="00FF057E" w:rsidRPr="006E6390">
        <w:rPr>
          <w:rFonts w:cs="Arial"/>
          <w:lang w:eastAsia="es-MX"/>
        </w:rPr>
        <w:t xml:space="preserve">% </w:t>
      </w:r>
      <w:r w:rsidR="00E50AD8" w:rsidRPr="006E6390">
        <w:rPr>
          <w:rFonts w:cs="Arial"/>
          <w:lang w:eastAsia="es-MX"/>
        </w:rPr>
        <w:t>en 202</w:t>
      </w:r>
      <w:r w:rsidR="00E859E8">
        <w:rPr>
          <w:rFonts w:cs="Arial"/>
          <w:lang w:eastAsia="es-MX"/>
        </w:rPr>
        <w:t>2, debido a que este combustible no aumentó de precio como los demás.</w:t>
      </w:r>
    </w:p>
    <w:p w14:paraId="7FA9365F" w14:textId="2A7E2DF8" w:rsidR="00074A0A" w:rsidRDefault="00F41263" w:rsidP="009E4996">
      <w:pPr>
        <w:pStyle w:val="Prrafodelista"/>
        <w:numPr>
          <w:ilvl w:val="0"/>
          <w:numId w:val="21"/>
        </w:numPr>
        <w:tabs>
          <w:tab w:val="left" w:pos="9270"/>
        </w:tabs>
        <w:rPr>
          <w:rFonts w:cs="Arial"/>
          <w:lang w:eastAsia="es-MX"/>
        </w:rPr>
      </w:pPr>
      <w:r w:rsidRPr="006E6390">
        <w:rPr>
          <w:rFonts w:cs="Arial"/>
          <w:b/>
          <w:lang w:eastAsia="es-MX"/>
        </w:rPr>
        <w:t>Fuel Oil (B</w:t>
      </w:r>
      <w:r w:rsidR="00100D71">
        <w:rPr>
          <w:rFonts w:cs="Arial"/>
          <w:b/>
          <w:lang w:eastAsia="es-MX"/>
        </w:rPr>
        <w:t>ú</w:t>
      </w:r>
      <w:r w:rsidRPr="006E6390">
        <w:rPr>
          <w:rFonts w:cs="Arial"/>
          <w:b/>
          <w:lang w:eastAsia="es-MX"/>
        </w:rPr>
        <w:t xml:space="preserve">nker C): </w:t>
      </w:r>
      <w:r w:rsidR="00074A0A" w:rsidRPr="006E6390">
        <w:rPr>
          <w:rFonts w:cs="Arial"/>
          <w:lang w:eastAsia="es-MX"/>
        </w:rPr>
        <w:t>es un combustible residual de la destilación y craqueo del petróleo que está formado por hidrocarburos de cadena larga, tales como alcanos, ciclo alcanos y algunos compuestos aromáticos, lo cual permite obtener de él aceites, lubricantes, asfaltos y otros sub-productos mediante procesos de refinación.</w:t>
      </w:r>
    </w:p>
    <w:p w14:paraId="45B64687" w14:textId="77777777" w:rsidR="004554AE" w:rsidRPr="006E6390" w:rsidRDefault="004554AE" w:rsidP="000D6BF1">
      <w:pPr>
        <w:pStyle w:val="Prrafodelista"/>
        <w:tabs>
          <w:tab w:val="left" w:pos="9270"/>
        </w:tabs>
        <w:rPr>
          <w:rFonts w:cs="Arial"/>
          <w:lang w:eastAsia="es-MX"/>
        </w:rPr>
      </w:pPr>
    </w:p>
    <w:p w14:paraId="1997CF8D" w14:textId="77777777" w:rsidR="00074A0A" w:rsidRPr="006E6390" w:rsidRDefault="00074A0A" w:rsidP="00074A0A">
      <w:pPr>
        <w:pStyle w:val="Prrafodelista"/>
        <w:tabs>
          <w:tab w:val="left" w:pos="9270"/>
        </w:tabs>
        <w:rPr>
          <w:rFonts w:cs="Arial"/>
          <w:lang w:eastAsia="es-MX"/>
        </w:rPr>
      </w:pPr>
      <w:r w:rsidRPr="006E6390">
        <w:rPr>
          <w:rFonts w:cs="Arial"/>
          <w:lang w:eastAsia="es-MX"/>
        </w:rPr>
        <w:t>Tiene un color oscuro, olor característico a azufre y alta viscosidad.</w:t>
      </w:r>
      <w:r w:rsidR="00100D71">
        <w:rPr>
          <w:rFonts w:cs="Arial"/>
          <w:lang w:eastAsia="es-MX"/>
        </w:rPr>
        <w:t xml:space="preserve"> </w:t>
      </w:r>
      <w:r w:rsidRPr="006E6390">
        <w:rPr>
          <w:rFonts w:cs="Arial"/>
          <w:lang w:eastAsia="es-MX"/>
        </w:rPr>
        <w:t xml:space="preserve"> Además</w:t>
      </w:r>
      <w:r w:rsidR="00100D71">
        <w:rPr>
          <w:rFonts w:cs="Arial"/>
          <w:lang w:eastAsia="es-MX"/>
        </w:rPr>
        <w:t>,</w:t>
      </w:r>
      <w:r w:rsidRPr="006E6390">
        <w:rPr>
          <w:rFonts w:cs="Arial"/>
          <w:lang w:eastAsia="es-MX"/>
        </w:rPr>
        <w:t xml:space="preserve"> su alto poder calórico lo hace apto para su uso en generación de vapor de procesos industriales (mediante calderas), en hornos de fundición, plantas de generación eléctrica y en motores marinos, entre otros.</w:t>
      </w:r>
    </w:p>
    <w:p w14:paraId="70022392" w14:textId="77777777" w:rsidR="00074A0A" w:rsidRPr="006E6390" w:rsidRDefault="00074A0A" w:rsidP="00074A0A">
      <w:pPr>
        <w:pStyle w:val="Prrafodelista"/>
        <w:tabs>
          <w:tab w:val="left" w:pos="9270"/>
        </w:tabs>
        <w:rPr>
          <w:rFonts w:cs="Arial"/>
          <w:lang w:eastAsia="es-MX"/>
        </w:rPr>
      </w:pPr>
    </w:p>
    <w:p w14:paraId="1D1B7F98" w14:textId="5D603C48" w:rsidR="00074A0A" w:rsidRPr="006E6390" w:rsidRDefault="00074A0A" w:rsidP="00074A0A">
      <w:pPr>
        <w:pStyle w:val="Prrafodelista"/>
        <w:tabs>
          <w:tab w:val="left" w:pos="9270"/>
        </w:tabs>
        <w:rPr>
          <w:rFonts w:cs="Arial"/>
          <w:lang w:eastAsia="es-MX"/>
        </w:rPr>
      </w:pPr>
      <w:r w:rsidRPr="006E6390">
        <w:rPr>
          <w:rFonts w:cs="Arial"/>
          <w:lang w:eastAsia="es-MX"/>
        </w:rPr>
        <w:t>El b</w:t>
      </w:r>
      <w:r w:rsidR="001E3B79">
        <w:rPr>
          <w:rFonts w:cs="Arial"/>
          <w:lang w:eastAsia="es-MX"/>
        </w:rPr>
        <w:t>ú</w:t>
      </w:r>
      <w:r w:rsidRPr="006E6390">
        <w:rPr>
          <w:rFonts w:cs="Arial"/>
          <w:lang w:eastAsia="es-MX"/>
        </w:rPr>
        <w:t xml:space="preserve">nker se clasifica con números del 1 al 6, según su punto de ebullición, su composición y el uso para el cual se requiere. </w:t>
      </w:r>
      <w:r w:rsidR="001E3B79">
        <w:rPr>
          <w:rFonts w:cs="Arial"/>
          <w:lang w:eastAsia="es-MX"/>
        </w:rPr>
        <w:t xml:space="preserve"> </w:t>
      </w:r>
      <w:r w:rsidRPr="006E6390">
        <w:rPr>
          <w:rFonts w:cs="Arial"/>
          <w:lang w:eastAsia="es-MX"/>
        </w:rPr>
        <w:t>Además, cuanto mayor sea este número, mayor será su viscosidad y menor su precio.</w:t>
      </w:r>
    </w:p>
    <w:p w14:paraId="42FA9EE5" w14:textId="77777777" w:rsidR="00074A0A" w:rsidRPr="006E6390" w:rsidRDefault="00074A0A" w:rsidP="00074A0A">
      <w:pPr>
        <w:pStyle w:val="Prrafodelista"/>
        <w:tabs>
          <w:tab w:val="left" w:pos="9270"/>
        </w:tabs>
        <w:rPr>
          <w:rFonts w:cs="Arial"/>
          <w:lang w:eastAsia="es-MX"/>
        </w:rPr>
      </w:pPr>
    </w:p>
    <w:p w14:paraId="23AE8545" w14:textId="0076780E" w:rsidR="00074A0A" w:rsidRPr="006E6390" w:rsidRDefault="00074A0A" w:rsidP="00074A0A">
      <w:pPr>
        <w:pStyle w:val="Prrafodelista"/>
        <w:tabs>
          <w:tab w:val="left" w:pos="9270"/>
        </w:tabs>
        <w:rPr>
          <w:rFonts w:cs="Arial"/>
          <w:lang w:eastAsia="es-MX"/>
        </w:rPr>
      </w:pPr>
      <w:r w:rsidRPr="006E6390">
        <w:rPr>
          <w:rFonts w:cs="Arial"/>
          <w:lang w:eastAsia="es-MX"/>
        </w:rPr>
        <w:t xml:space="preserve">A causa de la alta viscosidad del bunker, se recomienda calentarlo en el tanque diario, entre 90°C y 96°C, esto para facilitar su inyección y aumentar la eficiencia de combustión en el horno o caldera. </w:t>
      </w:r>
      <w:r w:rsidR="00FB1A7A">
        <w:rPr>
          <w:rFonts w:cs="Arial"/>
          <w:lang w:eastAsia="es-MX"/>
        </w:rPr>
        <w:t xml:space="preserve"> </w:t>
      </w:r>
      <w:r w:rsidRPr="006E6390">
        <w:rPr>
          <w:rFonts w:cs="Arial"/>
          <w:lang w:eastAsia="es-MX"/>
        </w:rPr>
        <w:t xml:space="preserve">El bunker no debe sobrepasar los 100°C en los tanques de almacenamiento, para evitar que los hidrocarburos livianos se evaporicen y así mantener su poder calórico original. </w:t>
      </w:r>
    </w:p>
    <w:p w14:paraId="793B65E1" w14:textId="77777777" w:rsidR="00074A0A" w:rsidRPr="006E6390" w:rsidRDefault="00074A0A" w:rsidP="00074A0A">
      <w:pPr>
        <w:pStyle w:val="Prrafodelista"/>
        <w:tabs>
          <w:tab w:val="left" w:pos="9270"/>
        </w:tabs>
        <w:rPr>
          <w:rFonts w:cs="Arial"/>
          <w:lang w:eastAsia="es-MX"/>
        </w:rPr>
      </w:pPr>
    </w:p>
    <w:p w14:paraId="76C06351" w14:textId="7ED436F6" w:rsidR="00F41263" w:rsidRDefault="00F41263" w:rsidP="00074A0A">
      <w:pPr>
        <w:pStyle w:val="Prrafodelista"/>
        <w:tabs>
          <w:tab w:val="left" w:pos="9270"/>
        </w:tabs>
        <w:rPr>
          <w:rFonts w:cs="Arial"/>
          <w:lang w:eastAsia="es-MX"/>
        </w:rPr>
      </w:pPr>
      <w:r w:rsidRPr="006E6390">
        <w:rPr>
          <w:rFonts w:cs="Arial"/>
          <w:lang w:eastAsia="es-MX"/>
        </w:rPr>
        <w:t>Los ingresos por b</w:t>
      </w:r>
      <w:r w:rsidR="006B69D7" w:rsidRPr="006E6390">
        <w:rPr>
          <w:rFonts w:cs="Arial"/>
          <w:lang w:eastAsia="es-MX"/>
        </w:rPr>
        <w:t>ú</w:t>
      </w:r>
      <w:r w:rsidRPr="006E6390">
        <w:rPr>
          <w:rFonts w:cs="Arial"/>
          <w:lang w:eastAsia="es-MX"/>
        </w:rPr>
        <w:t>nker consideran las ventas de Búnker 3% de azufre (3%S), que se utiliza en el sector industrial, y b</w:t>
      </w:r>
      <w:r w:rsidR="001E3B79">
        <w:rPr>
          <w:rFonts w:cs="Arial"/>
          <w:lang w:eastAsia="es-MX"/>
        </w:rPr>
        <w:t>ú</w:t>
      </w:r>
      <w:r w:rsidRPr="006E6390">
        <w:rPr>
          <w:rFonts w:cs="Arial"/>
          <w:lang w:eastAsia="es-MX"/>
        </w:rPr>
        <w:t xml:space="preserve">nker de </w:t>
      </w:r>
      <w:r w:rsidR="00052AC3" w:rsidRPr="006E6390">
        <w:rPr>
          <w:rFonts w:cs="Arial"/>
          <w:lang w:eastAsia="es-MX"/>
        </w:rPr>
        <w:t>2,0</w:t>
      </w:r>
      <w:r w:rsidRPr="006E6390">
        <w:rPr>
          <w:rFonts w:cs="Arial"/>
          <w:lang w:eastAsia="es-MX"/>
        </w:rPr>
        <w:t xml:space="preserve">% azufre, que se importa a pedido del ICE para el Complejo de Producción Garabito. </w:t>
      </w:r>
    </w:p>
    <w:p w14:paraId="2E4D6817" w14:textId="77777777" w:rsidR="00C17168" w:rsidRPr="006E6390" w:rsidRDefault="00C17168" w:rsidP="000D6BF1">
      <w:pPr>
        <w:pStyle w:val="Prrafodelista"/>
        <w:tabs>
          <w:tab w:val="left" w:pos="9270"/>
        </w:tabs>
        <w:spacing w:after="0"/>
        <w:rPr>
          <w:rFonts w:cs="Arial"/>
          <w:lang w:eastAsia="es-MX"/>
        </w:rPr>
      </w:pPr>
    </w:p>
    <w:p w14:paraId="4DAF20EC" w14:textId="0975A9CB" w:rsidR="00F41263" w:rsidRDefault="00F41263" w:rsidP="000D6BF1">
      <w:pPr>
        <w:tabs>
          <w:tab w:val="left" w:pos="9270"/>
        </w:tabs>
        <w:spacing w:after="0"/>
        <w:ind w:left="720"/>
        <w:rPr>
          <w:rFonts w:cs="Arial"/>
          <w:lang w:eastAsia="es-MX"/>
        </w:rPr>
      </w:pPr>
      <w:r w:rsidRPr="006E6390">
        <w:rPr>
          <w:rFonts w:cs="Arial"/>
          <w:lang w:eastAsia="es-MX"/>
        </w:rPr>
        <w:t>Las ventas del bunker 3%S representaron 1,</w:t>
      </w:r>
      <w:r w:rsidR="00D07E98">
        <w:rPr>
          <w:rFonts w:cs="Arial"/>
          <w:lang w:eastAsia="es-MX"/>
        </w:rPr>
        <w:t>3</w:t>
      </w:r>
      <w:r w:rsidRPr="006E6390">
        <w:rPr>
          <w:rFonts w:cs="Arial"/>
          <w:lang w:eastAsia="es-MX"/>
        </w:rPr>
        <w:t xml:space="preserve">% en </w:t>
      </w:r>
      <w:r w:rsidR="00D07E98" w:rsidRPr="006E6390">
        <w:rPr>
          <w:rFonts w:cs="Arial"/>
          <w:lang w:eastAsia="es-MX"/>
        </w:rPr>
        <w:t>20</w:t>
      </w:r>
      <w:r w:rsidR="00D07E98">
        <w:rPr>
          <w:rFonts w:cs="Arial"/>
          <w:lang w:eastAsia="es-MX"/>
        </w:rPr>
        <w:t>20</w:t>
      </w:r>
      <w:r w:rsidR="00D07E98" w:rsidRPr="006E6390">
        <w:rPr>
          <w:rFonts w:cs="Arial"/>
          <w:lang w:eastAsia="es-MX"/>
        </w:rPr>
        <w:t xml:space="preserve"> </w:t>
      </w:r>
      <w:r w:rsidR="00D07E98">
        <w:rPr>
          <w:rFonts w:cs="Arial"/>
          <w:lang w:eastAsia="es-MX"/>
        </w:rPr>
        <w:t>subiendo</w:t>
      </w:r>
      <w:r w:rsidR="00D07E98" w:rsidRPr="006E6390">
        <w:rPr>
          <w:rFonts w:cs="Arial"/>
          <w:lang w:eastAsia="es-MX"/>
        </w:rPr>
        <w:t xml:space="preserve"> </w:t>
      </w:r>
      <w:r w:rsidR="00B57509" w:rsidRPr="006E6390">
        <w:rPr>
          <w:rFonts w:cs="Arial"/>
          <w:lang w:eastAsia="es-MX"/>
        </w:rPr>
        <w:t>a 1,</w:t>
      </w:r>
      <w:r w:rsidR="00D07E98">
        <w:rPr>
          <w:rFonts w:cs="Arial"/>
          <w:lang w:eastAsia="es-MX"/>
        </w:rPr>
        <w:t>7</w:t>
      </w:r>
      <w:r w:rsidR="00B57509" w:rsidRPr="006E6390">
        <w:rPr>
          <w:rFonts w:cs="Arial"/>
          <w:lang w:eastAsia="es-MX"/>
        </w:rPr>
        <w:t xml:space="preserve">% en </w:t>
      </w:r>
      <w:r w:rsidR="00D07E98" w:rsidRPr="006E6390">
        <w:rPr>
          <w:rFonts w:cs="Arial"/>
          <w:lang w:eastAsia="es-MX"/>
        </w:rPr>
        <w:t>202</w:t>
      </w:r>
      <w:r w:rsidR="00D07E98">
        <w:rPr>
          <w:rFonts w:cs="Arial"/>
          <w:lang w:eastAsia="es-MX"/>
        </w:rPr>
        <w:t>1 y 2022</w:t>
      </w:r>
      <w:r w:rsidRPr="006E6390">
        <w:rPr>
          <w:rFonts w:cs="Arial"/>
          <w:lang w:eastAsia="es-MX"/>
        </w:rPr>
        <w:t xml:space="preserve">, mientras que el volumen pasó de </w:t>
      </w:r>
      <w:r w:rsidR="00D07E98">
        <w:rPr>
          <w:rFonts w:cs="Arial"/>
          <w:lang w:eastAsia="es-MX"/>
        </w:rPr>
        <w:t>3,2</w:t>
      </w:r>
      <w:r w:rsidRPr="006E6390">
        <w:rPr>
          <w:rFonts w:cs="Arial"/>
          <w:lang w:eastAsia="es-MX"/>
        </w:rPr>
        <w:t xml:space="preserve">% a </w:t>
      </w:r>
      <w:r w:rsidR="00FE1056" w:rsidRPr="006E6390">
        <w:rPr>
          <w:rFonts w:cs="Arial"/>
          <w:lang w:eastAsia="es-MX"/>
        </w:rPr>
        <w:t>3</w:t>
      </w:r>
      <w:r w:rsidR="00C06AD5" w:rsidRPr="006E6390">
        <w:rPr>
          <w:rFonts w:cs="Arial"/>
          <w:lang w:eastAsia="es-MX"/>
        </w:rPr>
        <w:t>,</w:t>
      </w:r>
      <w:r w:rsidR="00D07E98">
        <w:rPr>
          <w:rFonts w:cs="Arial"/>
          <w:lang w:eastAsia="es-MX"/>
        </w:rPr>
        <w:t>1</w:t>
      </w:r>
      <w:r w:rsidRPr="006E6390">
        <w:rPr>
          <w:rFonts w:cs="Arial"/>
          <w:lang w:eastAsia="es-MX"/>
        </w:rPr>
        <w:t>%</w:t>
      </w:r>
      <w:r w:rsidR="00263764">
        <w:rPr>
          <w:rFonts w:cs="Arial"/>
          <w:lang w:eastAsia="es-MX"/>
        </w:rPr>
        <w:t xml:space="preserve"> de 2020 a 2021 y bajando levemente a 3,0% en 2022</w:t>
      </w:r>
      <w:r w:rsidRPr="006E6390">
        <w:rPr>
          <w:rFonts w:cs="Arial"/>
          <w:lang w:eastAsia="es-MX"/>
        </w:rPr>
        <w:t xml:space="preserve">. </w:t>
      </w:r>
      <w:r w:rsidR="00FE3EB9" w:rsidRPr="006E6390">
        <w:rPr>
          <w:rFonts w:cs="Arial"/>
          <w:lang w:eastAsia="es-MX"/>
        </w:rPr>
        <w:t xml:space="preserve"> </w:t>
      </w:r>
      <w:r w:rsidRPr="006E6390">
        <w:rPr>
          <w:rFonts w:cs="Arial"/>
          <w:lang w:eastAsia="es-MX"/>
        </w:rPr>
        <w:t xml:space="preserve">La disparidad entre ingresos y volumen se explica porque el </w:t>
      </w:r>
      <w:r w:rsidR="00FE3EB9" w:rsidRPr="006E6390">
        <w:rPr>
          <w:rFonts w:cs="Arial"/>
          <w:lang w:eastAsia="es-MX"/>
        </w:rPr>
        <w:t xml:space="preserve">búnker </w:t>
      </w:r>
      <w:r w:rsidRPr="006E6390">
        <w:rPr>
          <w:rFonts w:cs="Arial"/>
          <w:lang w:eastAsia="es-MX"/>
        </w:rPr>
        <w:t xml:space="preserve">se vende a un precio menor por la aplicación de la Política Sectorial. </w:t>
      </w:r>
    </w:p>
    <w:p w14:paraId="1CBF61FA" w14:textId="77777777" w:rsidR="00C17168" w:rsidRPr="006E6390" w:rsidRDefault="00C17168" w:rsidP="000D6BF1">
      <w:pPr>
        <w:tabs>
          <w:tab w:val="left" w:pos="9270"/>
        </w:tabs>
        <w:spacing w:after="0"/>
        <w:ind w:left="720"/>
        <w:rPr>
          <w:rFonts w:cs="Arial"/>
          <w:lang w:eastAsia="es-MX"/>
        </w:rPr>
      </w:pPr>
    </w:p>
    <w:p w14:paraId="528ED95F" w14:textId="01FF9623" w:rsidR="00F41263" w:rsidRPr="006E6390" w:rsidRDefault="00F41263" w:rsidP="001F388C">
      <w:pPr>
        <w:tabs>
          <w:tab w:val="left" w:pos="9270"/>
        </w:tabs>
        <w:ind w:left="720"/>
        <w:rPr>
          <w:rFonts w:cs="Arial"/>
          <w:lang w:eastAsia="es-MX"/>
        </w:rPr>
      </w:pPr>
      <w:r w:rsidRPr="006E6390">
        <w:rPr>
          <w:rFonts w:cs="Arial"/>
          <w:lang w:eastAsia="es-MX"/>
        </w:rPr>
        <w:t xml:space="preserve">En el caso de las </w:t>
      </w:r>
      <w:r w:rsidRPr="00B34EDD">
        <w:rPr>
          <w:rFonts w:cs="Arial"/>
          <w:lang w:eastAsia="es-MX"/>
        </w:rPr>
        <w:t>ventas de b</w:t>
      </w:r>
      <w:r w:rsidR="006B69D7" w:rsidRPr="00B34EDD">
        <w:rPr>
          <w:rFonts w:cs="Arial"/>
          <w:lang w:eastAsia="es-MX"/>
        </w:rPr>
        <w:t>ú</w:t>
      </w:r>
      <w:r w:rsidRPr="00B34EDD">
        <w:rPr>
          <w:rFonts w:cs="Arial"/>
          <w:lang w:eastAsia="es-MX"/>
        </w:rPr>
        <w:t>nker</w:t>
      </w:r>
      <w:r w:rsidRPr="006E6390">
        <w:rPr>
          <w:rFonts w:cs="Arial"/>
          <w:lang w:eastAsia="es-MX"/>
        </w:rPr>
        <w:t xml:space="preserve"> </w:t>
      </w:r>
      <w:r w:rsidR="00052AC3" w:rsidRPr="006E6390">
        <w:rPr>
          <w:rFonts w:cs="Arial"/>
          <w:lang w:eastAsia="es-MX"/>
        </w:rPr>
        <w:t>2,0</w:t>
      </w:r>
      <w:r w:rsidRPr="006E6390">
        <w:rPr>
          <w:rFonts w:cs="Arial"/>
          <w:lang w:eastAsia="es-MX"/>
        </w:rPr>
        <w:t>%S</w:t>
      </w:r>
      <w:r w:rsidR="0066145C" w:rsidRPr="006E6390">
        <w:rPr>
          <w:rFonts w:cs="Arial"/>
          <w:lang w:eastAsia="es-MX"/>
        </w:rPr>
        <w:t>, las ventas que se realizan son esporádicas</w:t>
      </w:r>
      <w:r w:rsidR="006D0D46" w:rsidRPr="006E6390">
        <w:rPr>
          <w:rFonts w:cs="Arial"/>
          <w:lang w:eastAsia="es-MX"/>
        </w:rPr>
        <w:t xml:space="preserve">, según sean los requerimientos para la generación térmica. </w:t>
      </w:r>
      <w:r w:rsidRPr="006E6390">
        <w:rPr>
          <w:rFonts w:cs="Arial"/>
          <w:lang w:eastAsia="es-MX"/>
        </w:rPr>
        <w:t xml:space="preserve"> </w:t>
      </w:r>
      <w:r w:rsidR="006D0D46" w:rsidRPr="006E6390">
        <w:rPr>
          <w:rFonts w:cs="Arial"/>
          <w:lang w:eastAsia="es-MX"/>
        </w:rPr>
        <w:t>E</w:t>
      </w:r>
      <w:r w:rsidR="00B31D3E" w:rsidRPr="006E6390">
        <w:rPr>
          <w:rFonts w:cs="Arial"/>
          <w:lang w:eastAsia="es-MX"/>
        </w:rPr>
        <w:t>n 2019</w:t>
      </w:r>
      <w:r w:rsidR="006D0D46" w:rsidRPr="006E6390">
        <w:rPr>
          <w:rFonts w:cs="Arial"/>
          <w:lang w:eastAsia="es-MX"/>
        </w:rPr>
        <w:t>,</w:t>
      </w:r>
      <w:r w:rsidR="00B31D3E" w:rsidRPr="006E6390">
        <w:rPr>
          <w:rFonts w:cs="Arial"/>
          <w:lang w:eastAsia="es-MX"/>
        </w:rPr>
        <w:t xml:space="preserve"> e</w:t>
      </w:r>
      <w:r w:rsidR="006D0D46" w:rsidRPr="006E6390">
        <w:rPr>
          <w:rFonts w:cs="Arial"/>
          <w:lang w:eastAsia="es-MX"/>
        </w:rPr>
        <w:t>l</w:t>
      </w:r>
      <w:r w:rsidR="00B31D3E" w:rsidRPr="006E6390">
        <w:rPr>
          <w:rFonts w:cs="Arial"/>
          <w:lang w:eastAsia="es-MX"/>
        </w:rPr>
        <w:t xml:space="preserve"> volumen</w:t>
      </w:r>
      <w:r w:rsidR="006D0D46" w:rsidRPr="006E6390">
        <w:rPr>
          <w:rFonts w:cs="Arial"/>
          <w:lang w:eastAsia="es-MX"/>
        </w:rPr>
        <w:t xml:space="preserve"> vendido represento</w:t>
      </w:r>
      <w:r w:rsidR="00B31D3E" w:rsidRPr="006E6390">
        <w:rPr>
          <w:rFonts w:cs="Arial"/>
          <w:lang w:eastAsia="es-MX"/>
        </w:rPr>
        <w:t xml:space="preserve"> 0,7% </w:t>
      </w:r>
      <w:r w:rsidR="006D0D46" w:rsidRPr="006E6390">
        <w:rPr>
          <w:rFonts w:cs="Arial"/>
          <w:lang w:eastAsia="es-MX"/>
        </w:rPr>
        <w:t xml:space="preserve">del total </w:t>
      </w:r>
      <w:r w:rsidR="00B31D3E" w:rsidRPr="006E6390">
        <w:rPr>
          <w:rFonts w:cs="Arial"/>
          <w:lang w:eastAsia="es-MX"/>
        </w:rPr>
        <w:t>y 0,3%</w:t>
      </w:r>
      <w:r w:rsidR="006D0D46" w:rsidRPr="006E6390">
        <w:rPr>
          <w:rFonts w:cs="Arial"/>
          <w:lang w:eastAsia="es-MX"/>
        </w:rPr>
        <w:t xml:space="preserve"> de los ingresos.</w:t>
      </w:r>
      <w:r w:rsidR="00DF4EE7" w:rsidRPr="006E6390">
        <w:rPr>
          <w:rFonts w:cs="Arial"/>
          <w:lang w:eastAsia="es-MX"/>
        </w:rPr>
        <w:t xml:space="preserve">  En 2020</w:t>
      </w:r>
      <w:r w:rsidR="00FE1056" w:rsidRPr="006E6390">
        <w:rPr>
          <w:rFonts w:cs="Arial"/>
          <w:lang w:eastAsia="es-MX"/>
        </w:rPr>
        <w:t xml:space="preserve"> y 2021</w:t>
      </w:r>
      <w:r w:rsidR="00DF4EE7" w:rsidRPr="006E6390">
        <w:rPr>
          <w:rFonts w:cs="Arial"/>
          <w:lang w:eastAsia="es-MX"/>
        </w:rPr>
        <w:t>, no se realizó ninguna importación ni venta de este producto</w:t>
      </w:r>
      <w:r w:rsidR="00263764">
        <w:rPr>
          <w:rFonts w:cs="Arial"/>
          <w:lang w:eastAsia="es-MX"/>
        </w:rPr>
        <w:t>, se reactivaron las importaciones en diciembre de 2022, cerrando el año con 0,4% del volumen de ventas y el 0,3% de los ingresos.</w:t>
      </w:r>
    </w:p>
    <w:p w14:paraId="4D35F0F8" w14:textId="77777777" w:rsidR="00CE0348" w:rsidRPr="006E6390" w:rsidRDefault="00F41263" w:rsidP="00CE0348">
      <w:pPr>
        <w:pStyle w:val="Prrafodelista"/>
        <w:numPr>
          <w:ilvl w:val="0"/>
          <w:numId w:val="21"/>
        </w:numPr>
        <w:rPr>
          <w:rFonts w:cs="Arial"/>
          <w:lang w:eastAsia="es-MX"/>
        </w:rPr>
      </w:pPr>
      <w:r w:rsidRPr="006E6390">
        <w:rPr>
          <w:rFonts w:cs="Arial"/>
          <w:b/>
          <w:lang w:eastAsia="es-MX"/>
        </w:rPr>
        <w:t xml:space="preserve">Asfalto: </w:t>
      </w:r>
      <w:r w:rsidR="00CE0348" w:rsidRPr="006E6390">
        <w:rPr>
          <w:rFonts w:cs="Arial"/>
          <w:lang w:eastAsia="es-MX"/>
        </w:rPr>
        <w:t>es un material cementante sólido o semisólido, de color negro, compuesto principalmente de hidrocarburos de alto peso molecular, que se puede obtener en forma natural o mediante procesos de refinación del petróleo.</w:t>
      </w:r>
    </w:p>
    <w:p w14:paraId="296A43AB" w14:textId="77777777" w:rsidR="00CE0348" w:rsidRPr="006E6390" w:rsidRDefault="00CE0348" w:rsidP="00CE0348">
      <w:pPr>
        <w:pStyle w:val="Prrafodelista"/>
        <w:rPr>
          <w:rFonts w:cs="Arial"/>
          <w:lang w:eastAsia="es-MX"/>
        </w:rPr>
      </w:pPr>
    </w:p>
    <w:p w14:paraId="6CB2CE56" w14:textId="77777777" w:rsidR="00CE0348" w:rsidRPr="006E6390" w:rsidRDefault="00CE0348" w:rsidP="00CE0348">
      <w:pPr>
        <w:pStyle w:val="Prrafodelista"/>
        <w:rPr>
          <w:rFonts w:cs="Arial"/>
          <w:lang w:eastAsia="es-MX"/>
        </w:rPr>
      </w:pPr>
      <w:r w:rsidRPr="006E6390">
        <w:rPr>
          <w:rFonts w:cs="Arial"/>
          <w:lang w:eastAsia="es-MX"/>
        </w:rPr>
        <w:t xml:space="preserve">Tiene gran valor desde el punto de vista de ingeniería, pues es fuerte, adhesivo, durable, altamente resistente a la reacción con ácidos, bases, sales y además provee una apropiada flexibilidad a sus mezclas con agregado mineral. </w:t>
      </w:r>
      <w:r w:rsidR="00884D6F">
        <w:rPr>
          <w:rFonts w:cs="Arial"/>
          <w:lang w:eastAsia="es-MX"/>
        </w:rPr>
        <w:t xml:space="preserve"> </w:t>
      </w:r>
      <w:r w:rsidRPr="006E6390">
        <w:rPr>
          <w:rFonts w:cs="Arial"/>
          <w:lang w:eastAsia="es-MX"/>
        </w:rPr>
        <w:t>Por ende, se usa en la construcción y conservación de las carreteras, así como en láminas para techo y adoquines.</w:t>
      </w:r>
    </w:p>
    <w:p w14:paraId="22A2A391" w14:textId="77777777" w:rsidR="00CE0348" w:rsidRPr="006E6390" w:rsidRDefault="00CE0348" w:rsidP="00CE0348">
      <w:pPr>
        <w:pStyle w:val="Prrafodelista"/>
        <w:rPr>
          <w:rFonts w:cs="Arial"/>
          <w:lang w:eastAsia="es-MX"/>
        </w:rPr>
      </w:pPr>
    </w:p>
    <w:p w14:paraId="5469C1EC" w14:textId="452F5CF9" w:rsidR="00CE0348" w:rsidRDefault="00CE0348" w:rsidP="00CE0348">
      <w:pPr>
        <w:pStyle w:val="Prrafodelista"/>
        <w:rPr>
          <w:rFonts w:cs="Arial"/>
          <w:lang w:eastAsia="es-MX"/>
        </w:rPr>
      </w:pPr>
      <w:r w:rsidRPr="006E6390">
        <w:rPr>
          <w:rFonts w:cs="Arial"/>
          <w:lang w:eastAsia="es-MX"/>
        </w:rPr>
        <w:t xml:space="preserve">Por ser de naturaleza viscoelástica, su desempeño depende de la temperatura y el tiempo de aplicación de carga, por lo cual se debe seleccionar en función de las </w:t>
      </w:r>
      <w:r w:rsidRPr="006E6390">
        <w:rPr>
          <w:rFonts w:cs="Arial"/>
          <w:lang w:eastAsia="es-MX"/>
        </w:rPr>
        <w:lastRenderedPageBreak/>
        <w:t>características climáticas de la zona y las condiciones de operación de la vía a pavimentar.</w:t>
      </w:r>
    </w:p>
    <w:p w14:paraId="7841692D" w14:textId="77777777" w:rsidR="006F6FA3" w:rsidRPr="006E6390" w:rsidRDefault="006F6FA3" w:rsidP="00CE0348">
      <w:pPr>
        <w:pStyle w:val="Prrafodelista"/>
        <w:rPr>
          <w:rFonts w:cs="Arial"/>
          <w:lang w:eastAsia="es-MX"/>
        </w:rPr>
      </w:pPr>
    </w:p>
    <w:p w14:paraId="006CD984" w14:textId="3C2E033D" w:rsidR="00CE0348" w:rsidRDefault="00CE0348" w:rsidP="000D6BF1">
      <w:pPr>
        <w:pStyle w:val="Prrafodelista"/>
        <w:spacing w:after="0"/>
        <w:contextualSpacing w:val="0"/>
        <w:rPr>
          <w:rFonts w:cs="Arial"/>
          <w:lang w:eastAsia="es-MX"/>
        </w:rPr>
      </w:pPr>
      <w:r w:rsidRPr="006E6390">
        <w:rPr>
          <w:rFonts w:cs="Arial"/>
          <w:lang w:eastAsia="es-MX"/>
        </w:rPr>
        <w:t xml:space="preserve">Actualmente el asfalto que vende RECOPE cumple las especificaciones que se establecen en el RTCA 75.01.22:04 para el asfalto AC-30, las cuales se basan en su grado de viscosidad a 60 °C. </w:t>
      </w:r>
      <w:r w:rsidR="00C068D8">
        <w:rPr>
          <w:rFonts w:cs="Arial"/>
          <w:lang w:eastAsia="es-MX"/>
        </w:rPr>
        <w:t xml:space="preserve"> </w:t>
      </w:r>
      <w:r w:rsidRPr="006E6390">
        <w:rPr>
          <w:rFonts w:cs="Arial"/>
          <w:lang w:eastAsia="es-MX"/>
        </w:rPr>
        <w:t xml:space="preserve">Éstas son las que más se ajustan a las necesidades de los clientes, según acuerdo entre las empresas constructoras, CONAVI, MOPT y RECOPE. </w:t>
      </w:r>
    </w:p>
    <w:p w14:paraId="4C3F18E5" w14:textId="77777777" w:rsidR="00C17168" w:rsidRPr="006E6390" w:rsidRDefault="00C17168" w:rsidP="000D6BF1">
      <w:pPr>
        <w:pStyle w:val="Prrafodelista"/>
        <w:spacing w:after="0"/>
        <w:contextualSpacing w:val="0"/>
        <w:rPr>
          <w:rFonts w:cs="Arial"/>
          <w:lang w:eastAsia="es-MX"/>
        </w:rPr>
      </w:pPr>
    </w:p>
    <w:p w14:paraId="6AE13B4C" w14:textId="71C3BE35" w:rsidR="00F41263" w:rsidRPr="006E6390" w:rsidRDefault="00F41263" w:rsidP="00CE0348">
      <w:pPr>
        <w:pStyle w:val="Prrafodelista"/>
        <w:contextualSpacing w:val="0"/>
        <w:rPr>
          <w:rFonts w:cs="Arial"/>
          <w:lang w:eastAsia="es-MX"/>
        </w:rPr>
      </w:pPr>
      <w:r w:rsidRPr="00B34EDD">
        <w:rPr>
          <w:rFonts w:cs="Arial"/>
          <w:lang w:eastAsia="es-MX"/>
        </w:rPr>
        <w:t xml:space="preserve">En </w:t>
      </w:r>
      <w:r w:rsidR="00884281" w:rsidRPr="00B34EDD">
        <w:rPr>
          <w:rFonts w:cs="Arial"/>
          <w:lang w:eastAsia="es-MX"/>
        </w:rPr>
        <w:t>20</w:t>
      </w:r>
      <w:r w:rsidR="00190687" w:rsidRPr="00B34EDD">
        <w:rPr>
          <w:rFonts w:cs="Arial"/>
          <w:lang w:eastAsia="es-MX"/>
        </w:rPr>
        <w:t>20</w:t>
      </w:r>
      <w:r w:rsidR="00884281" w:rsidRPr="00B34EDD">
        <w:rPr>
          <w:rFonts w:cs="Arial"/>
          <w:lang w:eastAsia="es-MX"/>
        </w:rPr>
        <w:t xml:space="preserve"> </w:t>
      </w:r>
      <w:r w:rsidR="00DF4EE7" w:rsidRPr="00B34EDD">
        <w:rPr>
          <w:rFonts w:cs="Arial"/>
          <w:lang w:eastAsia="es-MX"/>
        </w:rPr>
        <w:t xml:space="preserve">la participación en </w:t>
      </w:r>
      <w:r w:rsidRPr="00B34EDD">
        <w:rPr>
          <w:rFonts w:cs="Arial"/>
          <w:lang w:eastAsia="es-MX"/>
        </w:rPr>
        <w:t xml:space="preserve">el volumen </w:t>
      </w:r>
      <w:r w:rsidR="00DF4EE7" w:rsidRPr="00B34EDD">
        <w:rPr>
          <w:rFonts w:cs="Arial"/>
          <w:lang w:eastAsia="es-MX"/>
        </w:rPr>
        <w:t xml:space="preserve">de </w:t>
      </w:r>
      <w:r w:rsidRPr="00B34EDD">
        <w:rPr>
          <w:rFonts w:cs="Arial"/>
          <w:lang w:eastAsia="es-MX"/>
        </w:rPr>
        <w:t>ventas de</w:t>
      </w:r>
      <w:r w:rsidR="00DF4EE7" w:rsidRPr="00B34EDD">
        <w:rPr>
          <w:rFonts w:cs="Arial"/>
          <w:lang w:eastAsia="es-MX"/>
        </w:rPr>
        <w:t>l</w:t>
      </w:r>
      <w:r w:rsidRPr="00B34EDD">
        <w:rPr>
          <w:rFonts w:cs="Arial"/>
          <w:lang w:eastAsia="es-MX"/>
        </w:rPr>
        <w:t xml:space="preserve"> asfalto fue </w:t>
      </w:r>
      <w:r w:rsidR="00190687" w:rsidRPr="00B34EDD">
        <w:rPr>
          <w:rFonts w:cs="Arial"/>
          <w:lang w:eastAsia="es-MX"/>
        </w:rPr>
        <w:t>2</w:t>
      </w:r>
      <w:r w:rsidR="00884281" w:rsidRPr="00B34EDD">
        <w:rPr>
          <w:rFonts w:cs="Arial"/>
          <w:lang w:eastAsia="es-MX"/>
        </w:rPr>
        <w:t>,</w:t>
      </w:r>
      <w:r w:rsidR="00190687" w:rsidRPr="00B34EDD">
        <w:rPr>
          <w:rFonts w:cs="Arial"/>
          <w:lang w:eastAsia="es-MX"/>
        </w:rPr>
        <w:t>6</w:t>
      </w:r>
      <w:r w:rsidR="00884281" w:rsidRPr="00B34EDD">
        <w:rPr>
          <w:rFonts w:cs="Arial"/>
          <w:lang w:eastAsia="es-MX"/>
        </w:rPr>
        <w:t>%</w:t>
      </w:r>
      <w:r w:rsidR="009A3025">
        <w:rPr>
          <w:rFonts w:cs="Arial"/>
          <w:lang w:eastAsia="es-MX"/>
        </w:rPr>
        <w:t>, mientras que</w:t>
      </w:r>
      <w:r w:rsidR="00DF4EE7" w:rsidRPr="00B34EDD">
        <w:rPr>
          <w:rFonts w:cs="Arial"/>
          <w:lang w:eastAsia="es-MX"/>
        </w:rPr>
        <w:t xml:space="preserve"> en 202</w:t>
      </w:r>
      <w:r w:rsidR="00190687" w:rsidRPr="00B34EDD">
        <w:rPr>
          <w:rFonts w:cs="Arial"/>
          <w:lang w:eastAsia="es-MX"/>
        </w:rPr>
        <w:t>1</w:t>
      </w:r>
      <w:r w:rsidR="00DF4EE7" w:rsidRPr="00B34EDD">
        <w:rPr>
          <w:rFonts w:cs="Arial"/>
          <w:lang w:eastAsia="es-MX"/>
        </w:rPr>
        <w:t xml:space="preserve"> </w:t>
      </w:r>
      <w:r w:rsidR="009A3025">
        <w:rPr>
          <w:rFonts w:cs="Arial"/>
          <w:lang w:eastAsia="es-MX"/>
        </w:rPr>
        <w:t xml:space="preserve">de </w:t>
      </w:r>
      <w:r w:rsidR="00DF4EE7" w:rsidRPr="00B34EDD">
        <w:rPr>
          <w:rFonts w:cs="Arial"/>
          <w:lang w:eastAsia="es-MX"/>
        </w:rPr>
        <w:t>2,</w:t>
      </w:r>
      <w:r w:rsidR="00190687" w:rsidRPr="00B34EDD">
        <w:rPr>
          <w:rFonts w:cs="Arial"/>
          <w:lang w:eastAsia="es-MX"/>
        </w:rPr>
        <w:t>0</w:t>
      </w:r>
      <w:r w:rsidRPr="00B34EDD">
        <w:rPr>
          <w:rFonts w:cs="Arial"/>
          <w:lang w:eastAsia="es-MX"/>
        </w:rPr>
        <w:t>%</w:t>
      </w:r>
      <w:r w:rsidR="00727DF6">
        <w:rPr>
          <w:rFonts w:cs="Arial"/>
          <w:lang w:eastAsia="es-MX"/>
        </w:rPr>
        <w:t xml:space="preserve"> cayendo a 1,5% en 2022</w:t>
      </w:r>
      <w:r w:rsidRPr="00B34EDD">
        <w:rPr>
          <w:rFonts w:cs="Arial"/>
          <w:lang w:eastAsia="es-MX"/>
        </w:rPr>
        <w:t xml:space="preserve">. </w:t>
      </w:r>
      <w:r w:rsidR="009F31DD" w:rsidRPr="00B34EDD">
        <w:rPr>
          <w:rFonts w:cs="Arial"/>
          <w:lang w:eastAsia="es-MX"/>
        </w:rPr>
        <w:t xml:space="preserve"> </w:t>
      </w:r>
      <w:r w:rsidRPr="00B34EDD">
        <w:rPr>
          <w:rFonts w:cs="Arial"/>
          <w:lang w:eastAsia="es-MX"/>
        </w:rPr>
        <w:t xml:space="preserve">Los ingresos pasaron de </w:t>
      </w:r>
      <w:r w:rsidR="002F47CB" w:rsidRPr="00B34EDD">
        <w:rPr>
          <w:rFonts w:cs="Arial"/>
          <w:lang w:eastAsia="es-MX"/>
        </w:rPr>
        <w:t>1</w:t>
      </w:r>
      <w:r w:rsidR="00D01FD5" w:rsidRPr="00B34EDD">
        <w:rPr>
          <w:rFonts w:cs="Arial"/>
          <w:lang w:eastAsia="es-MX"/>
        </w:rPr>
        <w:t>,</w:t>
      </w:r>
      <w:r w:rsidR="00727DF6">
        <w:rPr>
          <w:rFonts w:cs="Arial"/>
          <w:lang w:eastAsia="es-MX"/>
        </w:rPr>
        <w:t>5</w:t>
      </w:r>
      <w:r w:rsidR="00D01FD5" w:rsidRPr="00B34EDD">
        <w:rPr>
          <w:rFonts w:cs="Arial"/>
          <w:lang w:eastAsia="es-MX"/>
        </w:rPr>
        <w:t xml:space="preserve">% en </w:t>
      </w:r>
      <w:r w:rsidR="00727DF6" w:rsidRPr="00B34EDD">
        <w:rPr>
          <w:rFonts w:cs="Arial"/>
          <w:lang w:eastAsia="es-MX"/>
        </w:rPr>
        <w:t>20</w:t>
      </w:r>
      <w:r w:rsidR="00727DF6">
        <w:rPr>
          <w:rFonts w:cs="Arial"/>
          <w:lang w:eastAsia="es-MX"/>
        </w:rPr>
        <w:t>20</w:t>
      </w:r>
      <w:r w:rsidR="00727DF6" w:rsidRPr="00B34EDD">
        <w:rPr>
          <w:rFonts w:cs="Arial"/>
          <w:lang w:eastAsia="es-MX"/>
        </w:rPr>
        <w:t xml:space="preserve"> </w:t>
      </w:r>
      <w:r w:rsidR="00462ED5" w:rsidRPr="00B34EDD">
        <w:rPr>
          <w:rFonts w:cs="Arial"/>
          <w:lang w:eastAsia="es-MX"/>
        </w:rPr>
        <w:t xml:space="preserve">a </w:t>
      </w:r>
      <w:r w:rsidR="006D0D46" w:rsidRPr="00B34EDD">
        <w:rPr>
          <w:rFonts w:cs="Arial"/>
          <w:lang w:eastAsia="es-MX"/>
        </w:rPr>
        <w:t>1,</w:t>
      </w:r>
      <w:r w:rsidR="00B75F12">
        <w:rPr>
          <w:rFonts w:cs="Arial"/>
          <w:lang w:eastAsia="es-MX"/>
        </w:rPr>
        <w:t>2</w:t>
      </w:r>
      <w:r w:rsidR="006D0D46" w:rsidRPr="00B34EDD">
        <w:rPr>
          <w:rFonts w:cs="Arial"/>
          <w:lang w:eastAsia="es-MX"/>
        </w:rPr>
        <w:t xml:space="preserve">% en </w:t>
      </w:r>
      <w:r w:rsidR="00B75F12" w:rsidRPr="00B34EDD">
        <w:rPr>
          <w:rFonts w:cs="Arial"/>
          <w:lang w:eastAsia="es-MX"/>
        </w:rPr>
        <w:t>202</w:t>
      </w:r>
      <w:r w:rsidR="00B75F12">
        <w:rPr>
          <w:rFonts w:cs="Arial"/>
          <w:lang w:eastAsia="es-MX"/>
        </w:rPr>
        <w:t>1</w:t>
      </w:r>
      <w:r w:rsidR="00B75F12" w:rsidRPr="00B34EDD">
        <w:rPr>
          <w:rFonts w:cs="Arial"/>
          <w:lang w:eastAsia="es-MX"/>
        </w:rPr>
        <w:t xml:space="preserve"> </w:t>
      </w:r>
      <w:r w:rsidR="00462ED5" w:rsidRPr="00B34EDD">
        <w:rPr>
          <w:rFonts w:cs="Arial"/>
          <w:lang w:eastAsia="es-MX"/>
        </w:rPr>
        <w:t>y luego a 1,</w:t>
      </w:r>
      <w:r w:rsidR="00B75F12">
        <w:rPr>
          <w:rFonts w:cs="Arial"/>
          <w:lang w:eastAsia="es-MX"/>
        </w:rPr>
        <w:t>1</w:t>
      </w:r>
      <w:r w:rsidR="00462ED5" w:rsidRPr="00B34EDD">
        <w:rPr>
          <w:rFonts w:cs="Arial"/>
          <w:lang w:eastAsia="es-MX"/>
        </w:rPr>
        <w:t xml:space="preserve">% en </w:t>
      </w:r>
      <w:r w:rsidR="00B75F12" w:rsidRPr="00B34EDD">
        <w:rPr>
          <w:rFonts w:cs="Arial"/>
          <w:lang w:eastAsia="es-MX"/>
        </w:rPr>
        <w:t>202</w:t>
      </w:r>
      <w:r w:rsidR="00B75F12">
        <w:rPr>
          <w:rFonts w:cs="Arial"/>
          <w:lang w:eastAsia="es-MX"/>
        </w:rPr>
        <w:t>2</w:t>
      </w:r>
      <w:r w:rsidRPr="00B34EDD">
        <w:rPr>
          <w:rFonts w:cs="Arial"/>
          <w:lang w:eastAsia="es-MX"/>
        </w:rPr>
        <w:t xml:space="preserve">. </w:t>
      </w:r>
      <w:r w:rsidR="00D01FD5" w:rsidRPr="00B34EDD">
        <w:rPr>
          <w:rFonts w:cs="Arial"/>
          <w:lang w:eastAsia="es-MX"/>
        </w:rPr>
        <w:t xml:space="preserve"> </w:t>
      </w:r>
      <w:r w:rsidRPr="00B34EDD">
        <w:rPr>
          <w:rFonts w:cs="Arial"/>
          <w:lang w:eastAsia="es-MX"/>
        </w:rPr>
        <w:t>Actualmente, es uno de los productos con m</w:t>
      </w:r>
      <w:r w:rsidR="002F47CB" w:rsidRPr="00B34EDD">
        <w:rPr>
          <w:rFonts w:cs="Arial"/>
          <w:lang w:eastAsia="es-MX"/>
        </w:rPr>
        <w:t>en</w:t>
      </w:r>
      <w:r w:rsidRPr="00B34EDD">
        <w:rPr>
          <w:rFonts w:cs="Arial"/>
          <w:lang w:eastAsia="es-MX"/>
        </w:rPr>
        <w:t>or dinamismo en ventas</w:t>
      </w:r>
      <w:r w:rsidR="00B75F12">
        <w:rPr>
          <w:rFonts w:cs="Arial"/>
          <w:lang w:eastAsia="es-MX"/>
        </w:rPr>
        <w:t xml:space="preserve"> debido a la suspensión de los contratos de mantenimiento vial por parte de CONAVI y a la caída del sector construcción</w:t>
      </w:r>
      <w:r w:rsidRPr="00B34EDD">
        <w:rPr>
          <w:rFonts w:cs="Arial"/>
          <w:lang w:eastAsia="es-MX"/>
        </w:rPr>
        <w:t>.</w:t>
      </w:r>
    </w:p>
    <w:p w14:paraId="5DACC21A" w14:textId="77777777" w:rsidR="0065431E" w:rsidRPr="006E6390" w:rsidRDefault="00F41263" w:rsidP="009E4996">
      <w:pPr>
        <w:pStyle w:val="Prrafodelista"/>
        <w:numPr>
          <w:ilvl w:val="0"/>
          <w:numId w:val="21"/>
        </w:numPr>
        <w:tabs>
          <w:tab w:val="left" w:pos="9270"/>
        </w:tabs>
        <w:rPr>
          <w:rFonts w:cs="Arial"/>
          <w:lang w:eastAsia="es-MX"/>
        </w:rPr>
      </w:pPr>
      <w:bookmarkStart w:id="114" w:name="_Hlk114152514"/>
      <w:r w:rsidRPr="006E6390">
        <w:rPr>
          <w:rFonts w:cs="Arial"/>
          <w:b/>
          <w:lang w:eastAsia="es-MX"/>
        </w:rPr>
        <w:t xml:space="preserve">Emulsiones Asfálticas: </w:t>
      </w:r>
      <w:bookmarkEnd w:id="114"/>
      <w:r w:rsidR="0065431E" w:rsidRPr="006E6390">
        <w:rPr>
          <w:rFonts w:cs="Arial"/>
          <w:lang w:eastAsia="es-MX"/>
        </w:rPr>
        <w:t xml:space="preserve">están constituidos por una dispersión muy fina de asfalto en agua. </w:t>
      </w:r>
      <w:r w:rsidR="00C068D8">
        <w:rPr>
          <w:rFonts w:cs="Arial"/>
          <w:lang w:eastAsia="es-MX"/>
        </w:rPr>
        <w:t xml:space="preserve"> </w:t>
      </w:r>
      <w:r w:rsidR="0065431E" w:rsidRPr="006E6390">
        <w:rPr>
          <w:rFonts w:cs="Arial"/>
          <w:lang w:eastAsia="es-MX"/>
        </w:rPr>
        <w:t>Como ambas sustancias (el agua y el asfalto) no son químicamente compatibles, es necesario usar un emulsificante para estabilizar la emulsión, el cual depende del tipo de emulsión que se desee fabricar.</w:t>
      </w:r>
    </w:p>
    <w:p w14:paraId="479F4F9D" w14:textId="77777777" w:rsidR="0065431E" w:rsidRPr="006E6390" w:rsidRDefault="0065431E" w:rsidP="0065431E">
      <w:pPr>
        <w:pStyle w:val="Prrafodelista"/>
        <w:tabs>
          <w:tab w:val="left" w:pos="9270"/>
        </w:tabs>
        <w:rPr>
          <w:rFonts w:cs="Arial"/>
          <w:lang w:eastAsia="es-MX"/>
        </w:rPr>
      </w:pPr>
    </w:p>
    <w:p w14:paraId="45BE10A7" w14:textId="77777777" w:rsidR="0065431E" w:rsidRPr="006E6390" w:rsidRDefault="0065431E" w:rsidP="0065431E">
      <w:pPr>
        <w:pStyle w:val="Prrafodelista"/>
        <w:tabs>
          <w:tab w:val="left" w:pos="9270"/>
        </w:tabs>
        <w:rPr>
          <w:rFonts w:cs="Arial"/>
          <w:lang w:eastAsia="es-MX"/>
        </w:rPr>
      </w:pPr>
      <w:r w:rsidRPr="006E6390">
        <w:rPr>
          <w:rFonts w:cs="Arial"/>
          <w:lang w:eastAsia="es-MX"/>
        </w:rPr>
        <w:t xml:space="preserve">Estas emulsiones requieren menos energía que el asfalto para manipularlas, ya que se utilizan a temperatura ambiente. </w:t>
      </w:r>
      <w:r w:rsidR="00C068D8">
        <w:rPr>
          <w:rFonts w:cs="Arial"/>
          <w:lang w:eastAsia="es-MX"/>
        </w:rPr>
        <w:t xml:space="preserve"> </w:t>
      </w:r>
      <w:r w:rsidRPr="006E6390">
        <w:rPr>
          <w:rFonts w:cs="Arial"/>
          <w:lang w:eastAsia="es-MX"/>
        </w:rPr>
        <w:t xml:space="preserve">Además, su uso tiene un menor impacto ambiental que el asfalto "cutback", ya que este utiliza solventes orgánicos tóxicos que se evaporan a la atmósfera, en vez de agua en su formulación. </w:t>
      </w:r>
      <w:r w:rsidR="00C068D8">
        <w:rPr>
          <w:rFonts w:cs="Arial"/>
          <w:lang w:eastAsia="es-MX"/>
        </w:rPr>
        <w:t xml:space="preserve"> </w:t>
      </w:r>
      <w:r w:rsidRPr="006E6390">
        <w:rPr>
          <w:rFonts w:cs="Arial"/>
          <w:lang w:eastAsia="es-MX"/>
        </w:rPr>
        <w:t>Por lo anterior, son muy usadas a nivel mundial en la construcción y mantenimiento de carreteras.</w:t>
      </w:r>
    </w:p>
    <w:p w14:paraId="2791AF9C" w14:textId="77777777" w:rsidR="0065431E" w:rsidRPr="006E6390" w:rsidRDefault="0065431E" w:rsidP="0065431E">
      <w:pPr>
        <w:pStyle w:val="Prrafodelista"/>
        <w:tabs>
          <w:tab w:val="left" w:pos="9270"/>
        </w:tabs>
        <w:rPr>
          <w:rFonts w:cs="Arial"/>
          <w:lang w:eastAsia="es-MX"/>
        </w:rPr>
      </w:pPr>
    </w:p>
    <w:p w14:paraId="1B0ABE74" w14:textId="77777777" w:rsidR="0065431E" w:rsidRPr="006E6390" w:rsidRDefault="0065431E" w:rsidP="0065431E">
      <w:pPr>
        <w:pStyle w:val="Prrafodelista"/>
        <w:tabs>
          <w:tab w:val="left" w:pos="9270"/>
        </w:tabs>
        <w:rPr>
          <w:rFonts w:cs="Arial"/>
          <w:lang w:eastAsia="es-MX"/>
        </w:rPr>
      </w:pPr>
      <w:r w:rsidRPr="006E6390">
        <w:rPr>
          <w:rFonts w:cs="Arial"/>
          <w:lang w:eastAsia="es-MX"/>
        </w:rPr>
        <w:t xml:space="preserve">Las emulsiones asfálticas se clasifican en catiónicas y aniónicas. </w:t>
      </w:r>
      <w:r w:rsidR="00C068D8">
        <w:rPr>
          <w:rFonts w:cs="Arial"/>
          <w:lang w:eastAsia="es-MX"/>
        </w:rPr>
        <w:t xml:space="preserve"> </w:t>
      </w:r>
      <w:r w:rsidRPr="006E6390">
        <w:rPr>
          <w:rFonts w:cs="Arial"/>
          <w:lang w:eastAsia="es-MX"/>
        </w:rPr>
        <w:t>Las primeras se producen en la planta de emulsiones asfálticas de RECOPE, mientras que las aniónicas no se fabrican en Costa Rica, debido a las características del agregado pétreo utilizado en el país.</w:t>
      </w:r>
    </w:p>
    <w:p w14:paraId="06392643" w14:textId="77777777" w:rsidR="0065431E" w:rsidRPr="006E6390" w:rsidRDefault="0065431E" w:rsidP="0065431E">
      <w:pPr>
        <w:pStyle w:val="Prrafodelista"/>
        <w:tabs>
          <w:tab w:val="left" w:pos="9270"/>
        </w:tabs>
        <w:rPr>
          <w:rFonts w:cs="Arial"/>
          <w:lang w:eastAsia="es-MX"/>
        </w:rPr>
      </w:pPr>
    </w:p>
    <w:p w14:paraId="597D7BB4" w14:textId="5496D299" w:rsidR="0065431E" w:rsidRDefault="0065431E" w:rsidP="0065431E">
      <w:pPr>
        <w:pStyle w:val="Prrafodelista"/>
        <w:tabs>
          <w:tab w:val="left" w:pos="9270"/>
        </w:tabs>
        <w:rPr>
          <w:rFonts w:cs="Arial"/>
          <w:lang w:eastAsia="es-MX"/>
        </w:rPr>
      </w:pPr>
      <w:r w:rsidRPr="006E6390">
        <w:rPr>
          <w:rFonts w:cs="Arial"/>
          <w:lang w:eastAsia="es-MX"/>
        </w:rPr>
        <w:t xml:space="preserve">Para que el asfalto presente sus propiedades adherentes, es necesario que la emulsión se rompa y que el agua se evapore. </w:t>
      </w:r>
      <w:r w:rsidR="00C068D8">
        <w:rPr>
          <w:rFonts w:cs="Arial"/>
          <w:lang w:eastAsia="es-MX"/>
        </w:rPr>
        <w:t xml:space="preserve"> </w:t>
      </w:r>
      <w:r w:rsidRPr="006E6390">
        <w:rPr>
          <w:rFonts w:cs="Arial"/>
          <w:lang w:eastAsia="es-MX"/>
        </w:rPr>
        <w:t xml:space="preserve">De acuerdo con esa velocidad de ruptura, las emulsiones tanto aniónicas como catiónicas se clasifican en emulsiones de rotura rápida, media y lenta. </w:t>
      </w:r>
    </w:p>
    <w:p w14:paraId="391A207B" w14:textId="77777777" w:rsidR="00FA0D97" w:rsidRPr="006E6390" w:rsidRDefault="00FA0D97" w:rsidP="000D6BF1">
      <w:pPr>
        <w:pStyle w:val="Prrafodelista"/>
        <w:tabs>
          <w:tab w:val="left" w:pos="9270"/>
        </w:tabs>
        <w:spacing w:after="0"/>
        <w:rPr>
          <w:rFonts w:cs="Arial"/>
          <w:lang w:eastAsia="es-MX"/>
        </w:rPr>
      </w:pPr>
    </w:p>
    <w:p w14:paraId="3DFF9E67" w14:textId="054BBDF6" w:rsidR="00F41263" w:rsidRPr="006E6390" w:rsidRDefault="00F41263" w:rsidP="006D0D46">
      <w:pPr>
        <w:tabs>
          <w:tab w:val="left" w:pos="9270"/>
        </w:tabs>
        <w:ind w:left="720"/>
        <w:rPr>
          <w:rFonts w:cs="Arial"/>
          <w:lang w:eastAsia="es-MX"/>
        </w:rPr>
      </w:pPr>
      <w:r w:rsidRPr="00162C2D">
        <w:rPr>
          <w:rFonts w:cs="Arial"/>
          <w:lang w:eastAsia="es-MX"/>
        </w:rPr>
        <w:t>El volumen de ventas totalizó 0,</w:t>
      </w:r>
      <w:r w:rsidR="00D51AFB">
        <w:rPr>
          <w:rFonts w:cs="Arial"/>
          <w:lang w:eastAsia="es-MX"/>
        </w:rPr>
        <w:t>7</w:t>
      </w:r>
      <w:r w:rsidRPr="00162C2D">
        <w:rPr>
          <w:rFonts w:cs="Arial"/>
          <w:lang w:eastAsia="es-MX"/>
        </w:rPr>
        <w:t xml:space="preserve">% en </w:t>
      </w:r>
      <w:r w:rsidR="00D51AFB" w:rsidRPr="00162C2D">
        <w:rPr>
          <w:rFonts w:cs="Arial"/>
          <w:lang w:eastAsia="es-MX"/>
        </w:rPr>
        <w:t>202</w:t>
      </w:r>
      <w:r w:rsidR="00D51AFB">
        <w:rPr>
          <w:rFonts w:cs="Arial"/>
          <w:lang w:eastAsia="es-MX"/>
        </w:rPr>
        <w:t xml:space="preserve">0, 0,5% en 2021 y 0,3% en 2022, </w:t>
      </w:r>
      <w:r w:rsidR="008401DB" w:rsidRPr="00162C2D">
        <w:rPr>
          <w:rFonts w:cs="Arial"/>
          <w:lang w:eastAsia="es-MX"/>
        </w:rPr>
        <w:t>así como</w:t>
      </w:r>
      <w:r w:rsidRPr="00162C2D">
        <w:rPr>
          <w:rFonts w:cs="Arial"/>
          <w:lang w:eastAsia="es-MX"/>
        </w:rPr>
        <w:t xml:space="preserve"> los ingresos totales fueron de 0,</w:t>
      </w:r>
      <w:r w:rsidR="00D51AFB">
        <w:rPr>
          <w:rFonts w:cs="Arial"/>
          <w:lang w:eastAsia="es-MX"/>
        </w:rPr>
        <w:t>3</w:t>
      </w:r>
      <w:r w:rsidRPr="00162C2D">
        <w:rPr>
          <w:rFonts w:cs="Arial"/>
          <w:lang w:eastAsia="es-MX"/>
        </w:rPr>
        <w:t>%</w:t>
      </w:r>
      <w:r w:rsidR="005E514D" w:rsidRPr="00162C2D">
        <w:rPr>
          <w:rFonts w:cs="Arial"/>
          <w:lang w:eastAsia="es-MX"/>
        </w:rPr>
        <w:t xml:space="preserve"> en</w:t>
      </w:r>
      <w:r w:rsidR="008E112C" w:rsidRPr="00162C2D">
        <w:rPr>
          <w:rFonts w:cs="Arial"/>
          <w:lang w:eastAsia="es-MX"/>
        </w:rPr>
        <w:t xml:space="preserve"> </w:t>
      </w:r>
      <w:r w:rsidR="00D51AFB" w:rsidRPr="00162C2D">
        <w:rPr>
          <w:rFonts w:cs="Arial"/>
          <w:lang w:eastAsia="es-MX"/>
        </w:rPr>
        <w:t>20</w:t>
      </w:r>
      <w:r w:rsidR="00D51AFB">
        <w:rPr>
          <w:rFonts w:cs="Arial"/>
          <w:lang w:eastAsia="es-MX"/>
        </w:rPr>
        <w:t>20</w:t>
      </w:r>
      <w:r w:rsidR="00D51AFB" w:rsidRPr="00162C2D">
        <w:rPr>
          <w:rFonts w:cs="Arial"/>
          <w:lang w:eastAsia="es-MX"/>
        </w:rPr>
        <w:t xml:space="preserve"> </w:t>
      </w:r>
      <w:r w:rsidR="00D51AFB">
        <w:rPr>
          <w:rFonts w:cs="Arial"/>
          <w:lang w:eastAsia="es-MX"/>
        </w:rPr>
        <w:t>cayendo a</w:t>
      </w:r>
      <w:r w:rsidR="00A82D2B" w:rsidRPr="00162C2D">
        <w:rPr>
          <w:rFonts w:cs="Arial"/>
          <w:lang w:eastAsia="es-MX"/>
        </w:rPr>
        <w:t xml:space="preserve"> 0,2% en 2021</w:t>
      </w:r>
      <w:r w:rsidR="00D51AFB">
        <w:rPr>
          <w:rFonts w:cs="Arial"/>
          <w:lang w:eastAsia="es-MX"/>
        </w:rPr>
        <w:t xml:space="preserve"> y 2022, consecuente con la dinámica de ventas del asfalto.</w:t>
      </w:r>
    </w:p>
    <w:p w14:paraId="126CB27B" w14:textId="77777777" w:rsidR="009F19C6" w:rsidRPr="006E6390" w:rsidRDefault="00F41263" w:rsidP="009E4996">
      <w:pPr>
        <w:pStyle w:val="Prrafodelista"/>
        <w:numPr>
          <w:ilvl w:val="0"/>
          <w:numId w:val="21"/>
        </w:numPr>
        <w:rPr>
          <w:rFonts w:cs="Arial"/>
          <w:lang w:eastAsia="es-MX"/>
        </w:rPr>
      </w:pPr>
      <w:bookmarkStart w:id="115" w:name="_Hlk114152527"/>
      <w:r w:rsidRPr="006E6390">
        <w:rPr>
          <w:rFonts w:cs="Arial"/>
          <w:b/>
          <w:lang w:eastAsia="es-MX"/>
        </w:rPr>
        <w:t xml:space="preserve">Av-gas: </w:t>
      </w:r>
      <w:bookmarkEnd w:id="115"/>
      <w:r w:rsidR="009F19C6" w:rsidRPr="006E6390">
        <w:rPr>
          <w:rFonts w:cs="Arial"/>
          <w:lang w:eastAsia="es-MX"/>
        </w:rPr>
        <w:t>Este tipo de combustible es utilizado principalmente en motores de avionetas.</w:t>
      </w:r>
      <w:r w:rsidR="00C068D8">
        <w:rPr>
          <w:rFonts w:cs="Arial"/>
          <w:lang w:eastAsia="es-MX"/>
        </w:rPr>
        <w:t xml:space="preserve">  </w:t>
      </w:r>
      <w:r w:rsidR="009F19C6" w:rsidRPr="006E6390">
        <w:rPr>
          <w:rFonts w:cs="Arial"/>
          <w:lang w:eastAsia="es-MX"/>
        </w:rPr>
        <w:t>Es una mezcla de hidrocarburos, compuesta principalmente de isoparafinas y una pequeña cantidad de aromáticos, a la cual se le adicionan ciertos aditivos como tetraetilo de plomo para elevar el octanaje, antioxidante y anticongelantes.</w:t>
      </w:r>
    </w:p>
    <w:p w14:paraId="6F07E316" w14:textId="77777777" w:rsidR="009F19C6" w:rsidRPr="006E6390" w:rsidRDefault="009F19C6" w:rsidP="009F19C6">
      <w:pPr>
        <w:pStyle w:val="Prrafodelista"/>
        <w:rPr>
          <w:rFonts w:cs="Arial"/>
          <w:lang w:eastAsia="es-MX"/>
        </w:rPr>
      </w:pPr>
    </w:p>
    <w:p w14:paraId="1C9FAAFF" w14:textId="77777777" w:rsidR="009F19C6" w:rsidRPr="006E6390" w:rsidRDefault="009F19C6" w:rsidP="009F19C6">
      <w:pPr>
        <w:pStyle w:val="Prrafodelista"/>
        <w:rPr>
          <w:rFonts w:cs="Arial"/>
          <w:lang w:eastAsia="es-MX"/>
        </w:rPr>
      </w:pPr>
      <w:r w:rsidRPr="006E6390">
        <w:rPr>
          <w:rFonts w:cs="Arial"/>
          <w:lang w:eastAsia="es-MX"/>
        </w:rPr>
        <w:t xml:space="preserve">RECOPE expende Av-Gas Grado 100LL, y su calidad está establecida por el Reglamento Técnico No.32812 COMEX-MINAE-MEIC del 20 de diciembre de 2005, el cual a su vez es una adopción de las especificaciones de la norma internacional ASTM D-910. </w:t>
      </w:r>
      <w:r w:rsidR="00C068D8">
        <w:rPr>
          <w:rFonts w:cs="Arial"/>
          <w:lang w:eastAsia="es-MX"/>
        </w:rPr>
        <w:t xml:space="preserve"> </w:t>
      </w:r>
      <w:r w:rsidRPr="006E6390">
        <w:rPr>
          <w:rFonts w:cs="Arial"/>
          <w:lang w:eastAsia="es-MX"/>
        </w:rPr>
        <w:t xml:space="preserve">Por las condiciones de utilización sus características son estrictamente controladas por normas internacionales como "JOINT FUELLING SYSTEM CHECK LIST". </w:t>
      </w:r>
    </w:p>
    <w:p w14:paraId="346FB09C" w14:textId="77777777" w:rsidR="009F19C6" w:rsidRPr="006E6390" w:rsidRDefault="009F19C6" w:rsidP="009F19C6">
      <w:pPr>
        <w:pStyle w:val="Prrafodelista"/>
        <w:rPr>
          <w:rFonts w:cs="Arial"/>
          <w:lang w:eastAsia="es-MX"/>
        </w:rPr>
      </w:pPr>
    </w:p>
    <w:p w14:paraId="3BD71E73" w14:textId="77777777" w:rsidR="00F41263" w:rsidRPr="006E6390" w:rsidRDefault="006D0D46" w:rsidP="009F19C6">
      <w:pPr>
        <w:pStyle w:val="Prrafodelista"/>
        <w:rPr>
          <w:rFonts w:cs="Arial"/>
          <w:lang w:eastAsia="es-MX"/>
        </w:rPr>
      </w:pPr>
      <w:r w:rsidRPr="006E6390">
        <w:rPr>
          <w:rFonts w:cs="Arial"/>
          <w:lang w:eastAsia="es-MX"/>
        </w:rPr>
        <w:t>En el periodo de análisis</w:t>
      </w:r>
      <w:r w:rsidR="00F41263" w:rsidRPr="006E6390">
        <w:rPr>
          <w:rFonts w:cs="Arial"/>
          <w:lang w:eastAsia="es-MX"/>
        </w:rPr>
        <w:t>, el volumen vendido de Av-gas fue de 0,</w:t>
      </w:r>
      <w:r w:rsidR="00405492" w:rsidRPr="006E6390">
        <w:rPr>
          <w:rFonts w:cs="Arial"/>
          <w:lang w:eastAsia="es-MX"/>
        </w:rPr>
        <w:t>04</w:t>
      </w:r>
      <w:r w:rsidR="00F41263" w:rsidRPr="006E6390">
        <w:rPr>
          <w:rFonts w:cs="Arial"/>
          <w:lang w:eastAsia="es-MX"/>
        </w:rPr>
        <w:t xml:space="preserve">% del total, mientras que en los ingresos totales se mantienen en </w:t>
      </w:r>
      <w:r w:rsidR="004C459A" w:rsidRPr="006E6390">
        <w:rPr>
          <w:rFonts w:cs="Arial"/>
          <w:lang w:eastAsia="es-MX"/>
        </w:rPr>
        <w:t xml:space="preserve">poco menos de </w:t>
      </w:r>
      <w:r w:rsidR="00F41263" w:rsidRPr="006E6390">
        <w:rPr>
          <w:rFonts w:cs="Arial"/>
          <w:lang w:eastAsia="es-MX"/>
        </w:rPr>
        <w:t>0,1%.</w:t>
      </w:r>
      <w:r w:rsidR="00405492" w:rsidRPr="006E6390">
        <w:rPr>
          <w:rFonts w:cs="Arial"/>
          <w:lang w:eastAsia="es-MX"/>
        </w:rPr>
        <w:t xml:space="preserve">  La tendencia de este producto es a ser sustituido por el Jet Fuel.</w:t>
      </w:r>
    </w:p>
    <w:p w14:paraId="46B7EA15" w14:textId="77777777" w:rsidR="009F19C6" w:rsidRPr="006E6390" w:rsidRDefault="009F19C6" w:rsidP="009F19C6">
      <w:pPr>
        <w:pStyle w:val="Prrafodelista"/>
        <w:rPr>
          <w:rFonts w:cs="Arial"/>
          <w:lang w:eastAsia="es-MX"/>
        </w:rPr>
      </w:pPr>
    </w:p>
    <w:p w14:paraId="189C0C56" w14:textId="5578F23E" w:rsidR="00F41263" w:rsidRDefault="00F41263" w:rsidP="000D6BF1">
      <w:pPr>
        <w:pStyle w:val="Prrafodelista"/>
        <w:numPr>
          <w:ilvl w:val="0"/>
          <w:numId w:val="21"/>
        </w:numPr>
        <w:spacing w:after="0"/>
        <w:contextualSpacing w:val="0"/>
        <w:rPr>
          <w:rFonts w:cs="Arial"/>
          <w:lang w:eastAsia="es-MX"/>
        </w:rPr>
      </w:pPr>
      <w:bookmarkStart w:id="116" w:name="_Hlk114152562"/>
      <w:r w:rsidRPr="006E6390">
        <w:rPr>
          <w:rFonts w:cs="Arial"/>
          <w:b/>
          <w:lang w:eastAsia="es-MX"/>
        </w:rPr>
        <w:t xml:space="preserve">Querosene: </w:t>
      </w:r>
      <w:bookmarkEnd w:id="116"/>
      <w:r w:rsidRPr="006E6390">
        <w:rPr>
          <w:rFonts w:cs="Arial"/>
          <w:lang w:eastAsia="es-MX"/>
        </w:rPr>
        <w:t>Es</w:t>
      </w:r>
      <w:r w:rsidR="00AD24F0" w:rsidRPr="006E6390">
        <w:rPr>
          <w:rFonts w:cs="Arial"/>
          <w:lang w:eastAsia="es-MX"/>
        </w:rPr>
        <w:t xml:space="preserve"> una mezcla de hidrocarburos líquidos proveniente de la refinación del petróleo, que presenta una volatilidad intermedia entre el </w:t>
      </w:r>
      <w:r w:rsidR="00C068D8" w:rsidRPr="006E6390">
        <w:rPr>
          <w:rFonts w:cs="Arial"/>
          <w:lang w:eastAsia="es-MX"/>
        </w:rPr>
        <w:t>diésel</w:t>
      </w:r>
      <w:r w:rsidR="00AD24F0" w:rsidRPr="006E6390">
        <w:rPr>
          <w:rFonts w:cs="Arial"/>
          <w:lang w:eastAsia="es-MX"/>
        </w:rPr>
        <w:t xml:space="preserve"> y la gasolina. Este producto, especificado en el RTCA 75.01.14:04, se utiliza principalmente a nivel industrial en hornos de panaderías, empresas manufactureras, solvente para limpieza y en la formulación de pinturas. </w:t>
      </w:r>
      <w:r w:rsidR="00C068D8">
        <w:rPr>
          <w:rFonts w:cs="Arial"/>
          <w:lang w:eastAsia="es-MX"/>
        </w:rPr>
        <w:t xml:space="preserve"> </w:t>
      </w:r>
      <w:r w:rsidR="00AD24F0" w:rsidRPr="006E6390">
        <w:rPr>
          <w:rFonts w:cs="Arial"/>
          <w:lang w:eastAsia="es-MX"/>
        </w:rPr>
        <w:t>También se usa en algunas zonas rurales para el alumbrado en linternas y como fuente de energía para cocinar alimentos.</w:t>
      </w:r>
    </w:p>
    <w:p w14:paraId="1BF21735" w14:textId="77777777" w:rsidR="00FA0D97" w:rsidRPr="006E6390" w:rsidRDefault="00FA0D97" w:rsidP="000D6BF1">
      <w:pPr>
        <w:pStyle w:val="Prrafodelista"/>
        <w:spacing w:after="0"/>
        <w:contextualSpacing w:val="0"/>
        <w:rPr>
          <w:rFonts w:cs="Arial"/>
          <w:lang w:eastAsia="es-MX"/>
        </w:rPr>
      </w:pPr>
    </w:p>
    <w:p w14:paraId="3591F784" w14:textId="587DC91B" w:rsidR="00F41263" w:rsidRPr="006E6390" w:rsidRDefault="00F41263" w:rsidP="001F388C">
      <w:pPr>
        <w:tabs>
          <w:tab w:val="left" w:pos="9270"/>
        </w:tabs>
        <w:ind w:left="720"/>
        <w:rPr>
          <w:rFonts w:cs="Arial"/>
          <w:lang w:eastAsia="es-MX"/>
        </w:rPr>
      </w:pPr>
      <w:r w:rsidRPr="00162C2D">
        <w:rPr>
          <w:rFonts w:cs="Arial"/>
          <w:lang w:eastAsia="es-MX"/>
        </w:rPr>
        <w:t xml:space="preserve">El volumen </w:t>
      </w:r>
      <w:r w:rsidR="00AD24F0" w:rsidRPr="00162C2D">
        <w:rPr>
          <w:rFonts w:cs="Arial"/>
          <w:lang w:eastAsia="es-MX"/>
        </w:rPr>
        <w:t xml:space="preserve">promedio </w:t>
      </w:r>
      <w:r w:rsidRPr="00162C2D">
        <w:rPr>
          <w:rFonts w:cs="Arial"/>
          <w:lang w:eastAsia="es-MX"/>
        </w:rPr>
        <w:t xml:space="preserve">vendido representó 0,2% en </w:t>
      </w:r>
      <w:r w:rsidR="0031786E">
        <w:rPr>
          <w:rFonts w:cs="Arial"/>
          <w:lang w:eastAsia="es-MX"/>
        </w:rPr>
        <w:t>2020 y 0,1% en 2021-2022</w:t>
      </w:r>
      <w:r w:rsidRPr="00162C2D">
        <w:rPr>
          <w:rFonts w:cs="Arial"/>
          <w:lang w:eastAsia="es-MX"/>
        </w:rPr>
        <w:t>.</w:t>
      </w:r>
      <w:r w:rsidRPr="006E6390">
        <w:rPr>
          <w:rFonts w:cs="Arial"/>
          <w:lang w:eastAsia="es-MX"/>
        </w:rPr>
        <w:t xml:space="preserve"> </w:t>
      </w:r>
      <w:r w:rsidR="00D7001B" w:rsidRPr="006E6390">
        <w:rPr>
          <w:rFonts w:cs="Arial"/>
          <w:lang w:eastAsia="es-MX"/>
        </w:rPr>
        <w:t xml:space="preserve"> </w:t>
      </w:r>
      <w:r w:rsidRPr="006E6390">
        <w:rPr>
          <w:rFonts w:cs="Arial"/>
          <w:lang w:eastAsia="es-MX"/>
        </w:rPr>
        <w:t xml:space="preserve">En cuanto a los ingresos totales, </w:t>
      </w:r>
      <w:r w:rsidR="00D7001B" w:rsidRPr="006E6390">
        <w:rPr>
          <w:rFonts w:cs="Arial"/>
          <w:lang w:eastAsia="es-MX"/>
        </w:rPr>
        <w:t xml:space="preserve">se ha venido manteniendo en </w:t>
      </w:r>
      <w:r w:rsidRPr="006E6390">
        <w:rPr>
          <w:rFonts w:cs="Arial"/>
          <w:lang w:eastAsia="es-MX"/>
        </w:rPr>
        <w:t>0,</w:t>
      </w:r>
      <w:r w:rsidR="0031786E">
        <w:rPr>
          <w:rFonts w:cs="Arial"/>
          <w:lang w:eastAsia="es-MX"/>
        </w:rPr>
        <w:t>1</w:t>
      </w:r>
      <w:r w:rsidRPr="006E6390">
        <w:rPr>
          <w:rFonts w:cs="Arial"/>
          <w:lang w:eastAsia="es-MX"/>
        </w:rPr>
        <w:t>%.</w:t>
      </w:r>
    </w:p>
    <w:p w14:paraId="3BD1463D" w14:textId="77777777" w:rsidR="00F41263" w:rsidRPr="006E6390" w:rsidRDefault="00F41263" w:rsidP="009E4996">
      <w:pPr>
        <w:pStyle w:val="Prrafodelista"/>
        <w:numPr>
          <w:ilvl w:val="0"/>
          <w:numId w:val="21"/>
        </w:numPr>
        <w:contextualSpacing w:val="0"/>
        <w:rPr>
          <w:rFonts w:cs="Arial"/>
          <w:lang w:eastAsia="es-MX"/>
        </w:rPr>
      </w:pPr>
      <w:bookmarkStart w:id="117" w:name="_Hlk114152579"/>
      <w:r w:rsidRPr="006E6390">
        <w:rPr>
          <w:rFonts w:cs="Arial"/>
          <w:b/>
          <w:lang w:eastAsia="es-MX"/>
        </w:rPr>
        <w:t xml:space="preserve">Combustibles marinos (IFO-380): </w:t>
      </w:r>
      <w:bookmarkEnd w:id="117"/>
      <w:r w:rsidR="00E26754" w:rsidRPr="006E6390">
        <w:rPr>
          <w:rFonts w:cs="Arial"/>
          <w:lang w:eastAsia="es-MX"/>
        </w:rPr>
        <w:t>proveniente de la mezcla de residuos de b</w:t>
      </w:r>
      <w:r w:rsidR="003B2D6A">
        <w:rPr>
          <w:rFonts w:cs="Arial"/>
          <w:lang w:eastAsia="es-MX"/>
        </w:rPr>
        <w:t>ú</w:t>
      </w:r>
      <w:r w:rsidR="00E26754" w:rsidRPr="006E6390">
        <w:rPr>
          <w:rFonts w:cs="Arial"/>
          <w:lang w:eastAsia="es-MX"/>
        </w:rPr>
        <w:t xml:space="preserve">nker C, gasóleo, y </w:t>
      </w:r>
      <w:r w:rsidR="003B2D6A" w:rsidRPr="006E6390">
        <w:rPr>
          <w:rFonts w:cs="Arial"/>
          <w:lang w:eastAsia="es-MX"/>
        </w:rPr>
        <w:t>diésel</w:t>
      </w:r>
      <w:r w:rsidR="00E26754" w:rsidRPr="006E6390">
        <w:rPr>
          <w:rFonts w:cs="Arial"/>
          <w:lang w:eastAsia="es-MX"/>
        </w:rPr>
        <w:t xml:space="preserve">, se utiliza en motores y calderas, principalmente en barcos que llegan a cargar en el puerto de Moín, Limón. </w:t>
      </w:r>
      <w:r w:rsidR="003B2D6A">
        <w:rPr>
          <w:rFonts w:cs="Arial"/>
          <w:lang w:eastAsia="es-MX"/>
        </w:rPr>
        <w:t xml:space="preserve"> </w:t>
      </w:r>
      <w:r w:rsidR="00E26754" w:rsidRPr="006E6390">
        <w:rPr>
          <w:rFonts w:cs="Arial"/>
          <w:lang w:eastAsia="es-MX"/>
        </w:rPr>
        <w:t xml:space="preserve">Existen varios grados que se clasifican según su viscosidad; y su escogencia o uso es especificado según el tipo de motor y sus requerimientos. </w:t>
      </w:r>
      <w:r w:rsidR="003B2D6A">
        <w:rPr>
          <w:rFonts w:cs="Arial"/>
          <w:lang w:eastAsia="es-MX"/>
        </w:rPr>
        <w:t xml:space="preserve"> </w:t>
      </w:r>
      <w:r w:rsidR="00E26754" w:rsidRPr="006E6390">
        <w:rPr>
          <w:rFonts w:cs="Arial"/>
          <w:lang w:eastAsia="es-MX"/>
        </w:rPr>
        <w:t xml:space="preserve">Los grados conocidos internacionalmente son IFO 180, 240 y 380. </w:t>
      </w:r>
      <w:r w:rsidR="003B2D6A">
        <w:rPr>
          <w:rFonts w:cs="Arial"/>
          <w:lang w:eastAsia="es-MX"/>
        </w:rPr>
        <w:t xml:space="preserve"> </w:t>
      </w:r>
      <w:r w:rsidR="00E26754" w:rsidRPr="006E6390">
        <w:rPr>
          <w:rFonts w:cs="Arial"/>
          <w:lang w:eastAsia="es-MX"/>
        </w:rPr>
        <w:t xml:space="preserve">En Costa Rica, RECOPE distribuye el IFO - 380. </w:t>
      </w:r>
      <w:r w:rsidR="003B2D6A">
        <w:rPr>
          <w:rFonts w:cs="Arial"/>
          <w:lang w:eastAsia="es-MX"/>
        </w:rPr>
        <w:t xml:space="preserve"> </w:t>
      </w:r>
      <w:r w:rsidR="00E26754" w:rsidRPr="006E6390">
        <w:rPr>
          <w:rFonts w:cs="Arial"/>
          <w:lang w:eastAsia="es-MX"/>
        </w:rPr>
        <w:t>Desde el año 2016 no se realizaron ventas de IFO 380</w:t>
      </w:r>
      <w:r w:rsidRPr="006E6390">
        <w:rPr>
          <w:rFonts w:cs="Arial"/>
          <w:lang w:eastAsia="es-MX"/>
        </w:rPr>
        <w:t>.</w:t>
      </w:r>
    </w:p>
    <w:p w14:paraId="66807058" w14:textId="228E9496" w:rsidR="00E26754" w:rsidRDefault="00F41263" w:rsidP="000D6BF1">
      <w:pPr>
        <w:pStyle w:val="Prrafodelista"/>
        <w:numPr>
          <w:ilvl w:val="0"/>
          <w:numId w:val="21"/>
        </w:numPr>
        <w:tabs>
          <w:tab w:val="left" w:pos="9270"/>
        </w:tabs>
        <w:spacing w:after="0"/>
        <w:contextualSpacing w:val="0"/>
        <w:rPr>
          <w:rFonts w:cs="Arial"/>
          <w:lang w:eastAsia="es-MX"/>
        </w:rPr>
      </w:pPr>
      <w:bookmarkStart w:id="118" w:name="_Hlk114152589"/>
      <w:r w:rsidRPr="006E6390">
        <w:rPr>
          <w:rFonts w:cs="Arial"/>
          <w:b/>
          <w:lang w:eastAsia="es-MX"/>
        </w:rPr>
        <w:t>Gasóleo (di</w:t>
      </w:r>
      <w:r w:rsidR="006743AA" w:rsidRPr="006E6390">
        <w:rPr>
          <w:rFonts w:cs="Arial"/>
          <w:b/>
          <w:lang w:eastAsia="es-MX"/>
        </w:rPr>
        <w:t>é</w:t>
      </w:r>
      <w:r w:rsidRPr="006E6390">
        <w:rPr>
          <w:rFonts w:cs="Arial"/>
          <w:b/>
          <w:lang w:eastAsia="es-MX"/>
        </w:rPr>
        <w:t xml:space="preserve">sel pesado): </w:t>
      </w:r>
      <w:bookmarkEnd w:id="118"/>
      <w:r w:rsidR="00E26754" w:rsidRPr="006E6390">
        <w:rPr>
          <w:rFonts w:cs="Arial"/>
          <w:lang w:eastAsia="es-MX"/>
        </w:rPr>
        <w:t xml:space="preserve">es un combustible con características intermedias entre el </w:t>
      </w:r>
      <w:r w:rsidR="003B2D6A" w:rsidRPr="006E6390">
        <w:rPr>
          <w:rFonts w:cs="Arial"/>
          <w:lang w:eastAsia="es-MX"/>
        </w:rPr>
        <w:t>diésel</w:t>
      </w:r>
      <w:r w:rsidR="00E26754" w:rsidRPr="006E6390">
        <w:rPr>
          <w:rFonts w:cs="Arial"/>
          <w:lang w:eastAsia="es-MX"/>
        </w:rPr>
        <w:t xml:space="preserve"> y el bunker C (en una mezcla de bunker y </w:t>
      </w:r>
      <w:r w:rsidR="003B2D6A" w:rsidRPr="006E6390">
        <w:rPr>
          <w:rFonts w:cs="Arial"/>
          <w:lang w:eastAsia="es-MX"/>
        </w:rPr>
        <w:t>diésel</w:t>
      </w:r>
      <w:r w:rsidR="00E26754" w:rsidRPr="006E6390">
        <w:rPr>
          <w:rFonts w:cs="Arial"/>
          <w:lang w:eastAsia="es-MX"/>
        </w:rPr>
        <w:t xml:space="preserve"> en una proporción de 40:60 de las dos sustancias). Es más fácil de manipular que el b</w:t>
      </w:r>
      <w:r w:rsidR="003B2D6A">
        <w:rPr>
          <w:rFonts w:cs="Arial"/>
          <w:lang w:eastAsia="es-MX"/>
        </w:rPr>
        <w:t>ú</w:t>
      </w:r>
      <w:r w:rsidR="00E26754" w:rsidRPr="006E6390">
        <w:rPr>
          <w:rFonts w:cs="Arial"/>
          <w:lang w:eastAsia="es-MX"/>
        </w:rPr>
        <w:t xml:space="preserve">nker, pues presenta menor viscosidad y densidad, por lo que suele utilizarse en algunas calderas, secadores y hornos industriales, como su sustituto. </w:t>
      </w:r>
      <w:r w:rsidR="003B2D6A">
        <w:rPr>
          <w:rFonts w:cs="Arial"/>
          <w:lang w:eastAsia="es-MX"/>
        </w:rPr>
        <w:t xml:space="preserve"> </w:t>
      </w:r>
      <w:r w:rsidR="00E26754" w:rsidRPr="006E6390">
        <w:rPr>
          <w:rFonts w:cs="Arial"/>
          <w:lang w:eastAsia="es-MX"/>
        </w:rPr>
        <w:t xml:space="preserve">Sin embargo, es más volátil; y tanto su punto de inflamación como su poder calórico son menores, lo cual limita su uso a nivel nacional. </w:t>
      </w:r>
      <w:r w:rsidR="003B2D6A">
        <w:rPr>
          <w:rFonts w:cs="Arial"/>
          <w:lang w:eastAsia="es-MX"/>
        </w:rPr>
        <w:t xml:space="preserve"> </w:t>
      </w:r>
      <w:r w:rsidR="00E26754" w:rsidRPr="006E6390">
        <w:rPr>
          <w:rFonts w:cs="Arial"/>
          <w:lang w:eastAsia="es-MX"/>
        </w:rPr>
        <w:t xml:space="preserve">Tiene un poder calorífico aproximado de 44,14 MJ/kg y no necesita ser calentado para su manejo y uso. </w:t>
      </w:r>
    </w:p>
    <w:p w14:paraId="52E711BD" w14:textId="77777777" w:rsidR="00FA0D97" w:rsidRPr="006E6390" w:rsidRDefault="00FA0D97" w:rsidP="000D6BF1">
      <w:pPr>
        <w:pStyle w:val="Prrafodelista"/>
        <w:tabs>
          <w:tab w:val="left" w:pos="9270"/>
        </w:tabs>
        <w:spacing w:after="0"/>
        <w:contextualSpacing w:val="0"/>
        <w:rPr>
          <w:rFonts w:cs="Arial"/>
          <w:lang w:eastAsia="es-MX"/>
        </w:rPr>
      </w:pPr>
    </w:p>
    <w:p w14:paraId="6862C62B" w14:textId="4D8F89A0" w:rsidR="00F41263" w:rsidRPr="006E6390" w:rsidRDefault="00E81BB4" w:rsidP="00E26754">
      <w:pPr>
        <w:pStyle w:val="Prrafodelista"/>
        <w:tabs>
          <w:tab w:val="left" w:pos="9270"/>
        </w:tabs>
        <w:contextualSpacing w:val="0"/>
        <w:rPr>
          <w:rFonts w:cs="Arial"/>
          <w:lang w:eastAsia="es-MX"/>
        </w:rPr>
      </w:pPr>
      <w:r w:rsidRPr="00162C2D">
        <w:rPr>
          <w:rFonts w:cs="Arial"/>
          <w:lang w:eastAsia="es-MX"/>
        </w:rPr>
        <w:t>Las ventas de gasóleo represent</w:t>
      </w:r>
      <w:r>
        <w:rPr>
          <w:rFonts w:cs="Arial"/>
          <w:lang w:eastAsia="es-MX"/>
        </w:rPr>
        <w:t>aron</w:t>
      </w:r>
      <w:r w:rsidR="0031786E" w:rsidRPr="00162C2D">
        <w:rPr>
          <w:rFonts w:cs="Arial"/>
          <w:lang w:eastAsia="es-MX"/>
        </w:rPr>
        <w:t xml:space="preserve"> </w:t>
      </w:r>
      <w:r w:rsidR="00F41263" w:rsidRPr="00162C2D">
        <w:rPr>
          <w:rFonts w:cs="Arial"/>
          <w:lang w:eastAsia="es-MX"/>
        </w:rPr>
        <w:t>el 0,</w:t>
      </w:r>
      <w:r w:rsidR="0031786E">
        <w:rPr>
          <w:rFonts w:cs="Arial"/>
          <w:lang w:eastAsia="es-MX"/>
        </w:rPr>
        <w:t>3</w:t>
      </w:r>
      <w:r w:rsidR="00F41263" w:rsidRPr="00162C2D">
        <w:rPr>
          <w:rFonts w:cs="Arial"/>
          <w:lang w:eastAsia="es-MX"/>
        </w:rPr>
        <w:t>% del volumen total</w:t>
      </w:r>
      <w:r w:rsidR="0031786E">
        <w:rPr>
          <w:rFonts w:cs="Arial"/>
          <w:lang w:eastAsia="es-MX"/>
        </w:rPr>
        <w:t xml:space="preserve"> en 2020 y el 0,2% en 2021 y 2021</w:t>
      </w:r>
      <w:r w:rsidR="006D0D46" w:rsidRPr="00162C2D">
        <w:rPr>
          <w:rFonts w:cs="Arial"/>
          <w:lang w:eastAsia="es-MX"/>
        </w:rPr>
        <w:t xml:space="preserve">. </w:t>
      </w:r>
      <w:r w:rsidR="003B2D6A" w:rsidRPr="00162C2D">
        <w:rPr>
          <w:rFonts w:cs="Arial"/>
          <w:lang w:eastAsia="es-MX"/>
        </w:rPr>
        <w:t xml:space="preserve"> </w:t>
      </w:r>
      <w:r w:rsidR="006D0D46" w:rsidRPr="00162C2D">
        <w:rPr>
          <w:rFonts w:cs="Arial"/>
          <w:lang w:eastAsia="es-MX"/>
        </w:rPr>
        <w:t xml:space="preserve">La participación </w:t>
      </w:r>
      <w:r w:rsidR="00F41263" w:rsidRPr="00162C2D">
        <w:rPr>
          <w:rFonts w:cs="Arial"/>
          <w:lang w:eastAsia="es-MX"/>
        </w:rPr>
        <w:t xml:space="preserve">dentro de los ingresos totales </w:t>
      </w:r>
      <w:r w:rsidR="0031786E">
        <w:rPr>
          <w:rFonts w:cs="Arial"/>
          <w:lang w:eastAsia="es-MX"/>
        </w:rPr>
        <w:t>fue de 0,2% en 2020 mientras se ubicó en</w:t>
      </w:r>
      <w:r w:rsidR="00F41263" w:rsidRPr="00162C2D">
        <w:rPr>
          <w:rFonts w:cs="Arial"/>
          <w:lang w:eastAsia="es-MX"/>
        </w:rPr>
        <w:t xml:space="preserve"> 0,</w:t>
      </w:r>
      <w:r w:rsidR="003B6212" w:rsidRPr="00162C2D">
        <w:rPr>
          <w:rFonts w:cs="Arial"/>
          <w:lang w:eastAsia="es-MX"/>
        </w:rPr>
        <w:t>1</w:t>
      </w:r>
      <w:r w:rsidR="00F41263" w:rsidRPr="00162C2D">
        <w:rPr>
          <w:rFonts w:cs="Arial"/>
          <w:lang w:eastAsia="es-MX"/>
        </w:rPr>
        <w:t>%</w:t>
      </w:r>
      <w:r w:rsidR="0031786E">
        <w:rPr>
          <w:rFonts w:cs="Arial"/>
          <w:lang w:eastAsia="es-MX"/>
        </w:rPr>
        <w:t xml:space="preserve"> en 2021 y 2022.</w:t>
      </w:r>
    </w:p>
    <w:p w14:paraId="30595689" w14:textId="77777777" w:rsidR="009F19C6" w:rsidRPr="006E6390" w:rsidRDefault="00F41263" w:rsidP="009E4996">
      <w:pPr>
        <w:pStyle w:val="Prrafodelista"/>
        <w:numPr>
          <w:ilvl w:val="0"/>
          <w:numId w:val="21"/>
        </w:numPr>
        <w:rPr>
          <w:rFonts w:cs="Arial"/>
          <w:lang w:eastAsia="es-MX"/>
        </w:rPr>
      </w:pPr>
      <w:bookmarkStart w:id="119" w:name="_Hlk114152598"/>
      <w:r w:rsidRPr="006E6390">
        <w:rPr>
          <w:rFonts w:cs="Arial"/>
          <w:b/>
          <w:lang w:eastAsia="es-MX"/>
        </w:rPr>
        <w:t>Nafta Pesada</w:t>
      </w:r>
      <w:bookmarkEnd w:id="119"/>
      <w:r w:rsidRPr="006E6390">
        <w:rPr>
          <w:rFonts w:cs="Arial"/>
          <w:b/>
          <w:lang w:eastAsia="es-MX"/>
        </w:rPr>
        <w:t xml:space="preserve">: </w:t>
      </w:r>
      <w:r w:rsidR="009F19C6" w:rsidRPr="006E6390">
        <w:rPr>
          <w:rFonts w:cs="Arial"/>
          <w:lang w:eastAsia="es-MX"/>
        </w:rPr>
        <w:t xml:space="preserve">Es una mezcla parcialmente refinada de hidrocarburos aromáticos, olefínicos, parafínicos y nafténicos, que se obtiene de la destilación del crudo en la </w:t>
      </w:r>
      <w:r w:rsidR="009F19C6" w:rsidRPr="006E6390">
        <w:rPr>
          <w:rFonts w:cs="Arial"/>
          <w:lang w:eastAsia="es-MX"/>
        </w:rPr>
        <w:lastRenderedPageBreak/>
        <w:t>parte alta de la torre atmosférica, después de la extracción del Gas Licuado del Petróleo (Gas LP) y la Nafta Liviana.</w:t>
      </w:r>
    </w:p>
    <w:p w14:paraId="6E59835C" w14:textId="77777777" w:rsidR="009F19C6" w:rsidRPr="006E6390" w:rsidRDefault="009F19C6" w:rsidP="009F19C6">
      <w:pPr>
        <w:pStyle w:val="Prrafodelista"/>
        <w:rPr>
          <w:rFonts w:cs="Arial"/>
          <w:lang w:eastAsia="es-MX"/>
        </w:rPr>
      </w:pPr>
    </w:p>
    <w:p w14:paraId="7B114619" w14:textId="469C3B79" w:rsidR="00F41263" w:rsidRDefault="009F19C6" w:rsidP="009F19C6">
      <w:pPr>
        <w:pStyle w:val="Prrafodelista"/>
        <w:rPr>
          <w:rFonts w:cs="Arial"/>
          <w:lang w:eastAsia="es-MX"/>
        </w:rPr>
      </w:pPr>
      <w:r w:rsidRPr="006E6390">
        <w:rPr>
          <w:rFonts w:cs="Arial"/>
          <w:lang w:eastAsia="es-MX"/>
        </w:rPr>
        <w:t xml:space="preserve">Se utiliza principalmente como solvente de algunos productos agrícolas (aerosol, otros) y como materia prima en la producción de solventes de uso en la industria de pinturas. </w:t>
      </w:r>
      <w:r w:rsidR="003B2D6A">
        <w:rPr>
          <w:rFonts w:cs="Arial"/>
          <w:lang w:eastAsia="es-MX"/>
        </w:rPr>
        <w:t xml:space="preserve"> </w:t>
      </w:r>
      <w:r w:rsidRPr="006E6390">
        <w:rPr>
          <w:rFonts w:cs="Arial"/>
          <w:lang w:eastAsia="es-MX"/>
        </w:rPr>
        <w:t>Es altamente inflamable por lo que se recomienda tener especial cuidado en su manipulación y almacenamiento.</w:t>
      </w:r>
    </w:p>
    <w:p w14:paraId="72A25CB5" w14:textId="77777777" w:rsidR="00FA0D97" w:rsidRPr="006E6390" w:rsidRDefault="00FA0D97" w:rsidP="000D6BF1">
      <w:pPr>
        <w:pStyle w:val="Prrafodelista"/>
        <w:spacing w:after="0"/>
        <w:rPr>
          <w:rFonts w:cs="Arial"/>
          <w:lang w:eastAsia="es-MX"/>
        </w:rPr>
      </w:pPr>
    </w:p>
    <w:p w14:paraId="60BB19A7" w14:textId="7944CA88" w:rsidR="00F41263" w:rsidRPr="006E6390" w:rsidRDefault="00F41263" w:rsidP="001F388C">
      <w:pPr>
        <w:tabs>
          <w:tab w:val="left" w:pos="9270"/>
        </w:tabs>
        <w:ind w:left="720"/>
        <w:rPr>
          <w:rFonts w:cs="Arial"/>
          <w:lang w:eastAsia="es-MX"/>
        </w:rPr>
      </w:pPr>
      <w:r w:rsidRPr="00162C2D">
        <w:rPr>
          <w:rFonts w:cs="Arial"/>
          <w:lang w:eastAsia="es-MX"/>
        </w:rPr>
        <w:t>En 2017 este combustible produjo ingresos por 0,01% del total y tuvo igual participación en el volumen</w:t>
      </w:r>
      <w:r w:rsidR="002C7D8D" w:rsidRPr="00162C2D">
        <w:rPr>
          <w:rFonts w:cs="Arial"/>
          <w:lang w:eastAsia="es-MX"/>
        </w:rPr>
        <w:t>, sin embargo, en</w:t>
      </w:r>
      <w:r w:rsidR="00E9200A" w:rsidRPr="00162C2D">
        <w:rPr>
          <w:rFonts w:cs="Arial"/>
          <w:lang w:eastAsia="es-MX"/>
        </w:rPr>
        <w:t>tre</w:t>
      </w:r>
      <w:r w:rsidR="002C7D8D" w:rsidRPr="00162C2D">
        <w:rPr>
          <w:rFonts w:cs="Arial"/>
          <w:lang w:eastAsia="es-MX"/>
        </w:rPr>
        <w:t xml:space="preserve"> 2018 </w:t>
      </w:r>
      <w:r w:rsidR="00E9200A" w:rsidRPr="00162C2D">
        <w:rPr>
          <w:rFonts w:cs="Arial"/>
          <w:lang w:eastAsia="es-MX"/>
        </w:rPr>
        <w:t>y</w:t>
      </w:r>
      <w:r w:rsidR="00A054A6" w:rsidRPr="00162C2D">
        <w:rPr>
          <w:rFonts w:cs="Arial"/>
          <w:lang w:eastAsia="es-MX"/>
        </w:rPr>
        <w:t xml:space="preserve"> </w:t>
      </w:r>
      <w:r w:rsidR="00000948" w:rsidRPr="00162C2D">
        <w:rPr>
          <w:rFonts w:cs="Arial"/>
          <w:lang w:eastAsia="es-MX"/>
        </w:rPr>
        <w:t>202</w:t>
      </w:r>
      <w:r w:rsidR="00000948">
        <w:rPr>
          <w:rFonts w:cs="Arial"/>
          <w:lang w:eastAsia="es-MX"/>
        </w:rPr>
        <w:t>2</w:t>
      </w:r>
      <w:r w:rsidR="00000948" w:rsidRPr="00162C2D">
        <w:rPr>
          <w:rFonts w:cs="Arial"/>
          <w:lang w:eastAsia="es-MX"/>
        </w:rPr>
        <w:t xml:space="preserve"> </w:t>
      </w:r>
      <w:r w:rsidR="00A054A6" w:rsidRPr="00162C2D">
        <w:rPr>
          <w:rFonts w:cs="Arial"/>
          <w:lang w:eastAsia="es-MX"/>
        </w:rPr>
        <w:t xml:space="preserve">no </w:t>
      </w:r>
      <w:r w:rsidR="002C7D8D" w:rsidRPr="00162C2D">
        <w:rPr>
          <w:rFonts w:cs="Arial"/>
          <w:lang w:eastAsia="es-MX"/>
        </w:rPr>
        <w:t>se dieron ventas de este producto</w:t>
      </w:r>
      <w:r w:rsidR="002C7D8D" w:rsidRPr="006E6390">
        <w:rPr>
          <w:rFonts w:cs="Arial"/>
          <w:lang w:eastAsia="es-MX"/>
        </w:rPr>
        <w:t>.</w:t>
      </w:r>
      <w:r w:rsidRPr="006E6390">
        <w:rPr>
          <w:rFonts w:cs="Arial"/>
          <w:lang w:eastAsia="es-MX"/>
        </w:rPr>
        <w:t xml:space="preserve"> </w:t>
      </w:r>
    </w:p>
    <w:p w14:paraId="04D3FD27" w14:textId="77777777" w:rsidR="00F41263" w:rsidRPr="006E6390" w:rsidRDefault="00F41263" w:rsidP="008F23AD">
      <w:pPr>
        <w:pStyle w:val="Ttulo3"/>
        <w:rPr>
          <w:rFonts w:cs="Arial"/>
        </w:rPr>
      </w:pPr>
      <w:bookmarkStart w:id="120" w:name="_Toc38630825"/>
      <w:r w:rsidRPr="006E6390">
        <w:rPr>
          <w:rFonts w:cs="Arial"/>
        </w:rPr>
        <w:t>3.1.22. Canales de distribución</w:t>
      </w:r>
      <w:bookmarkEnd w:id="120"/>
    </w:p>
    <w:p w14:paraId="53A380B5" w14:textId="5D0FE287" w:rsidR="00F41263" w:rsidRDefault="00F41263" w:rsidP="001758DC">
      <w:pPr>
        <w:spacing w:after="0"/>
        <w:rPr>
          <w:rFonts w:cs="Arial"/>
        </w:rPr>
      </w:pPr>
      <w:bookmarkStart w:id="121" w:name="_Hlk114152625"/>
      <w:r w:rsidRPr="006E6390">
        <w:rPr>
          <w:rFonts w:cs="Arial"/>
        </w:rPr>
        <w:t>La distribución y venta de combustibles se realiza a través del Sistema Nacional de Combustibles</w:t>
      </w:r>
      <w:bookmarkEnd w:id="121"/>
      <w:r w:rsidRPr="006E6390">
        <w:rPr>
          <w:rFonts w:cs="Arial"/>
        </w:rPr>
        <w:t>, el cual se ha desarrollado en función del crecimiento geográfico y económico del país.</w:t>
      </w:r>
    </w:p>
    <w:p w14:paraId="45722CC9" w14:textId="77777777" w:rsidR="00833949" w:rsidRPr="006E6390" w:rsidRDefault="00833949" w:rsidP="001758DC">
      <w:pPr>
        <w:spacing w:after="0"/>
        <w:rPr>
          <w:rFonts w:cs="Arial"/>
        </w:rPr>
      </w:pPr>
    </w:p>
    <w:p w14:paraId="428D7ACB" w14:textId="6255FAFD" w:rsidR="00F41263" w:rsidRDefault="00F41263" w:rsidP="001758DC">
      <w:pPr>
        <w:spacing w:after="0"/>
        <w:rPr>
          <w:rFonts w:cs="Arial"/>
        </w:rPr>
      </w:pPr>
      <w:r w:rsidRPr="006E6390">
        <w:rPr>
          <w:rFonts w:cs="Arial"/>
        </w:rPr>
        <w:t xml:space="preserve">De esta forma, las importaciones de </w:t>
      </w:r>
      <w:r w:rsidR="002D25A7" w:rsidRPr="006E6390">
        <w:rPr>
          <w:rFonts w:cs="Arial"/>
        </w:rPr>
        <w:t xml:space="preserve">hidrocarburos </w:t>
      </w:r>
      <w:r w:rsidRPr="006E6390">
        <w:rPr>
          <w:rFonts w:cs="Arial"/>
        </w:rPr>
        <w:t>se reciben en Puerto Moín, desde donde son enviadas, a través de tuberías, a</w:t>
      </w:r>
      <w:r w:rsidR="0099262D" w:rsidRPr="006E6390">
        <w:rPr>
          <w:rFonts w:cs="Arial"/>
        </w:rPr>
        <w:t xml:space="preserve"> la</w:t>
      </w:r>
      <w:r w:rsidRPr="006E6390">
        <w:rPr>
          <w:rFonts w:cs="Arial"/>
        </w:rPr>
        <w:t xml:space="preserve"> </w:t>
      </w:r>
      <w:r w:rsidR="00017F12" w:rsidRPr="006E6390">
        <w:rPr>
          <w:rFonts w:cs="Arial"/>
        </w:rPr>
        <w:t xml:space="preserve">Terminal </w:t>
      </w:r>
      <w:r w:rsidRPr="006E6390">
        <w:rPr>
          <w:rFonts w:cs="Arial"/>
        </w:rPr>
        <w:t xml:space="preserve">Moín, que es el principal centro de acopio del país, debido a que ahí se almacenan las importaciones, la producción y las mezclas de </w:t>
      </w:r>
      <w:r w:rsidRPr="00162C2D">
        <w:rPr>
          <w:rFonts w:cs="Arial"/>
        </w:rPr>
        <w:t>productos.  De</w:t>
      </w:r>
      <w:r w:rsidR="0099262D" w:rsidRPr="00162C2D">
        <w:rPr>
          <w:rFonts w:cs="Arial"/>
        </w:rPr>
        <w:t xml:space="preserve"> </w:t>
      </w:r>
      <w:r w:rsidRPr="00162C2D">
        <w:rPr>
          <w:rFonts w:cs="Arial"/>
        </w:rPr>
        <w:t>l</w:t>
      </w:r>
      <w:r w:rsidR="0099262D" w:rsidRPr="00162C2D">
        <w:rPr>
          <w:rFonts w:cs="Arial"/>
        </w:rPr>
        <w:t>a</w:t>
      </w:r>
      <w:r w:rsidRPr="00162C2D">
        <w:rPr>
          <w:rFonts w:cs="Arial"/>
        </w:rPr>
        <w:t xml:space="preserve"> </w:t>
      </w:r>
      <w:r w:rsidR="00017F12" w:rsidRPr="00162C2D">
        <w:rPr>
          <w:rFonts w:cs="Arial"/>
        </w:rPr>
        <w:t xml:space="preserve">Terminal </w:t>
      </w:r>
      <w:r w:rsidRPr="00162C2D">
        <w:rPr>
          <w:rFonts w:cs="Arial"/>
        </w:rPr>
        <w:t xml:space="preserve">Moín las gasolinas, el </w:t>
      </w:r>
      <w:r w:rsidR="003E2CAF" w:rsidRPr="00162C2D">
        <w:rPr>
          <w:rFonts w:cs="Arial"/>
        </w:rPr>
        <w:t xml:space="preserve">diésel </w:t>
      </w:r>
      <w:r w:rsidRPr="00162C2D">
        <w:rPr>
          <w:rFonts w:cs="Arial"/>
        </w:rPr>
        <w:t xml:space="preserve">y el </w:t>
      </w:r>
      <w:r w:rsidR="003B2D6A" w:rsidRPr="00162C2D">
        <w:rPr>
          <w:rFonts w:cs="Arial"/>
        </w:rPr>
        <w:t>J</w:t>
      </w:r>
      <w:r w:rsidRPr="00162C2D">
        <w:rPr>
          <w:rFonts w:cs="Arial"/>
        </w:rPr>
        <w:t xml:space="preserve">et fuel se envían por el poliducto hasta los </w:t>
      </w:r>
      <w:r w:rsidR="002D25A7" w:rsidRPr="00162C2D">
        <w:rPr>
          <w:rFonts w:cs="Arial"/>
        </w:rPr>
        <w:t xml:space="preserve">terminales </w:t>
      </w:r>
      <w:r w:rsidRPr="00162C2D">
        <w:rPr>
          <w:rFonts w:cs="Arial"/>
        </w:rPr>
        <w:t xml:space="preserve">de almacenamiento y ventas, así como a las terminales de venta en los principales aeropuertos del país. </w:t>
      </w:r>
    </w:p>
    <w:p w14:paraId="178AAB68" w14:textId="77777777" w:rsidR="00833949" w:rsidRPr="00162C2D" w:rsidRDefault="00833949" w:rsidP="001758DC">
      <w:pPr>
        <w:spacing w:after="0"/>
        <w:rPr>
          <w:rFonts w:cs="Arial"/>
        </w:rPr>
      </w:pPr>
    </w:p>
    <w:p w14:paraId="48AC8BD2" w14:textId="7D625CCA" w:rsidR="00F41263" w:rsidRDefault="0099262D" w:rsidP="001758DC">
      <w:pPr>
        <w:spacing w:after="0"/>
        <w:rPr>
          <w:rFonts w:cs="Arial"/>
        </w:rPr>
      </w:pPr>
      <w:r w:rsidRPr="00162C2D">
        <w:rPr>
          <w:rFonts w:cs="Arial"/>
        </w:rPr>
        <w:t>La</w:t>
      </w:r>
      <w:r w:rsidR="00F41263" w:rsidRPr="00162C2D">
        <w:rPr>
          <w:rFonts w:cs="Arial"/>
        </w:rPr>
        <w:t xml:space="preserve"> </w:t>
      </w:r>
      <w:r w:rsidR="00017F12" w:rsidRPr="00162C2D">
        <w:rPr>
          <w:rFonts w:cs="Arial"/>
        </w:rPr>
        <w:t xml:space="preserve">Terminal </w:t>
      </w:r>
      <w:r w:rsidR="00F41263" w:rsidRPr="00162C2D">
        <w:rPr>
          <w:rFonts w:cs="Arial"/>
        </w:rPr>
        <w:t xml:space="preserve">La Garita es el principal punto de ventas, con una participación de </w:t>
      </w:r>
      <w:r w:rsidR="00736755" w:rsidRPr="00162C2D">
        <w:rPr>
          <w:rFonts w:cs="Arial"/>
        </w:rPr>
        <w:t>28,</w:t>
      </w:r>
      <w:r w:rsidR="00B36406">
        <w:rPr>
          <w:rFonts w:cs="Arial"/>
        </w:rPr>
        <w:t>4</w:t>
      </w:r>
      <w:r w:rsidR="00F41263" w:rsidRPr="00162C2D">
        <w:rPr>
          <w:rFonts w:cs="Arial"/>
        </w:rPr>
        <w:t xml:space="preserve">% del total en </w:t>
      </w:r>
      <w:r w:rsidR="00B36406" w:rsidRPr="00162C2D">
        <w:rPr>
          <w:rFonts w:cs="Arial"/>
        </w:rPr>
        <w:t>20</w:t>
      </w:r>
      <w:r w:rsidR="00B36406">
        <w:rPr>
          <w:rFonts w:cs="Arial"/>
        </w:rPr>
        <w:t>20</w:t>
      </w:r>
      <w:r w:rsidR="00B36406" w:rsidRPr="00162C2D">
        <w:rPr>
          <w:rFonts w:cs="Arial"/>
        </w:rPr>
        <w:t xml:space="preserve"> </w:t>
      </w:r>
      <w:r w:rsidR="00F46DEF" w:rsidRPr="00162C2D">
        <w:rPr>
          <w:rFonts w:cs="Arial"/>
        </w:rPr>
        <w:t>(</w:t>
      </w:r>
      <w:r w:rsidR="00B36406">
        <w:rPr>
          <w:rFonts w:cs="Arial"/>
        </w:rPr>
        <w:t>795</w:t>
      </w:r>
      <w:r w:rsidR="00B36406" w:rsidRPr="00162C2D">
        <w:rPr>
          <w:rFonts w:cs="Arial"/>
        </w:rPr>
        <w:t xml:space="preserve"> </w:t>
      </w:r>
      <w:r w:rsidR="00F41263" w:rsidRPr="00162C2D">
        <w:rPr>
          <w:rFonts w:cs="Arial"/>
        </w:rPr>
        <w:t>millones de litros</w:t>
      </w:r>
      <w:r w:rsidR="00F46DEF" w:rsidRPr="00162C2D">
        <w:rPr>
          <w:rFonts w:cs="Arial"/>
        </w:rPr>
        <w:t>)</w:t>
      </w:r>
      <w:r w:rsidR="00BF28E5" w:rsidRPr="00162C2D">
        <w:rPr>
          <w:rFonts w:cs="Arial"/>
        </w:rPr>
        <w:t xml:space="preserve">, </w:t>
      </w:r>
      <w:r w:rsidR="00B36406">
        <w:rPr>
          <w:rFonts w:cs="Arial"/>
        </w:rPr>
        <w:t>baj</w:t>
      </w:r>
      <w:r w:rsidR="00B36406" w:rsidRPr="00162C2D">
        <w:rPr>
          <w:rFonts w:cs="Arial"/>
        </w:rPr>
        <w:t xml:space="preserve">ó </w:t>
      </w:r>
      <w:r w:rsidR="00736755" w:rsidRPr="00162C2D">
        <w:rPr>
          <w:rFonts w:cs="Arial"/>
        </w:rPr>
        <w:t xml:space="preserve">la participación </w:t>
      </w:r>
      <w:r w:rsidR="00B04869" w:rsidRPr="00162C2D">
        <w:rPr>
          <w:rFonts w:cs="Arial"/>
        </w:rPr>
        <w:t xml:space="preserve">en </w:t>
      </w:r>
      <w:r w:rsidR="00B36406" w:rsidRPr="00162C2D">
        <w:rPr>
          <w:rFonts w:cs="Arial"/>
        </w:rPr>
        <w:t>202</w:t>
      </w:r>
      <w:r w:rsidR="00B36406">
        <w:rPr>
          <w:rFonts w:cs="Arial"/>
        </w:rPr>
        <w:t>1</w:t>
      </w:r>
      <w:r w:rsidR="00B36406" w:rsidRPr="00162C2D">
        <w:rPr>
          <w:rFonts w:cs="Arial"/>
        </w:rPr>
        <w:t xml:space="preserve"> </w:t>
      </w:r>
      <w:r w:rsidR="00B04869" w:rsidRPr="00162C2D">
        <w:rPr>
          <w:rFonts w:cs="Arial"/>
        </w:rPr>
        <w:t>a 28,</w:t>
      </w:r>
      <w:r w:rsidR="00736755" w:rsidRPr="00162C2D">
        <w:rPr>
          <w:rFonts w:cs="Arial"/>
        </w:rPr>
        <w:t>4</w:t>
      </w:r>
      <w:r w:rsidR="00B04869" w:rsidRPr="00162C2D">
        <w:rPr>
          <w:rFonts w:cs="Arial"/>
        </w:rPr>
        <w:t>%</w:t>
      </w:r>
      <w:r w:rsidR="00F46DEF" w:rsidRPr="00162C2D">
        <w:rPr>
          <w:rFonts w:cs="Arial"/>
        </w:rPr>
        <w:t xml:space="preserve"> </w:t>
      </w:r>
      <w:r w:rsidR="00B946AE" w:rsidRPr="00162C2D">
        <w:rPr>
          <w:rFonts w:cs="Arial"/>
        </w:rPr>
        <w:t>(</w:t>
      </w:r>
      <w:r w:rsidR="00B36406">
        <w:rPr>
          <w:rFonts w:cs="Arial"/>
        </w:rPr>
        <w:t>aunque las ventas subieron a 905</w:t>
      </w:r>
      <w:r w:rsidR="00B946AE" w:rsidRPr="00162C2D">
        <w:rPr>
          <w:rFonts w:cs="Arial"/>
        </w:rPr>
        <w:t xml:space="preserve"> millones de litros) </w:t>
      </w:r>
      <w:r w:rsidR="00F46DEF" w:rsidRPr="00162C2D">
        <w:rPr>
          <w:rFonts w:cs="Arial"/>
        </w:rPr>
        <w:t xml:space="preserve">y </w:t>
      </w:r>
      <w:r w:rsidR="00B36406">
        <w:rPr>
          <w:rFonts w:cs="Arial"/>
        </w:rPr>
        <w:t>cayendo</w:t>
      </w:r>
      <w:r w:rsidR="00B36406" w:rsidRPr="00162C2D">
        <w:rPr>
          <w:rFonts w:cs="Arial"/>
        </w:rPr>
        <w:t xml:space="preserve"> </w:t>
      </w:r>
      <w:r w:rsidR="00F46DEF" w:rsidRPr="00162C2D">
        <w:rPr>
          <w:rFonts w:cs="Arial"/>
        </w:rPr>
        <w:t xml:space="preserve">a </w:t>
      </w:r>
      <w:r w:rsidR="00B946AE" w:rsidRPr="00162C2D">
        <w:rPr>
          <w:rFonts w:cs="Arial"/>
        </w:rPr>
        <w:t>2</w:t>
      </w:r>
      <w:r w:rsidR="00736755" w:rsidRPr="00162C2D">
        <w:rPr>
          <w:rFonts w:cs="Arial"/>
        </w:rPr>
        <w:t>7</w:t>
      </w:r>
      <w:r w:rsidR="00B946AE" w:rsidRPr="00162C2D">
        <w:rPr>
          <w:rFonts w:cs="Arial"/>
        </w:rPr>
        <w:t>,</w:t>
      </w:r>
      <w:r w:rsidR="00B36406">
        <w:rPr>
          <w:rFonts w:cs="Arial"/>
        </w:rPr>
        <w:t>0</w:t>
      </w:r>
      <w:r w:rsidR="00F46DEF" w:rsidRPr="00162C2D">
        <w:rPr>
          <w:rFonts w:cs="Arial"/>
        </w:rPr>
        <w:t xml:space="preserve">% en </w:t>
      </w:r>
      <w:r w:rsidR="00B36406" w:rsidRPr="00162C2D">
        <w:rPr>
          <w:rFonts w:cs="Arial"/>
        </w:rPr>
        <w:t>202</w:t>
      </w:r>
      <w:r w:rsidR="00B36406">
        <w:rPr>
          <w:rFonts w:cs="Arial"/>
        </w:rPr>
        <w:t>2</w:t>
      </w:r>
      <w:r w:rsidR="00B36406" w:rsidRPr="00162C2D">
        <w:rPr>
          <w:rFonts w:cs="Arial"/>
        </w:rPr>
        <w:t xml:space="preserve"> </w:t>
      </w:r>
      <w:r w:rsidR="00B946AE" w:rsidRPr="00162C2D">
        <w:rPr>
          <w:rFonts w:cs="Arial"/>
        </w:rPr>
        <w:t>(</w:t>
      </w:r>
      <w:r w:rsidR="00B36406" w:rsidRPr="00162C2D">
        <w:rPr>
          <w:rFonts w:cs="Arial"/>
        </w:rPr>
        <w:t>9</w:t>
      </w:r>
      <w:r w:rsidR="00B36406">
        <w:rPr>
          <w:rFonts w:cs="Arial"/>
        </w:rPr>
        <w:t>31</w:t>
      </w:r>
      <w:r w:rsidR="00B36406" w:rsidRPr="00162C2D">
        <w:rPr>
          <w:rFonts w:cs="Arial"/>
        </w:rPr>
        <w:t xml:space="preserve"> </w:t>
      </w:r>
      <w:r w:rsidR="00B946AE" w:rsidRPr="00162C2D">
        <w:rPr>
          <w:rFonts w:cs="Arial"/>
        </w:rPr>
        <w:t>millones de litros)</w:t>
      </w:r>
      <w:r w:rsidR="00F41263" w:rsidRPr="00162C2D">
        <w:rPr>
          <w:rFonts w:cs="Arial"/>
        </w:rPr>
        <w:t xml:space="preserve">. </w:t>
      </w:r>
      <w:r w:rsidR="00B946AE" w:rsidRPr="00162C2D">
        <w:rPr>
          <w:rFonts w:cs="Arial"/>
        </w:rPr>
        <w:t xml:space="preserve"> </w:t>
      </w:r>
      <w:r w:rsidR="00F41263" w:rsidRPr="00162C2D">
        <w:rPr>
          <w:rFonts w:cs="Arial"/>
        </w:rPr>
        <w:t>Est</w:t>
      </w:r>
      <w:r w:rsidR="00562F95" w:rsidRPr="00162C2D">
        <w:rPr>
          <w:rFonts w:cs="Arial"/>
        </w:rPr>
        <w:t>a</w:t>
      </w:r>
      <w:r w:rsidR="00F41263" w:rsidRPr="00162C2D">
        <w:rPr>
          <w:rFonts w:cs="Arial"/>
        </w:rPr>
        <w:t xml:space="preserve"> </w:t>
      </w:r>
      <w:r w:rsidR="00B946AE" w:rsidRPr="00162C2D">
        <w:rPr>
          <w:rFonts w:cs="Arial"/>
        </w:rPr>
        <w:t xml:space="preserve">terminal </w:t>
      </w:r>
      <w:r w:rsidR="00F41263" w:rsidRPr="00162C2D">
        <w:rPr>
          <w:rFonts w:cs="Arial"/>
        </w:rPr>
        <w:t xml:space="preserve">es el centro de distribución de combustibles para la aviación: jet fuel y </w:t>
      </w:r>
      <w:r w:rsidR="006B69D7" w:rsidRPr="00162C2D">
        <w:rPr>
          <w:rFonts w:cs="Arial"/>
        </w:rPr>
        <w:t>A</w:t>
      </w:r>
      <w:r w:rsidR="00F41263" w:rsidRPr="00162C2D">
        <w:rPr>
          <w:rFonts w:cs="Arial"/>
        </w:rPr>
        <w:t>v</w:t>
      </w:r>
      <w:r w:rsidR="00355270" w:rsidRPr="00162C2D">
        <w:rPr>
          <w:rFonts w:cs="Arial"/>
        </w:rPr>
        <w:t>-</w:t>
      </w:r>
      <w:r w:rsidR="00F41263" w:rsidRPr="00162C2D">
        <w:rPr>
          <w:rFonts w:cs="Arial"/>
        </w:rPr>
        <w:t xml:space="preserve">gas. Le sigue en importancia </w:t>
      </w:r>
      <w:r w:rsidRPr="00162C2D">
        <w:rPr>
          <w:rFonts w:cs="Arial"/>
        </w:rPr>
        <w:t>la</w:t>
      </w:r>
      <w:r w:rsidR="00F41263" w:rsidRPr="00162C2D">
        <w:rPr>
          <w:rFonts w:cs="Arial"/>
        </w:rPr>
        <w:t xml:space="preserve"> </w:t>
      </w:r>
      <w:r w:rsidR="00017F12" w:rsidRPr="00162C2D">
        <w:rPr>
          <w:rFonts w:cs="Arial"/>
        </w:rPr>
        <w:t xml:space="preserve">Terminal </w:t>
      </w:r>
      <w:r w:rsidR="00F41263" w:rsidRPr="00162C2D">
        <w:rPr>
          <w:rFonts w:cs="Arial"/>
        </w:rPr>
        <w:t>El Alto, con una participación de 2</w:t>
      </w:r>
      <w:r w:rsidR="00F6307C" w:rsidRPr="00162C2D">
        <w:rPr>
          <w:rFonts w:cs="Arial"/>
        </w:rPr>
        <w:t>4,</w:t>
      </w:r>
      <w:r w:rsidR="00B36406">
        <w:rPr>
          <w:rFonts w:cs="Arial"/>
        </w:rPr>
        <w:t>0</w:t>
      </w:r>
      <w:r w:rsidR="00F41263" w:rsidRPr="00162C2D">
        <w:rPr>
          <w:rFonts w:cs="Arial"/>
        </w:rPr>
        <w:t>%</w:t>
      </w:r>
      <w:r w:rsidR="00A67719" w:rsidRPr="00162C2D">
        <w:rPr>
          <w:rFonts w:cs="Arial"/>
        </w:rPr>
        <w:t xml:space="preserve"> </w:t>
      </w:r>
      <w:r w:rsidR="00B946AE" w:rsidRPr="00162C2D">
        <w:rPr>
          <w:rFonts w:cs="Arial"/>
        </w:rPr>
        <w:t xml:space="preserve">en </w:t>
      </w:r>
      <w:r w:rsidR="00B36406" w:rsidRPr="00162C2D">
        <w:rPr>
          <w:rFonts w:cs="Arial"/>
        </w:rPr>
        <w:t>20</w:t>
      </w:r>
      <w:r w:rsidR="00B36406">
        <w:rPr>
          <w:rFonts w:cs="Arial"/>
        </w:rPr>
        <w:t>20</w:t>
      </w:r>
      <w:r w:rsidR="00B36406" w:rsidRPr="00162C2D">
        <w:rPr>
          <w:rFonts w:cs="Arial"/>
        </w:rPr>
        <w:t xml:space="preserve"> </w:t>
      </w:r>
      <w:r w:rsidR="00B946AE" w:rsidRPr="00162C2D">
        <w:rPr>
          <w:rFonts w:cs="Arial"/>
        </w:rPr>
        <w:t>(</w:t>
      </w:r>
      <w:r w:rsidR="00B36406">
        <w:rPr>
          <w:rFonts w:cs="Arial"/>
        </w:rPr>
        <w:t>673</w:t>
      </w:r>
      <w:r w:rsidR="00B36406" w:rsidRPr="00162C2D">
        <w:rPr>
          <w:rFonts w:cs="Arial"/>
        </w:rPr>
        <w:t xml:space="preserve"> </w:t>
      </w:r>
      <w:r w:rsidR="00F41263" w:rsidRPr="00162C2D">
        <w:rPr>
          <w:rFonts w:cs="Arial"/>
        </w:rPr>
        <w:t>millones de litros</w:t>
      </w:r>
      <w:r w:rsidR="00B946AE" w:rsidRPr="00162C2D">
        <w:rPr>
          <w:rFonts w:cs="Arial"/>
        </w:rPr>
        <w:t>)</w:t>
      </w:r>
      <w:r w:rsidR="00F41263" w:rsidRPr="00162C2D">
        <w:rPr>
          <w:rFonts w:cs="Arial"/>
        </w:rPr>
        <w:t>,</w:t>
      </w:r>
      <w:r w:rsidR="00B04869" w:rsidRPr="00162C2D">
        <w:rPr>
          <w:rFonts w:cs="Arial"/>
        </w:rPr>
        <w:t xml:space="preserve"> pero baja participación en </w:t>
      </w:r>
      <w:r w:rsidR="00B36406" w:rsidRPr="00162C2D">
        <w:rPr>
          <w:rFonts w:cs="Arial"/>
        </w:rPr>
        <w:t>202</w:t>
      </w:r>
      <w:r w:rsidR="00B36406">
        <w:rPr>
          <w:rFonts w:cs="Arial"/>
        </w:rPr>
        <w:t>1</w:t>
      </w:r>
      <w:r w:rsidR="00B36406" w:rsidRPr="00162C2D">
        <w:rPr>
          <w:rFonts w:cs="Arial"/>
        </w:rPr>
        <w:t xml:space="preserve"> </w:t>
      </w:r>
      <w:r w:rsidR="00B04869" w:rsidRPr="00162C2D">
        <w:rPr>
          <w:rFonts w:cs="Arial"/>
        </w:rPr>
        <w:t>(</w:t>
      </w:r>
      <w:r w:rsidR="00B36406" w:rsidRPr="00162C2D">
        <w:rPr>
          <w:rFonts w:cs="Arial"/>
        </w:rPr>
        <w:t>2</w:t>
      </w:r>
      <w:r w:rsidR="00B36406">
        <w:rPr>
          <w:rFonts w:cs="Arial"/>
        </w:rPr>
        <w:t>3</w:t>
      </w:r>
      <w:r w:rsidR="00F6307C" w:rsidRPr="00162C2D">
        <w:rPr>
          <w:rFonts w:cs="Arial"/>
        </w:rPr>
        <w:t>,</w:t>
      </w:r>
      <w:r w:rsidR="00B36406">
        <w:rPr>
          <w:rFonts w:cs="Arial"/>
        </w:rPr>
        <w:t>1</w:t>
      </w:r>
      <w:r w:rsidR="00B04869" w:rsidRPr="00162C2D">
        <w:rPr>
          <w:rFonts w:cs="Arial"/>
        </w:rPr>
        <w:t xml:space="preserve">% y </w:t>
      </w:r>
      <w:r w:rsidR="00B36406">
        <w:rPr>
          <w:rFonts w:cs="Arial"/>
        </w:rPr>
        <w:t xml:space="preserve">750 </w:t>
      </w:r>
      <w:r w:rsidR="00B04869" w:rsidRPr="00162C2D">
        <w:rPr>
          <w:rFonts w:cs="Arial"/>
        </w:rPr>
        <w:t>millones de litros)</w:t>
      </w:r>
      <w:r w:rsidR="00B946AE" w:rsidRPr="00162C2D">
        <w:rPr>
          <w:rFonts w:cs="Arial"/>
        </w:rPr>
        <w:t xml:space="preserve"> y en </w:t>
      </w:r>
      <w:r w:rsidR="00B36406" w:rsidRPr="00162C2D">
        <w:rPr>
          <w:rFonts w:cs="Arial"/>
        </w:rPr>
        <w:t>202</w:t>
      </w:r>
      <w:r w:rsidR="00B36406">
        <w:rPr>
          <w:rFonts w:cs="Arial"/>
        </w:rPr>
        <w:t>2</w:t>
      </w:r>
      <w:r w:rsidR="00B946AE" w:rsidRPr="00162C2D">
        <w:rPr>
          <w:rFonts w:cs="Arial"/>
        </w:rPr>
        <w:t xml:space="preserve">, </w:t>
      </w:r>
      <w:r w:rsidR="00F6307C" w:rsidRPr="00162C2D">
        <w:rPr>
          <w:rFonts w:cs="Arial"/>
        </w:rPr>
        <w:t xml:space="preserve">bajó a </w:t>
      </w:r>
      <w:r w:rsidR="00B36406" w:rsidRPr="00162C2D">
        <w:rPr>
          <w:rFonts w:cs="Arial"/>
        </w:rPr>
        <w:t>2</w:t>
      </w:r>
      <w:r w:rsidR="00B36406">
        <w:rPr>
          <w:rFonts w:cs="Arial"/>
        </w:rPr>
        <w:t>2</w:t>
      </w:r>
      <w:r w:rsidR="00F6307C" w:rsidRPr="00162C2D">
        <w:rPr>
          <w:rFonts w:cs="Arial"/>
        </w:rPr>
        <w:t>,</w:t>
      </w:r>
      <w:r w:rsidR="00B36406">
        <w:rPr>
          <w:rFonts w:cs="Arial"/>
        </w:rPr>
        <w:t>0</w:t>
      </w:r>
      <w:r w:rsidR="00B946AE" w:rsidRPr="00162C2D">
        <w:rPr>
          <w:rFonts w:cs="Arial"/>
        </w:rPr>
        <w:t xml:space="preserve">% pero con </w:t>
      </w:r>
      <w:r w:rsidR="00B36406" w:rsidRPr="00162C2D">
        <w:rPr>
          <w:rFonts w:cs="Arial"/>
        </w:rPr>
        <w:t>75</w:t>
      </w:r>
      <w:r w:rsidR="00B36406">
        <w:rPr>
          <w:rFonts w:cs="Arial"/>
        </w:rPr>
        <w:t>8</w:t>
      </w:r>
      <w:r w:rsidR="00B36406" w:rsidRPr="00162C2D">
        <w:rPr>
          <w:rFonts w:cs="Arial"/>
        </w:rPr>
        <w:t xml:space="preserve"> </w:t>
      </w:r>
      <w:r w:rsidR="00B946AE" w:rsidRPr="00162C2D">
        <w:rPr>
          <w:rFonts w:cs="Arial"/>
        </w:rPr>
        <w:t>millones de litros)</w:t>
      </w:r>
      <w:r w:rsidR="00AD5A97">
        <w:rPr>
          <w:rFonts w:cs="Arial"/>
        </w:rPr>
        <w:t>.</w:t>
      </w:r>
    </w:p>
    <w:p w14:paraId="25B92DA7" w14:textId="77777777" w:rsidR="00AD5A97" w:rsidRPr="00162C2D" w:rsidRDefault="00AD5A97" w:rsidP="001758DC">
      <w:pPr>
        <w:spacing w:after="0"/>
        <w:rPr>
          <w:rFonts w:cs="Arial"/>
        </w:rPr>
      </w:pPr>
    </w:p>
    <w:p w14:paraId="1E7CDB78" w14:textId="488C4368" w:rsidR="00F41263" w:rsidRDefault="00F41263" w:rsidP="001758DC">
      <w:pPr>
        <w:spacing w:after="0"/>
        <w:rPr>
          <w:rFonts w:cs="Arial"/>
        </w:rPr>
      </w:pPr>
      <w:r w:rsidRPr="00162C2D">
        <w:rPr>
          <w:rFonts w:cs="Arial"/>
        </w:rPr>
        <w:t xml:space="preserve">En </w:t>
      </w:r>
      <w:r w:rsidR="00B36406" w:rsidRPr="00162C2D">
        <w:rPr>
          <w:rFonts w:cs="Arial"/>
        </w:rPr>
        <w:t>20</w:t>
      </w:r>
      <w:r w:rsidR="00B36406">
        <w:rPr>
          <w:rFonts w:cs="Arial"/>
        </w:rPr>
        <w:t>20</w:t>
      </w:r>
      <w:r w:rsidR="00067A59" w:rsidRPr="00162C2D">
        <w:rPr>
          <w:rFonts w:cs="Arial"/>
        </w:rPr>
        <w:t>,</w:t>
      </w:r>
      <w:r w:rsidR="00A67719" w:rsidRPr="00162C2D">
        <w:rPr>
          <w:rFonts w:cs="Arial"/>
        </w:rPr>
        <w:t xml:space="preserve"> </w:t>
      </w:r>
      <w:r w:rsidR="0099262D" w:rsidRPr="00162C2D">
        <w:rPr>
          <w:rFonts w:cs="Arial"/>
        </w:rPr>
        <w:t>la</w:t>
      </w:r>
      <w:r w:rsidRPr="00162C2D">
        <w:rPr>
          <w:rFonts w:cs="Arial"/>
        </w:rPr>
        <w:t xml:space="preserve"> </w:t>
      </w:r>
      <w:r w:rsidR="00017F12" w:rsidRPr="00162C2D">
        <w:rPr>
          <w:rFonts w:cs="Arial"/>
        </w:rPr>
        <w:t xml:space="preserve">Terminal </w:t>
      </w:r>
      <w:r w:rsidRPr="00162C2D">
        <w:rPr>
          <w:rFonts w:cs="Arial"/>
        </w:rPr>
        <w:t xml:space="preserve">Moín </w:t>
      </w:r>
      <w:r w:rsidR="0099262D" w:rsidRPr="00162C2D">
        <w:rPr>
          <w:rFonts w:cs="Arial"/>
        </w:rPr>
        <w:t>concentró</w:t>
      </w:r>
      <w:r w:rsidRPr="00162C2D">
        <w:rPr>
          <w:rFonts w:cs="Arial"/>
        </w:rPr>
        <w:t xml:space="preserve"> </w:t>
      </w:r>
      <w:r w:rsidR="00B36406" w:rsidRPr="00162C2D">
        <w:rPr>
          <w:rFonts w:cs="Arial"/>
        </w:rPr>
        <w:t>2</w:t>
      </w:r>
      <w:r w:rsidR="00B36406">
        <w:rPr>
          <w:rFonts w:cs="Arial"/>
        </w:rPr>
        <w:t>6</w:t>
      </w:r>
      <w:r w:rsidR="00F6307C" w:rsidRPr="00162C2D">
        <w:rPr>
          <w:rFonts w:cs="Arial"/>
        </w:rPr>
        <w:t>,</w:t>
      </w:r>
      <w:r w:rsidR="00B36406">
        <w:rPr>
          <w:rFonts w:cs="Arial"/>
        </w:rPr>
        <w:t>3</w:t>
      </w:r>
      <w:r w:rsidRPr="00162C2D">
        <w:rPr>
          <w:rFonts w:cs="Arial"/>
        </w:rPr>
        <w:t>% de las ventas de la empresa</w:t>
      </w:r>
      <w:r w:rsidR="00A57EC4" w:rsidRPr="00162C2D">
        <w:rPr>
          <w:rFonts w:cs="Arial"/>
        </w:rPr>
        <w:t xml:space="preserve"> (</w:t>
      </w:r>
      <w:r w:rsidR="00B36406">
        <w:rPr>
          <w:rFonts w:cs="Arial"/>
        </w:rPr>
        <w:t>737</w:t>
      </w:r>
      <w:r w:rsidR="00B36406" w:rsidRPr="00162C2D">
        <w:rPr>
          <w:rFonts w:cs="Arial"/>
        </w:rPr>
        <w:t xml:space="preserve"> </w:t>
      </w:r>
      <w:r w:rsidRPr="00162C2D">
        <w:rPr>
          <w:rFonts w:cs="Arial"/>
        </w:rPr>
        <w:t>millones de litros</w:t>
      </w:r>
      <w:r w:rsidR="00A57EC4" w:rsidRPr="00162C2D">
        <w:rPr>
          <w:rFonts w:cs="Arial"/>
        </w:rPr>
        <w:t>)</w:t>
      </w:r>
      <w:r w:rsidR="00AF42B8" w:rsidRPr="00162C2D">
        <w:rPr>
          <w:rFonts w:cs="Arial"/>
        </w:rPr>
        <w:t xml:space="preserve">, en el caso de </w:t>
      </w:r>
      <w:r w:rsidR="00B36406" w:rsidRPr="00162C2D">
        <w:rPr>
          <w:rFonts w:cs="Arial"/>
        </w:rPr>
        <w:t>202</w:t>
      </w:r>
      <w:r w:rsidR="00B36406">
        <w:rPr>
          <w:rFonts w:cs="Arial"/>
        </w:rPr>
        <w:t>1</w:t>
      </w:r>
      <w:r w:rsidR="00B36406" w:rsidRPr="00162C2D">
        <w:rPr>
          <w:rFonts w:cs="Arial"/>
        </w:rPr>
        <w:t xml:space="preserve"> </w:t>
      </w:r>
      <w:r w:rsidR="0073571E">
        <w:rPr>
          <w:rFonts w:cs="Arial"/>
        </w:rPr>
        <w:t>baj</w:t>
      </w:r>
      <w:r w:rsidR="0073571E" w:rsidRPr="00162C2D">
        <w:rPr>
          <w:rFonts w:cs="Arial"/>
        </w:rPr>
        <w:t xml:space="preserve">ó </w:t>
      </w:r>
      <w:r w:rsidR="00AF42B8" w:rsidRPr="00162C2D">
        <w:rPr>
          <w:rFonts w:cs="Arial"/>
        </w:rPr>
        <w:t xml:space="preserve">a </w:t>
      </w:r>
      <w:r w:rsidR="0073571E" w:rsidRPr="00162C2D">
        <w:rPr>
          <w:rFonts w:cs="Arial"/>
        </w:rPr>
        <w:t>2</w:t>
      </w:r>
      <w:r w:rsidR="0073571E">
        <w:rPr>
          <w:rFonts w:cs="Arial"/>
        </w:rPr>
        <w:t>4</w:t>
      </w:r>
      <w:r w:rsidR="00AF42B8" w:rsidRPr="00162C2D">
        <w:rPr>
          <w:rFonts w:cs="Arial"/>
        </w:rPr>
        <w:t>,</w:t>
      </w:r>
      <w:r w:rsidR="0073571E">
        <w:rPr>
          <w:rFonts w:cs="Arial"/>
        </w:rPr>
        <w:t>9</w:t>
      </w:r>
      <w:r w:rsidR="00AF42B8" w:rsidRPr="00162C2D">
        <w:rPr>
          <w:rFonts w:cs="Arial"/>
        </w:rPr>
        <w:t xml:space="preserve">% </w:t>
      </w:r>
      <w:r w:rsidR="0073571E">
        <w:rPr>
          <w:rFonts w:cs="Arial"/>
        </w:rPr>
        <w:t>(con 810 millones de litros) y a 24,2%</w:t>
      </w:r>
      <w:r w:rsidR="00984E97">
        <w:rPr>
          <w:rFonts w:cs="Arial"/>
        </w:rPr>
        <w:t xml:space="preserve"> (834 millones de litros)</w:t>
      </w:r>
      <w:r w:rsidRPr="00162C2D">
        <w:rPr>
          <w:rFonts w:cs="Arial"/>
        </w:rPr>
        <w:t xml:space="preserve">. </w:t>
      </w:r>
      <w:r w:rsidR="000B695F" w:rsidRPr="00162C2D">
        <w:rPr>
          <w:rFonts w:cs="Arial"/>
        </w:rPr>
        <w:t xml:space="preserve"> </w:t>
      </w:r>
      <w:r w:rsidRPr="00162C2D">
        <w:rPr>
          <w:rFonts w:cs="Arial"/>
        </w:rPr>
        <w:t>Est</w:t>
      </w:r>
      <w:r w:rsidR="0099262D" w:rsidRPr="00162C2D">
        <w:rPr>
          <w:rFonts w:cs="Arial"/>
        </w:rPr>
        <w:t>a</w:t>
      </w:r>
      <w:r w:rsidRPr="00162C2D">
        <w:rPr>
          <w:rFonts w:cs="Arial"/>
        </w:rPr>
        <w:t xml:space="preserve"> </w:t>
      </w:r>
      <w:r w:rsidR="00017F12" w:rsidRPr="00162C2D">
        <w:rPr>
          <w:rFonts w:cs="Arial"/>
        </w:rPr>
        <w:t xml:space="preserve">terminal </w:t>
      </w:r>
      <w:r w:rsidRPr="00162C2D">
        <w:rPr>
          <w:rFonts w:cs="Arial"/>
        </w:rPr>
        <w:t xml:space="preserve">es el único punto de ventas de </w:t>
      </w:r>
      <w:r w:rsidR="00D824DC" w:rsidRPr="00162C2D">
        <w:rPr>
          <w:rFonts w:cs="Arial"/>
        </w:rPr>
        <w:t>GLP</w:t>
      </w:r>
      <w:r w:rsidRPr="00162C2D">
        <w:rPr>
          <w:rFonts w:cs="Arial"/>
        </w:rPr>
        <w:t>, búnker 3%S, e IFOs y otros productos como el asfalto se venden casi en su totalidad.</w:t>
      </w:r>
      <w:r w:rsidR="005F171B" w:rsidRPr="00162C2D">
        <w:rPr>
          <w:rFonts w:cs="Arial"/>
        </w:rPr>
        <w:t xml:space="preserve"> </w:t>
      </w:r>
      <w:r w:rsidR="000B695F" w:rsidRPr="00162C2D">
        <w:rPr>
          <w:rFonts w:cs="Arial"/>
        </w:rPr>
        <w:t xml:space="preserve"> </w:t>
      </w:r>
      <w:r w:rsidRPr="00162C2D">
        <w:rPr>
          <w:rFonts w:cs="Arial"/>
        </w:rPr>
        <w:t>Del total vendido</w:t>
      </w:r>
      <w:r w:rsidR="006A0335" w:rsidRPr="00162C2D">
        <w:rPr>
          <w:rFonts w:cs="Arial"/>
        </w:rPr>
        <w:t xml:space="preserve"> en </w:t>
      </w:r>
      <w:r w:rsidR="00984E97" w:rsidRPr="00162C2D">
        <w:rPr>
          <w:rFonts w:cs="Arial"/>
        </w:rPr>
        <w:t>202</w:t>
      </w:r>
      <w:r w:rsidR="00984E97">
        <w:rPr>
          <w:rFonts w:cs="Arial"/>
        </w:rPr>
        <w:t>2</w:t>
      </w:r>
      <w:r w:rsidRPr="00162C2D">
        <w:rPr>
          <w:rFonts w:cs="Arial"/>
        </w:rPr>
        <w:t>, las ventas de gasolinas y diésel representa</w:t>
      </w:r>
      <w:r w:rsidR="0099262D" w:rsidRPr="00162C2D">
        <w:rPr>
          <w:rFonts w:cs="Arial"/>
        </w:rPr>
        <w:t>ro</w:t>
      </w:r>
      <w:r w:rsidRPr="00162C2D">
        <w:rPr>
          <w:rFonts w:cs="Arial"/>
        </w:rPr>
        <w:t xml:space="preserve">n </w:t>
      </w:r>
      <w:r w:rsidR="00984E97">
        <w:rPr>
          <w:rFonts w:cs="Arial"/>
        </w:rPr>
        <w:t>28</w:t>
      </w:r>
      <w:r w:rsidR="00AF42B8" w:rsidRPr="00162C2D">
        <w:rPr>
          <w:rFonts w:cs="Arial"/>
        </w:rPr>
        <w:t>,</w:t>
      </w:r>
      <w:r w:rsidR="00984E97">
        <w:rPr>
          <w:rFonts w:cs="Arial"/>
        </w:rPr>
        <w:t>7</w:t>
      </w:r>
      <w:r w:rsidRPr="00162C2D">
        <w:rPr>
          <w:rFonts w:cs="Arial"/>
        </w:rPr>
        <w:t>%</w:t>
      </w:r>
      <w:r w:rsidR="006A0335" w:rsidRPr="00162C2D">
        <w:rPr>
          <w:rFonts w:cs="Arial"/>
        </w:rPr>
        <w:t xml:space="preserve"> </w:t>
      </w:r>
      <w:r w:rsidR="00AF42B8" w:rsidRPr="00162C2D">
        <w:rPr>
          <w:rFonts w:cs="Arial"/>
        </w:rPr>
        <w:t>que se destinan a su área de influencia</w:t>
      </w:r>
      <w:r w:rsidRPr="00162C2D">
        <w:rPr>
          <w:rFonts w:cs="Arial"/>
        </w:rPr>
        <w:t xml:space="preserve">, el restante </w:t>
      </w:r>
      <w:r w:rsidR="00696009">
        <w:rPr>
          <w:rFonts w:cs="Arial"/>
        </w:rPr>
        <w:t>71,3</w:t>
      </w:r>
      <w:r w:rsidRPr="00162C2D">
        <w:rPr>
          <w:rFonts w:cs="Arial"/>
        </w:rPr>
        <w:t>% corresponde a los productos antes mencionados</w:t>
      </w:r>
      <w:r w:rsidR="00AF42B8" w:rsidRPr="00162C2D">
        <w:rPr>
          <w:rFonts w:cs="Arial"/>
        </w:rPr>
        <w:t>, cuya venta es el mercado nacional</w:t>
      </w:r>
      <w:r w:rsidRPr="00162C2D">
        <w:rPr>
          <w:rFonts w:cs="Arial"/>
        </w:rPr>
        <w:t xml:space="preserve">. </w:t>
      </w:r>
    </w:p>
    <w:p w14:paraId="7776BCF2" w14:textId="77777777" w:rsidR="00AD5A97" w:rsidRPr="00162C2D" w:rsidRDefault="00AD5A97" w:rsidP="001758DC">
      <w:pPr>
        <w:spacing w:after="0"/>
        <w:rPr>
          <w:rFonts w:cs="Arial"/>
        </w:rPr>
      </w:pPr>
    </w:p>
    <w:p w14:paraId="36FC5ED0" w14:textId="342E5DDB" w:rsidR="00F41263" w:rsidRDefault="009E4996" w:rsidP="001758DC">
      <w:pPr>
        <w:spacing w:after="0"/>
        <w:rPr>
          <w:rFonts w:cs="Arial"/>
        </w:rPr>
      </w:pPr>
      <w:r w:rsidRPr="00162C2D">
        <w:rPr>
          <w:rFonts w:cs="Arial"/>
        </w:rPr>
        <w:t>La</w:t>
      </w:r>
      <w:r w:rsidR="00770C48" w:rsidRPr="00162C2D">
        <w:rPr>
          <w:rFonts w:cs="Arial"/>
        </w:rPr>
        <w:t xml:space="preserve"> cuart</w:t>
      </w:r>
      <w:r w:rsidRPr="00162C2D">
        <w:rPr>
          <w:rFonts w:cs="Arial"/>
        </w:rPr>
        <w:t>a</w:t>
      </w:r>
      <w:r w:rsidR="00F41263" w:rsidRPr="00162C2D">
        <w:rPr>
          <w:rFonts w:cs="Arial"/>
        </w:rPr>
        <w:t xml:space="preserve"> </w:t>
      </w:r>
      <w:r w:rsidR="00770C48" w:rsidRPr="00162C2D">
        <w:rPr>
          <w:rFonts w:cs="Arial"/>
        </w:rPr>
        <w:t>termina</w:t>
      </w:r>
      <w:r w:rsidR="00F41263" w:rsidRPr="00162C2D">
        <w:rPr>
          <w:rFonts w:cs="Arial"/>
        </w:rPr>
        <w:t>l en importancia es Barranca</w:t>
      </w:r>
      <w:r w:rsidR="00696009">
        <w:rPr>
          <w:rFonts w:cs="Arial"/>
        </w:rPr>
        <w:t xml:space="preserve"> y ha venido ganando peso</w:t>
      </w:r>
      <w:r w:rsidR="00F41263" w:rsidRPr="00162C2D">
        <w:rPr>
          <w:rFonts w:cs="Arial"/>
        </w:rPr>
        <w:t xml:space="preserve">: </w:t>
      </w:r>
      <w:r w:rsidRPr="00162C2D">
        <w:rPr>
          <w:rFonts w:cs="Arial"/>
        </w:rPr>
        <w:t>16</w:t>
      </w:r>
      <w:r w:rsidR="00F83981" w:rsidRPr="00162C2D">
        <w:rPr>
          <w:rFonts w:cs="Arial"/>
        </w:rPr>
        <w:t>,</w:t>
      </w:r>
      <w:r w:rsidR="00696009">
        <w:rPr>
          <w:rFonts w:cs="Arial"/>
        </w:rPr>
        <w:t>9</w:t>
      </w:r>
      <w:r w:rsidR="00F41263" w:rsidRPr="00162C2D">
        <w:rPr>
          <w:rFonts w:cs="Arial"/>
        </w:rPr>
        <w:t>%</w:t>
      </w:r>
      <w:r w:rsidRPr="00162C2D">
        <w:rPr>
          <w:rFonts w:cs="Arial"/>
        </w:rPr>
        <w:t xml:space="preserve"> </w:t>
      </w:r>
      <w:r w:rsidR="00F83981" w:rsidRPr="00162C2D">
        <w:rPr>
          <w:rFonts w:cs="Arial"/>
        </w:rPr>
        <w:t>en</w:t>
      </w:r>
      <w:r w:rsidR="00572790" w:rsidRPr="00162C2D">
        <w:rPr>
          <w:rFonts w:cs="Arial"/>
        </w:rPr>
        <w:t xml:space="preserve"> </w:t>
      </w:r>
      <w:r w:rsidR="00696009" w:rsidRPr="00162C2D">
        <w:rPr>
          <w:rFonts w:cs="Arial"/>
        </w:rPr>
        <w:t>20</w:t>
      </w:r>
      <w:r w:rsidR="00696009">
        <w:rPr>
          <w:rFonts w:cs="Arial"/>
        </w:rPr>
        <w:t>20</w:t>
      </w:r>
      <w:r w:rsidR="00F83981" w:rsidRPr="006E6390">
        <w:rPr>
          <w:rFonts w:cs="Arial"/>
        </w:rPr>
        <w:t xml:space="preserve">, </w:t>
      </w:r>
      <w:r w:rsidR="00696009" w:rsidRPr="006E6390">
        <w:rPr>
          <w:rFonts w:cs="Arial"/>
        </w:rPr>
        <w:t>1</w:t>
      </w:r>
      <w:r w:rsidR="00696009">
        <w:rPr>
          <w:rFonts w:cs="Arial"/>
        </w:rPr>
        <w:t>7</w:t>
      </w:r>
      <w:r w:rsidR="00F83981" w:rsidRPr="006E6390">
        <w:rPr>
          <w:rFonts w:cs="Arial"/>
        </w:rPr>
        <w:t>,</w:t>
      </w:r>
      <w:r w:rsidR="00696009">
        <w:rPr>
          <w:rFonts w:cs="Arial"/>
        </w:rPr>
        <w:t>5</w:t>
      </w:r>
      <w:r w:rsidR="00BA369F" w:rsidRPr="006E6390">
        <w:rPr>
          <w:rFonts w:cs="Arial"/>
        </w:rPr>
        <w:t xml:space="preserve">% en </w:t>
      </w:r>
      <w:r w:rsidR="00696009" w:rsidRPr="006E6390">
        <w:rPr>
          <w:rFonts w:cs="Arial"/>
        </w:rPr>
        <w:t>202</w:t>
      </w:r>
      <w:r w:rsidR="00696009">
        <w:rPr>
          <w:rFonts w:cs="Arial"/>
        </w:rPr>
        <w:t>1</w:t>
      </w:r>
      <w:r w:rsidR="00696009" w:rsidRPr="006E6390">
        <w:rPr>
          <w:rFonts w:cs="Arial"/>
        </w:rPr>
        <w:t xml:space="preserve"> </w:t>
      </w:r>
      <w:r w:rsidR="00F83981" w:rsidRPr="006E6390">
        <w:rPr>
          <w:rFonts w:cs="Arial"/>
        </w:rPr>
        <w:t>y 1</w:t>
      </w:r>
      <w:r w:rsidRPr="006E6390">
        <w:rPr>
          <w:rFonts w:cs="Arial"/>
        </w:rPr>
        <w:t>7</w:t>
      </w:r>
      <w:r w:rsidR="00F83981" w:rsidRPr="006E6390">
        <w:rPr>
          <w:rFonts w:cs="Arial"/>
        </w:rPr>
        <w:t>,</w:t>
      </w:r>
      <w:r w:rsidR="00696009">
        <w:rPr>
          <w:rFonts w:cs="Arial"/>
        </w:rPr>
        <w:t>9</w:t>
      </w:r>
      <w:r w:rsidR="00F83981" w:rsidRPr="006E6390">
        <w:rPr>
          <w:rFonts w:cs="Arial"/>
        </w:rPr>
        <w:t xml:space="preserve">% en </w:t>
      </w:r>
      <w:r w:rsidR="00696009" w:rsidRPr="006E6390">
        <w:rPr>
          <w:rFonts w:cs="Arial"/>
        </w:rPr>
        <w:t>202</w:t>
      </w:r>
      <w:r w:rsidR="00696009">
        <w:rPr>
          <w:rFonts w:cs="Arial"/>
        </w:rPr>
        <w:t xml:space="preserve">2 </w:t>
      </w:r>
      <w:r w:rsidR="00F41263" w:rsidRPr="006E6390">
        <w:rPr>
          <w:rFonts w:cs="Arial"/>
        </w:rPr>
        <w:t>–</w:t>
      </w:r>
      <w:r w:rsidR="001F5188">
        <w:rPr>
          <w:rFonts w:cs="Arial"/>
        </w:rPr>
        <w:t xml:space="preserve"> </w:t>
      </w:r>
      <w:r w:rsidR="00696009">
        <w:rPr>
          <w:rFonts w:cs="Arial"/>
        </w:rPr>
        <w:t>con 475</w:t>
      </w:r>
      <w:r w:rsidRPr="006E6390">
        <w:rPr>
          <w:rFonts w:cs="Arial"/>
        </w:rPr>
        <w:t>,</w:t>
      </w:r>
      <w:r w:rsidR="001F5188">
        <w:rPr>
          <w:rFonts w:cs="Arial"/>
        </w:rPr>
        <w:t xml:space="preserve"> </w:t>
      </w:r>
      <w:r w:rsidR="00696009">
        <w:rPr>
          <w:rFonts w:cs="Arial"/>
        </w:rPr>
        <w:t>566</w:t>
      </w:r>
      <w:r w:rsidR="00696009" w:rsidRPr="006E6390">
        <w:rPr>
          <w:rFonts w:cs="Arial"/>
        </w:rPr>
        <w:t xml:space="preserve"> </w:t>
      </w:r>
      <w:r w:rsidRPr="006E6390">
        <w:rPr>
          <w:rFonts w:cs="Arial"/>
        </w:rPr>
        <w:t xml:space="preserve">y </w:t>
      </w:r>
      <w:r w:rsidR="00696009">
        <w:rPr>
          <w:rFonts w:cs="Arial"/>
        </w:rPr>
        <w:t>617</w:t>
      </w:r>
      <w:r w:rsidR="00696009" w:rsidRPr="006E6390">
        <w:rPr>
          <w:rFonts w:cs="Arial"/>
        </w:rPr>
        <w:t xml:space="preserve"> </w:t>
      </w:r>
      <w:r w:rsidR="00F41263" w:rsidRPr="006E6390">
        <w:rPr>
          <w:rFonts w:cs="Arial"/>
        </w:rPr>
        <w:t>millones de litros</w:t>
      </w:r>
      <w:r w:rsidRPr="006E6390">
        <w:rPr>
          <w:rFonts w:cs="Arial"/>
        </w:rPr>
        <w:t xml:space="preserve"> de gasolinas y </w:t>
      </w:r>
      <w:r w:rsidR="000B695F" w:rsidRPr="006E6390">
        <w:rPr>
          <w:rFonts w:cs="Arial"/>
        </w:rPr>
        <w:t>diésel</w:t>
      </w:r>
      <w:r w:rsidRPr="006E6390">
        <w:rPr>
          <w:rFonts w:cs="Arial"/>
        </w:rPr>
        <w:t>.</w:t>
      </w:r>
    </w:p>
    <w:p w14:paraId="0ACE31B3" w14:textId="08F989AA" w:rsidR="009E4996" w:rsidRPr="008E2266" w:rsidRDefault="009E4996" w:rsidP="00AD5A97">
      <w:pPr>
        <w:spacing w:after="0" w:line="240" w:lineRule="auto"/>
        <w:jc w:val="left"/>
        <w:rPr>
          <w:rFonts w:cs="Arial"/>
        </w:rPr>
      </w:pPr>
    </w:p>
    <w:p w14:paraId="2355553A" w14:textId="77777777" w:rsidR="00F41263" w:rsidRPr="006E6390" w:rsidRDefault="00F41263" w:rsidP="00F41263">
      <w:pPr>
        <w:pStyle w:val="Ttuloscuadros"/>
        <w:tabs>
          <w:tab w:val="left" w:pos="9270"/>
        </w:tabs>
        <w:rPr>
          <w:rFonts w:cs="Arial"/>
        </w:rPr>
      </w:pPr>
      <w:r w:rsidRPr="006E6390">
        <w:rPr>
          <w:rFonts w:cs="Arial"/>
        </w:rPr>
        <w:t>Cuadro N°</w:t>
      </w:r>
      <w:r w:rsidR="007408DF" w:rsidRPr="006E6390">
        <w:rPr>
          <w:rFonts w:cs="Arial"/>
        </w:rPr>
        <w:t>2</w:t>
      </w:r>
      <w:r w:rsidR="004F7B3A" w:rsidRPr="006E6390">
        <w:rPr>
          <w:rFonts w:cs="Arial"/>
        </w:rPr>
        <w:t>2</w:t>
      </w:r>
    </w:p>
    <w:p w14:paraId="1BB36A90" w14:textId="2330E0EB" w:rsidR="00F41263" w:rsidRPr="006E6390" w:rsidRDefault="00F41263" w:rsidP="00F41263">
      <w:pPr>
        <w:pStyle w:val="Ttuloscuadros"/>
        <w:tabs>
          <w:tab w:val="left" w:pos="9270"/>
        </w:tabs>
        <w:spacing w:after="120"/>
        <w:rPr>
          <w:rFonts w:cs="Arial"/>
        </w:rPr>
      </w:pPr>
      <w:r w:rsidRPr="006E6390">
        <w:rPr>
          <w:rFonts w:cs="Arial"/>
        </w:rPr>
        <w:lastRenderedPageBreak/>
        <w:t xml:space="preserve">Ventas totales entre </w:t>
      </w:r>
      <w:r w:rsidR="0061287F" w:rsidRPr="006E6390">
        <w:rPr>
          <w:rFonts w:cs="Arial"/>
        </w:rPr>
        <w:t>20</w:t>
      </w:r>
      <w:r w:rsidR="0061287F">
        <w:rPr>
          <w:rFonts w:cs="Arial"/>
        </w:rPr>
        <w:t>20</w:t>
      </w:r>
      <w:r w:rsidR="0061287F" w:rsidRPr="006E6390">
        <w:rPr>
          <w:rFonts w:cs="Arial"/>
        </w:rPr>
        <w:t xml:space="preserve"> </w:t>
      </w:r>
      <w:r w:rsidR="007114F9" w:rsidRPr="006E6390">
        <w:rPr>
          <w:rFonts w:cs="Arial"/>
        </w:rPr>
        <w:t>a</w:t>
      </w:r>
      <w:r w:rsidRPr="006E6390">
        <w:rPr>
          <w:rFonts w:cs="Arial"/>
        </w:rPr>
        <w:t xml:space="preserve"> </w:t>
      </w:r>
      <w:r w:rsidR="0061287F" w:rsidRPr="006E6390">
        <w:rPr>
          <w:rFonts w:cs="Arial"/>
        </w:rPr>
        <w:t>202</w:t>
      </w:r>
      <w:r w:rsidR="0061287F">
        <w:rPr>
          <w:rFonts w:cs="Arial"/>
        </w:rPr>
        <w:t>2</w:t>
      </w:r>
      <w:r w:rsidRPr="006E6390">
        <w:rPr>
          <w:rFonts w:cs="Arial"/>
        </w:rPr>
        <w:t xml:space="preserve">, por </w:t>
      </w:r>
      <w:r w:rsidR="00144920">
        <w:rPr>
          <w:rFonts w:cs="Arial"/>
        </w:rPr>
        <w:t>terminal</w:t>
      </w:r>
      <w:r w:rsidR="00144920" w:rsidRPr="006E6390">
        <w:rPr>
          <w:rFonts w:cs="Arial"/>
        </w:rPr>
        <w:t xml:space="preserve"> </w:t>
      </w:r>
      <w:r w:rsidRPr="006E6390">
        <w:rPr>
          <w:rFonts w:cs="Arial"/>
        </w:rPr>
        <w:t xml:space="preserve">(en miles de litros y en </w:t>
      </w:r>
      <w:r w:rsidR="008373BF" w:rsidRPr="006E6390">
        <w:rPr>
          <w:rFonts w:cs="Arial"/>
        </w:rPr>
        <w:t>mil</w:t>
      </w:r>
      <w:r w:rsidR="000933EE" w:rsidRPr="006E6390">
        <w:rPr>
          <w:rFonts w:cs="Arial"/>
        </w:rPr>
        <w:t>lon</w:t>
      </w:r>
      <w:r w:rsidR="008373BF" w:rsidRPr="006E6390">
        <w:rPr>
          <w:rFonts w:cs="Arial"/>
        </w:rPr>
        <w:t xml:space="preserve">es de </w:t>
      </w:r>
      <w:r w:rsidRPr="006E6390">
        <w:rPr>
          <w:rFonts w:cs="Arial"/>
        </w:rPr>
        <w:t>colones)</w:t>
      </w:r>
    </w:p>
    <w:tbl>
      <w:tblPr>
        <w:tblStyle w:val="Tablanormal1"/>
        <w:tblW w:w="4818" w:type="pct"/>
        <w:tblLayout w:type="fixed"/>
        <w:tblLook w:val="04A0" w:firstRow="1" w:lastRow="0" w:firstColumn="1" w:lastColumn="0" w:noHBand="0" w:noVBand="1"/>
      </w:tblPr>
      <w:tblGrid>
        <w:gridCol w:w="1731"/>
        <w:gridCol w:w="1106"/>
        <w:gridCol w:w="1106"/>
        <w:gridCol w:w="1106"/>
        <w:gridCol w:w="1198"/>
        <w:gridCol w:w="1198"/>
        <w:gridCol w:w="1198"/>
      </w:tblGrid>
      <w:tr w:rsidR="007114F9" w:rsidRPr="006E6390" w14:paraId="408B0247" w14:textId="77777777" w:rsidTr="008E226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01" w:type="pct"/>
            <w:hideMark/>
          </w:tcPr>
          <w:p w14:paraId="4D0BDDA5" w14:textId="77777777" w:rsidR="004847DE" w:rsidRPr="00AE2A85" w:rsidRDefault="004847DE" w:rsidP="004847DE">
            <w:pPr>
              <w:spacing w:after="0" w:line="240" w:lineRule="auto"/>
              <w:jc w:val="left"/>
              <w:rPr>
                <w:rFonts w:cs="Arial"/>
                <w:sz w:val="20"/>
                <w:szCs w:val="20"/>
                <w:lang w:val="es-ES" w:eastAsia="es-ES"/>
              </w:rPr>
            </w:pPr>
          </w:p>
        </w:tc>
        <w:tc>
          <w:tcPr>
            <w:tcW w:w="1919" w:type="pct"/>
            <w:gridSpan w:val="3"/>
            <w:hideMark/>
          </w:tcPr>
          <w:p w14:paraId="5B42D9C8" w14:textId="77777777" w:rsidR="004847DE" w:rsidRPr="00AE2A85" w:rsidRDefault="004847DE" w:rsidP="004847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Ventas en miles litros</w:t>
            </w:r>
          </w:p>
        </w:tc>
        <w:tc>
          <w:tcPr>
            <w:tcW w:w="2079" w:type="pct"/>
            <w:gridSpan w:val="3"/>
            <w:hideMark/>
          </w:tcPr>
          <w:p w14:paraId="2EA9BB81" w14:textId="77777777" w:rsidR="004847DE" w:rsidRPr="00AE2A85" w:rsidRDefault="004847DE" w:rsidP="004847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Ventas en mil</w:t>
            </w:r>
            <w:r w:rsidR="000933EE" w:rsidRPr="00AE2A85">
              <w:rPr>
                <w:rFonts w:cs="Arial"/>
                <w:sz w:val="20"/>
                <w:szCs w:val="20"/>
                <w:lang w:val="es-ES" w:eastAsia="es-ES"/>
              </w:rPr>
              <w:t>lon</w:t>
            </w:r>
            <w:r w:rsidRPr="00AE2A85">
              <w:rPr>
                <w:rFonts w:cs="Arial"/>
                <w:sz w:val="20"/>
                <w:szCs w:val="20"/>
                <w:lang w:val="es-ES" w:eastAsia="es-ES"/>
              </w:rPr>
              <w:t>es de colones</w:t>
            </w:r>
          </w:p>
        </w:tc>
      </w:tr>
      <w:tr w:rsidR="00A30645" w:rsidRPr="006E6390" w14:paraId="34A818D3" w14:textId="77777777" w:rsidTr="008E2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2FE34366" w14:textId="77777777" w:rsidR="0061287F" w:rsidRPr="006E6390" w:rsidRDefault="0061287F" w:rsidP="0061287F">
            <w:pPr>
              <w:spacing w:after="0" w:line="240" w:lineRule="auto"/>
              <w:jc w:val="left"/>
              <w:rPr>
                <w:rFonts w:cs="Arial"/>
                <w:sz w:val="20"/>
                <w:szCs w:val="20"/>
                <w:lang w:val="es-ES" w:eastAsia="es-ES"/>
              </w:rPr>
            </w:pPr>
            <w:r w:rsidRPr="00AE2A85">
              <w:rPr>
                <w:rFonts w:cs="Arial"/>
                <w:sz w:val="20"/>
                <w:szCs w:val="20"/>
                <w:lang w:val="es-ES" w:eastAsia="es-ES"/>
              </w:rPr>
              <w:t>Terminal</w:t>
            </w:r>
          </w:p>
        </w:tc>
        <w:tc>
          <w:tcPr>
            <w:tcW w:w="0" w:type="pct"/>
            <w:hideMark/>
          </w:tcPr>
          <w:p w14:paraId="3C9D5F38" w14:textId="744F9C1B" w:rsidR="0061287F" w:rsidRPr="006E6390" w:rsidRDefault="0061287F"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w:t>
            </w:r>
            <w:r>
              <w:rPr>
                <w:rFonts w:cs="Arial"/>
                <w:b/>
                <w:bCs/>
                <w:sz w:val="20"/>
                <w:szCs w:val="20"/>
                <w:lang w:val="es-ES" w:eastAsia="es-ES"/>
              </w:rPr>
              <w:t>20</w:t>
            </w:r>
          </w:p>
        </w:tc>
        <w:tc>
          <w:tcPr>
            <w:tcW w:w="0" w:type="pct"/>
            <w:hideMark/>
          </w:tcPr>
          <w:p w14:paraId="7C5AC5E6" w14:textId="73AE8887" w:rsidR="0061287F" w:rsidRPr="006E6390" w:rsidRDefault="0061287F"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2021</w:t>
            </w:r>
          </w:p>
        </w:tc>
        <w:tc>
          <w:tcPr>
            <w:tcW w:w="0" w:type="pct"/>
            <w:hideMark/>
          </w:tcPr>
          <w:p w14:paraId="41671199" w14:textId="09B89A2F" w:rsidR="0061287F" w:rsidRPr="006E6390" w:rsidRDefault="0061287F"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202</w:t>
            </w:r>
            <w:r>
              <w:rPr>
                <w:rFonts w:cs="Arial"/>
                <w:b/>
                <w:bCs/>
                <w:sz w:val="20"/>
                <w:szCs w:val="20"/>
                <w:lang w:val="es-ES" w:eastAsia="es-ES"/>
              </w:rPr>
              <w:t>2</w:t>
            </w:r>
          </w:p>
        </w:tc>
        <w:tc>
          <w:tcPr>
            <w:tcW w:w="693" w:type="pct"/>
            <w:hideMark/>
          </w:tcPr>
          <w:p w14:paraId="2A1AFCF7" w14:textId="3010EF50" w:rsidR="0061287F" w:rsidRPr="006E6390" w:rsidRDefault="005C2C1C"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w:t>
            </w:r>
            <w:r>
              <w:rPr>
                <w:rFonts w:cs="Arial"/>
                <w:b/>
                <w:bCs/>
                <w:sz w:val="20"/>
                <w:szCs w:val="20"/>
                <w:lang w:val="es-ES" w:eastAsia="es-ES"/>
              </w:rPr>
              <w:t>20</w:t>
            </w:r>
          </w:p>
        </w:tc>
        <w:tc>
          <w:tcPr>
            <w:tcW w:w="693" w:type="pct"/>
            <w:hideMark/>
          </w:tcPr>
          <w:p w14:paraId="68675629" w14:textId="2DB2C2E4" w:rsidR="0061287F" w:rsidRPr="006E6390" w:rsidRDefault="00E81C72"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w:t>
            </w:r>
            <w:r>
              <w:rPr>
                <w:rFonts w:cs="Arial"/>
                <w:b/>
                <w:bCs/>
                <w:sz w:val="20"/>
                <w:szCs w:val="20"/>
                <w:lang w:val="es-ES" w:eastAsia="es-ES"/>
              </w:rPr>
              <w:t>21</w:t>
            </w:r>
          </w:p>
        </w:tc>
        <w:tc>
          <w:tcPr>
            <w:tcW w:w="693" w:type="pct"/>
            <w:hideMark/>
          </w:tcPr>
          <w:p w14:paraId="5F615934" w14:textId="3DEB6963" w:rsidR="0061287F" w:rsidRPr="006E6390" w:rsidRDefault="005C2C1C" w:rsidP="006128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6E6390">
              <w:rPr>
                <w:rFonts w:cs="Arial"/>
                <w:b/>
                <w:bCs/>
                <w:sz w:val="20"/>
                <w:szCs w:val="20"/>
                <w:lang w:val="es-ES" w:eastAsia="es-ES"/>
              </w:rPr>
              <w:t>202</w:t>
            </w:r>
            <w:r>
              <w:rPr>
                <w:rFonts w:cs="Arial"/>
                <w:b/>
                <w:bCs/>
                <w:sz w:val="20"/>
                <w:szCs w:val="20"/>
                <w:lang w:val="es-ES" w:eastAsia="es-ES"/>
              </w:rPr>
              <w:t>2</w:t>
            </w:r>
          </w:p>
        </w:tc>
      </w:tr>
      <w:tr w:rsidR="005C2C1C" w:rsidRPr="006E6390" w14:paraId="42A0F880" w14:textId="77777777" w:rsidTr="008E2266">
        <w:trPr>
          <w:trHeight w:val="340"/>
        </w:trPr>
        <w:tc>
          <w:tcPr>
            <w:cnfStyle w:val="001000000000" w:firstRow="0" w:lastRow="0" w:firstColumn="1" w:lastColumn="0" w:oddVBand="0" w:evenVBand="0" w:oddHBand="0" w:evenHBand="0" w:firstRowFirstColumn="0" w:firstRowLastColumn="0" w:lastRowFirstColumn="0" w:lastRowLastColumn="0"/>
            <w:tcW w:w="1001" w:type="pct"/>
            <w:hideMark/>
          </w:tcPr>
          <w:p w14:paraId="2FCD36F0"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La Garita</w:t>
            </w:r>
          </w:p>
        </w:tc>
        <w:tc>
          <w:tcPr>
            <w:tcW w:w="640" w:type="pct"/>
            <w:hideMark/>
          </w:tcPr>
          <w:p w14:paraId="6EC15852" w14:textId="0B36DC86" w:rsidR="005C2C1C" w:rsidRPr="00AE2A85" w:rsidRDefault="009B79BF"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795 014</w:t>
            </w:r>
          </w:p>
        </w:tc>
        <w:tc>
          <w:tcPr>
            <w:tcW w:w="640" w:type="pct"/>
            <w:hideMark/>
          </w:tcPr>
          <w:p w14:paraId="0A663867" w14:textId="52B6C730"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rPr>
              <w:t>905 049</w:t>
            </w:r>
          </w:p>
        </w:tc>
        <w:tc>
          <w:tcPr>
            <w:tcW w:w="640" w:type="pct"/>
            <w:hideMark/>
          </w:tcPr>
          <w:p w14:paraId="0E8E8F94" w14:textId="4904535B" w:rsidR="005C2C1C" w:rsidRPr="00A55982" w:rsidRDefault="00931DE7"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sz w:val="20"/>
                <w:szCs w:val="20"/>
              </w:rPr>
              <w:t>931 047</w:t>
            </w:r>
          </w:p>
        </w:tc>
        <w:tc>
          <w:tcPr>
            <w:tcW w:w="693" w:type="pct"/>
            <w:hideMark/>
          </w:tcPr>
          <w:p w14:paraId="0E26D12C" w14:textId="45FE9882" w:rsidR="005C2C1C" w:rsidRPr="00931DE7" w:rsidRDefault="00E81C7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931DE7">
              <w:rPr>
                <w:rFonts w:cs="Arial"/>
                <w:sz w:val="20"/>
                <w:szCs w:val="20"/>
                <w:lang w:val="es-ES" w:eastAsia="es-ES"/>
              </w:rPr>
              <w:t>368 760</w:t>
            </w:r>
          </w:p>
        </w:tc>
        <w:tc>
          <w:tcPr>
            <w:tcW w:w="693" w:type="pct"/>
            <w:hideMark/>
          </w:tcPr>
          <w:p w14:paraId="02334580" w14:textId="168F2B15"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514 959</w:t>
            </w:r>
          </w:p>
        </w:tc>
        <w:tc>
          <w:tcPr>
            <w:tcW w:w="693" w:type="pct"/>
          </w:tcPr>
          <w:p w14:paraId="03FE020A" w14:textId="0D748046" w:rsidR="005C2C1C" w:rsidRPr="00A30645" w:rsidRDefault="00A30645"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730 282</w:t>
            </w:r>
          </w:p>
        </w:tc>
      </w:tr>
      <w:tr w:rsidR="00A30645" w:rsidRPr="006E6390" w14:paraId="052FD22D" w14:textId="77777777" w:rsidTr="008E2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346A202E"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El Alto</w:t>
            </w:r>
          </w:p>
        </w:tc>
        <w:tc>
          <w:tcPr>
            <w:tcW w:w="0" w:type="pct"/>
          </w:tcPr>
          <w:p w14:paraId="66615F86" w14:textId="4969C762" w:rsidR="005C2C1C" w:rsidRPr="00AE2A85" w:rsidRDefault="002567F1"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673 023</w:t>
            </w:r>
          </w:p>
        </w:tc>
        <w:tc>
          <w:tcPr>
            <w:tcW w:w="0" w:type="pct"/>
          </w:tcPr>
          <w:p w14:paraId="409A7737" w14:textId="7A12DF27"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rPr>
              <w:t>750 243</w:t>
            </w:r>
          </w:p>
        </w:tc>
        <w:tc>
          <w:tcPr>
            <w:tcW w:w="0" w:type="pct"/>
          </w:tcPr>
          <w:p w14:paraId="00DC432A" w14:textId="4107D23B" w:rsidR="005C2C1C" w:rsidRPr="00A55982" w:rsidRDefault="00931DE7"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sz w:val="20"/>
                <w:szCs w:val="20"/>
              </w:rPr>
              <w:t>758 152</w:t>
            </w:r>
          </w:p>
        </w:tc>
        <w:tc>
          <w:tcPr>
            <w:tcW w:w="693" w:type="pct"/>
          </w:tcPr>
          <w:p w14:paraId="1D094EFE" w14:textId="6418ED09" w:rsidR="005C2C1C" w:rsidRPr="00931DE7" w:rsidRDefault="00E81C7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931DE7">
              <w:rPr>
                <w:rFonts w:cs="Arial"/>
                <w:sz w:val="20"/>
                <w:szCs w:val="20"/>
                <w:lang w:val="es-ES" w:eastAsia="es-ES"/>
              </w:rPr>
              <w:t>307 817</w:t>
            </w:r>
          </w:p>
        </w:tc>
        <w:tc>
          <w:tcPr>
            <w:tcW w:w="693" w:type="pct"/>
          </w:tcPr>
          <w:p w14:paraId="09282A9D" w14:textId="2B4A56AD"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422 06</w:t>
            </w:r>
            <w:r w:rsidR="00E81C72">
              <w:rPr>
                <w:rFonts w:cs="Arial"/>
                <w:sz w:val="20"/>
                <w:szCs w:val="20"/>
                <w:lang w:val="es-ES" w:eastAsia="es-ES"/>
              </w:rPr>
              <w:t>9</w:t>
            </w:r>
          </w:p>
        </w:tc>
        <w:tc>
          <w:tcPr>
            <w:tcW w:w="693" w:type="pct"/>
          </w:tcPr>
          <w:p w14:paraId="64F77AD3" w14:textId="5DEBED9B" w:rsidR="005C2C1C" w:rsidRPr="00A30645" w:rsidRDefault="00A30645"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588 867</w:t>
            </w:r>
          </w:p>
        </w:tc>
      </w:tr>
      <w:tr w:rsidR="005C2C1C" w:rsidRPr="006E6390" w14:paraId="0AB7E9B0" w14:textId="77777777" w:rsidTr="008E2266">
        <w:trPr>
          <w:trHeight w:val="340"/>
        </w:trPr>
        <w:tc>
          <w:tcPr>
            <w:cnfStyle w:val="001000000000" w:firstRow="0" w:lastRow="0" w:firstColumn="1" w:lastColumn="0" w:oddVBand="0" w:evenVBand="0" w:oddHBand="0" w:evenHBand="0" w:firstRowFirstColumn="0" w:firstRowLastColumn="0" w:lastRowFirstColumn="0" w:lastRowLastColumn="0"/>
            <w:tcW w:w="1001" w:type="pct"/>
            <w:hideMark/>
          </w:tcPr>
          <w:p w14:paraId="169EB828"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Moín</w:t>
            </w:r>
          </w:p>
        </w:tc>
        <w:tc>
          <w:tcPr>
            <w:tcW w:w="640" w:type="pct"/>
          </w:tcPr>
          <w:p w14:paraId="620B85A9" w14:textId="3F074D71" w:rsidR="005C2C1C" w:rsidRPr="00AE2A85" w:rsidRDefault="002567F1"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737 471</w:t>
            </w:r>
          </w:p>
        </w:tc>
        <w:tc>
          <w:tcPr>
            <w:tcW w:w="640" w:type="pct"/>
          </w:tcPr>
          <w:p w14:paraId="6F1387E6" w14:textId="1632C4BD"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rPr>
              <w:t>809 550</w:t>
            </w:r>
          </w:p>
        </w:tc>
        <w:tc>
          <w:tcPr>
            <w:tcW w:w="640" w:type="pct"/>
          </w:tcPr>
          <w:p w14:paraId="5B5164C9" w14:textId="34B25496" w:rsidR="005C2C1C" w:rsidRPr="00A55982" w:rsidRDefault="00A5598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sz w:val="20"/>
                <w:szCs w:val="20"/>
              </w:rPr>
              <w:t xml:space="preserve">833 </w:t>
            </w:r>
            <w:r w:rsidR="009B79BF">
              <w:rPr>
                <w:rFonts w:cs="Arial"/>
                <w:sz w:val="20"/>
                <w:szCs w:val="20"/>
              </w:rPr>
              <w:t>740</w:t>
            </w:r>
          </w:p>
        </w:tc>
        <w:tc>
          <w:tcPr>
            <w:tcW w:w="693" w:type="pct"/>
          </w:tcPr>
          <w:p w14:paraId="5C9451F4" w14:textId="3863D4BC" w:rsidR="005C2C1C" w:rsidRPr="00AE2A85" w:rsidRDefault="00E81C7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182 478</w:t>
            </w:r>
          </w:p>
        </w:tc>
        <w:tc>
          <w:tcPr>
            <w:tcW w:w="693" w:type="pct"/>
          </w:tcPr>
          <w:p w14:paraId="4118DCCD" w14:textId="68E50CC2"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285 227</w:t>
            </w:r>
          </w:p>
        </w:tc>
        <w:tc>
          <w:tcPr>
            <w:tcW w:w="693" w:type="pct"/>
          </w:tcPr>
          <w:p w14:paraId="71DB722C" w14:textId="36274DDC" w:rsidR="005C2C1C" w:rsidRPr="00A30645" w:rsidRDefault="00A30645"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378 347</w:t>
            </w:r>
          </w:p>
        </w:tc>
      </w:tr>
      <w:tr w:rsidR="00A30645" w:rsidRPr="006E6390" w14:paraId="61A31CB8" w14:textId="77777777" w:rsidTr="008E2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4C8CC766"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Barranca</w:t>
            </w:r>
          </w:p>
        </w:tc>
        <w:tc>
          <w:tcPr>
            <w:tcW w:w="0" w:type="pct"/>
          </w:tcPr>
          <w:p w14:paraId="4FCA7250" w14:textId="44D9BD61" w:rsidR="005C2C1C" w:rsidRPr="00AE2A85" w:rsidRDefault="002567F1"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474 977</w:t>
            </w:r>
          </w:p>
        </w:tc>
        <w:tc>
          <w:tcPr>
            <w:tcW w:w="0" w:type="pct"/>
          </w:tcPr>
          <w:p w14:paraId="2490543C" w14:textId="70431C2F"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566 270</w:t>
            </w:r>
          </w:p>
        </w:tc>
        <w:tc>
          <w:tcPr>
            <w:tcW w:w="0" w:type="pct"/>
          </w:tcPr>
          <w:p w14:paraId="4FFC4E39" w14:textId="599D3122" w:rsidR="005C2C1C" w:rsidRPr="00A55982" w:rsidRDefault="00A5598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617 033</w:t>
            </w:r>
          </w:p>
        </w:tc>
        <w:tc>
          <w:tcPr>
            <w:tcW w:w="693" w:type="pct"/>
          </w:tcPr>
          <w:p w14:paraId="1D51C50A" w14:textId="7E72BB24" w:rsidR="005C2C1C" w:rsidRPr="00AE2A85" w:rsidRDefault="00E81C7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208 071</w:t>
            </w:r>
          </w:p>
        </w:tc>
        <w:tc>
          <w:tcPr>
            <w:tcW w:w="693" w:type="pct"/>
          </w:tcPr>
          <w:p w14:paraId="6500CC6C" w14:textId="12825376"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302 799</w:t>
            </w:r>
          </w:p>
        </w:tc>
        <w:tc>
          <w:tcPr>
            <w:tcW w:w="693" w:type="pct"/>
          </w:tcPr>
          <w:p w14:paraId="6AAF497C" w14:textId="2CC88141" w:rsidR="005C2C1C" w:rsidRPr="00A30645" w:rsidRDefault="00A30645"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451 714</w:t>
            </w:r>
          </w:p>
        </w:tc>
      </w:tr>
      <w:tr w:rsidR="005C2C1C" w:rsidRPr="006E6390" w14:paraId="7EA19D3D" w14:textId="77777777" w:rsidTr="008E2266">
        <w:trPr>
          <w:trHeight w:val="340"/>
        </w:trPr>
        <w:tc>
          <w:tcPr>
            <w:cnfStyle w:val="001000000000" w:firstRow="0" w:lastRow="0" w:firstColumn="1" w:lastColumn="0" w:oddVBand="0" w:evenVBand="0" w:oddHBand="0" w:evenHBand="0" w:firstRowFirstColumn="0" w:firstRowLastColumn="0" w:lastRowFirstColumn="0" w:lastRowLastColumn="0"/>
            <w:tcW w:w="1001" w:type="pct"/>
            <w:hideMark/>
          </w:tcPr>
          <w:p w14:paraId="4991B6A7"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Aeropuerto Juan Santamaría</w:t>
            </w:r>
          </w:p>
        </w:tc>
        <w:tc>
          <w:tcPr>
            <w:tcW w:w="640" w:type="pct"/>
          </w:tcPr>
          <w:p w14:paraId="76190F83" w14:textId="2313549C" w:rsidR="005C2C1C" w:rsidRPr="00AE2A85" w:rsidRDefault="002567F1"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85 816</w:t>
            </w:r>
          </w:p>
        </w:tc>
        <w:tc>
          <w:tcPr>
            <w:tcW w:w="640" w:type="pct"/>
          </w:tcPr>
          <w:p w14:paraId="3A75158B" w14:textId="37A1AEC7"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152 941</w:t>
            </w:r>
          </w:p>
        </w:tc>
        <w:tc>
          <w:tcPr>
            <w:tcW w:w="640" w:type="pct"/>
          </w:tcPr>
          <w:p w14:paraId="38C84033" w14:textId="50BAD46B" w:rsidR="005C2C1C" w:rsidRPr="00A55982" w:rsidRDefault="00A5598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224 153</w:t>
            </w:r>
          </w:p>
        </w:tc>
        <w:tc>
          <w:tcPr>
            <w:tcW w:w="693" w:type="pct"/>
          </w:tcPr>
          <w:p w14:paraId="7553C209" w14:textId="2A73FBB1" w:rsidR="005C2C1C" w:rsidRPr="00AE2A85" w:rsidRDefault="00E81C7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28 681</w:t>
            </w:r>
          </w:p>
        </w:tc>
        <w:tc>
          <w:tcPr>
            <w:tcW w:w="693" w:type="pct"/>
          </w:tcPr>
          <w:p w14:paraId="2947C77C" w14:textId="3E8B8194"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60 09</w:t>
            </w:r>
            <w:r w:rsidR="00A30645">
              <w:rPr>
                <w:rFonts w:cs="Arial"/>
                <w:sz w:val="20"/>
                <w:szCs w:val="20"/>
                <w:lang w:val="es-ES" w:eastAsia="es-ES"/>
              </w:rPr>
              <w:t>6</w:t>
            </w:r>
          </w:p>
        </w:tc>
        <w:tc>
          <w:tcPr>
            <w:tcW w:w="693" w:type="pct"/>
          </w:tcPr>
          <w:p w14:paraId="41BCAF65" w14:textId="0228A5EF" w:rsidR="005C2C1C" w:rsidRPr="00A30645" w:rsidRDefault="00A30645"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152 083</w:t>
            </w:r>
          </w:p>
        </w:tc>
      </w:tr>
      <w:tr w:rsidR="00A30645" w:rsidRPr="006E6390" w14:paraId="2685CE1D" w14:textId="77777777" w:rsidTr="008E2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91A2E6A"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Aeropuerto Daniel Oduber</w:t>
            </w:r>
          </w:p>
        </w:tc>
        <w:tc>
          <w:tcPr>
            <w:tcW w:w="0" w:type="pct"/>
          </w:tcPr>
          <w:p w14:paraId="1C7358B9" w14:textId="6C72729A" w:rsidR="005C2C1C" w:rsidRPr="00AE2A85" w:rsidRDefault="002567F1"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35 422</w:t>
            </w:r>
          </w:p>
        </w:tc>
        <w:tc>
          <w:tcPr>
            <w:tcW w:w="0" w:type="pct"/>
          </w:tcPr>
          <w:p w14:paraId="101F7E3D" w14:textId="7FD8B257"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58 629</w:t>
            </w:r>
          </w:p>
        </w:tc>
        <w:tc>
          <w:tcPr>
            <w:tcW w:w="0" w:type="pct"/>
          </w:tcPr>
          <w:p w14:paraId="233A9326" w14:textId="373EBF0C" w:rsidR="005C2C1C" w:rsidRPr="00A55982" w:rsidRDefault="00A5598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82 174</w:t>
            </w:r>
          </w:p>
        </w:tc>
        <w:tc>
          <w:tcPr>
            <w:tcW w:w="693" w:type="pct"/>
          </w:tcPr>
          <w:p w14:paraId="192BD9FF" w14:textId="7D340A8B" w:rsidR="005C2C1C" w:rsidRPr="00AE2A85" w:rsidRDefault="00E81C7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13 211</w:t>
            </w:r>
          </w:p>
        </w:tc>
        <w:tc>
          <w:tcPr>
            <w:tcW w:w="693" w:type="pct"/>
          </w:tcPr>
          <w:p w14:paraId="4256C029" w14:textId="508578DF"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24 300</w:t>
            </w:r>
          </w:p>
        </w:tc>
        <w:tc>
          <w:tcPr>
            <w:tcW w:w="693" w:type="pct"/>
          </w:tcPr>
          <w:p w14:paraId="1516CB66" w14:textId="23C7E540" w:rsidR="005C2C1C" w:rsidRPr="00A30645" w:rsidRDefault="00A30645"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55 234</w:t>
            </w:r>
          </w:p>
        </w:tc>
      </w:tr>
      <w:tr w:rsidR="005C2C1C" w:rsidRPr="006E6390" w14:paraId="0B0D55BA" w14:textId="77777777" w:rsidTr="008E2266">
        <w:trPr>
          <w:trHeight w:val="340"/>
        </w:trPr>
        <w:tc>
          <w:tcPr>
            <w:cnfStyle w:val="001000000000" w:firstRow="0" w:lastRow="0" w:firstColumn="1" w:lastColumn="0" w:oddVBand="0" w:evenVBand="0" w:oddHBand="0" w:evenHBand="0" w:firstRowFirstColumn="0" w:firstRowLastColumn="0" w:lastRowFirstColumn="0" w:lastRowLastColumn="0"/>
            <w:tcW w:w="1001" w:type="pct"/>
            <w:hideMark/>
          </w:tcPr>
          <w:p w14:paraId="76410201"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Aeropuerto Tobías Bolaños</w:t>
            </w:r>
          </w:p>
        </w:tc>
        <w:tc>
          <w:tcPr>
            <w:tcW w:w="640" w:type="pct"/>
          </w:tcPr>
          <w:p w14:paraId="36F6C78A" w14:textId="46B27AFA" w:rsidR="005C2C1C" w:rsidRPr="00AE2A85" w:rsidRDefault="002567F1"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1 530</w:t>
            </w:r>
          </w:p>
        </w:tc>
        <w:tc>
          <w:tcPr>
            <w:tcW w:w="640" w:type="pct"/>
          </w:tcPr>
          <w:p w14:paraId="3451D79E" w14:textId="4824A189"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2 181</w:t>
            </w:r>
          </w:p>
        </w:tc>
        <w:tc>
          <w:tcPr>
            <w:tcW w:w="640" w:type="pct"/>
          </w:tcPr>
          <w:p w14:paraId="42C9A41C" w14:textId="4055E102" w:rsidR="005C2C1C" w:rsidRPr="00A55982"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55982">
              <w:rPr>
                <w:rFonts w:cs="Arial"/>
                <w:sz w:val="20"/>
                <w:szCs w:val="20"/>
                <w:lang w:val="es-ES" w:eastAsia="es-ES"/>
              </w:rPr>
              <w:t xml:space="preserve">2 </w:t>
            </w:r>
            <w:r w:rsidR="00A55982" w:rsidRPr="008E2266">
              <w:rPr>
                <w:rFonts w:cs="Arial"/>
                <w:sz w:val="20"/>
                <w:szCs w:val="20"/>
                <w:lang w:val="es-ES" w:eastAsia="es-ES"/>
              </w:rPr>
              <w:t>382</w:t>
            </w:r>
          </w:p>
        </w:tc>
        <w:tc>
          <w:tcPr>
            <w:tcW w:w="693" w:type="pct"/>
          </w:tcPr>
          <w:p w14:paraId="4CA9AC99" w14:textId="39A5D435" w:rsidR="005C2C1C" w:rsidRPr="00AE2A85" w:rsidRDefault="00E81C72"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907</w:t>
            </w:r>
          </w:p>
        </w:tc>
        <w:tc>
          <w:tcPr>
            <w:tcW w:w="693" w:type="pct"/>
          </w:tcPr>
          <w:p w14:paraId="244F4F09" w14:textId="61E27B22" w:rsidR="005C2C1C" w:rsidRPr="00AE2A85" w:rsidRDefault="005C2C1C"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1 47</w:t>
            </w:r>
            <w:r w:rsidR="00E81C72">
              <w:rPr>
                <w:rFonts w:cs="Arial"/>
                <w:sz w:val="20"/>
                <w:szCs w:val="20"/>
                <w:lang w:val="es-ES" w:eastAsia="es-ES"/>
              </w:rPr>
              <w:t>7</w:t>
            </w:r>
          </w:p>
        </w:tc>
        <w:tc>
          <w:tcPr>
            <w:tcW w:w="693" w:type="pct"/>
          </w:tcPr>
          <w:p w14:paraId="1197E3DD" w14:textId="489ABBDD" w:rsidR="005C2C1C" w:rsidRPr="00A30645" w:rsidRDefault="00A30645" w:rsidP="005C2C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Pr>
                <w:rFonts w:cs="Arial"/>
                <w:sz w:val="20"/>
                <w:szCs w:val="20"/>
                <w:lang w:val="es-ES" w:eastAsia="es-ES"/>
              </w:rPr>
              <w:t>2 214</w:t>
            </w:r>
          </w:p>
        </w:tc>
      </w:tr>
      <w:tr w:rsidR="00A30645" w:rsidRPr="006E6390" w14:paraId="7CFD3173" w14:textId="77777777" w:rsidTr="008E2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14:paraId="199E7C24" w14:textId="77777777" w:rsidR="005C2C1C" w:rsidRPr="00AE2A85" w:rsidRDefault="005C2C1C" w:rsidP="005C2C1C">
            <w:pPr>
              <w:spacing w:after="0" w:line="240" w:lineRule="auto"/>
              <w:jc w:val="left"/>
              <w:rPr>
                <w:rFonts w:cs="Arial"/>
                <w:b w:val="0"/>
                <w:bCs w:val="0"/>
                <w:sz w:val="20"/>
                <w:szCs w:val="20"/>
                <w:lang w:val="es-ES" w:eastAsia="es-ES"/>
              </w:rPr>
            </w:pPr>
            <w:r w:rsidRPr="00AE2A85">
              <w:rPr>
                <w:rFonts w:cs="Arial"/>
                <w:b w:val="0"/>
                <w:bCs w:val="0"/>
                <w:sz w:val="20"/>
                <w:szCs w:val="20"/>
                <w:lang w:val="es-ES" w:eastAsia="es-ES"/>
              </w:rPr>
              <w:t>Aeropuerto de Limón</w:t>
            </w:r>
          </w:p>
        </w:tc>
        <w:tc>
          <w:tcPr>
            <w:tcW w:w="0" w:type="pct"/>
          </w:tcPr>
          <w:p w14:paraId="700D3410" w14:textId="7325F86E" w:rsidR="005C2C1C" w:rsidRPr="00AE2A85" w:rsidRDefault="002567F1"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44</w:t>
            </w:r>
          </w:p>
        </w:tc>
        <w:tc>
          <w:tcPr>
            <w:tcW w:w="0" w:type="pct"/>
          </w:tcPr>
          <w:p w14:paraId="4593327D" w14:textId="12B88A6D"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55</w:t>
            </w:r>
          </w:p>
        </w:tc>
        <w:tc>
          <w:tcPr>
            <w:tcW w:w="0" w:type="pct"/>
          </w:tcPr>
          <w:p w14:paraId="3B04B5CF" w14:textId="4CA331D1" w:rsidR="005C2C1C" w:rsidRPr="00A55982" w:rsidRDefault="00A5598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sz w:val="20"/>
                <w:szCs w:val="20"/>
                <w:lang w:val="es-ES" w:eastAsia="es-ES"/>
              </w:rPr>
              <w:t>67</w:t>
            </w:r>
          </w:p>
        </w:tc>
        <w:tc>
          <w:tcPr>
            <w:tcW w:w="693" w:type="pct"/>
          </w:tcPr>
          <w:p w14:paraId="3EBF9C38" w14:textId="2BBAFDF0" w:rsidR="005C2C1C" w:rsidRPr="00AE2A85" w:rsidRDefault="00E81C72"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20</w:t>
            </w:r>
          </w:p>
        </w:tc>
        <w:tc>
          <w:tcPr>
            <w:tcW w:w="693" w:type="pct"/>
          </w:tcPr>
          <w:p w14:paraId="57D8D7E6" w14:textId="3FAC9FF4" w:rsidR="005C2C1C" w:rsidRPr="00AE2A85" w:rsidRDefault="005C2C1C"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AE2A85">
              <w:rPr>
                <w:rFonts w:cs="Arial"/>
                <w:sz w:val="20"/>
                <w:szCs w:val="20"/>
                <w:lang w:val="es-ES" w:eastAsia="es-ES"/>
              </w:rPr>
              <w:t>31</w:t>
            </w:r>
          </w:p>
        </w:tc>
        <w:tc>
          <w:tcPr>
            <w:tcW w:w="693" w:type="pct"/>
          </w:tcPr>
          <w:p w14:paraId="34DF7E4D" w14:textId="5C811D38" w:rsidR="005C2C1C" w:rsidRPr="00A30645" w:rsidRDefault="00A30645" w:rsidP="005C2C1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Pr>
                <w:rFonts w:cs="Arial"/>
                <w:sz w:val="20"/>
                <w:szCs w:val="20"/>
                <w:lang w:val="es-ES" w:eastAsia="es-ES"/>
              </w:rPr>
              <w:t>56</w:t>
            </w:r>
          </w:p>
        </w:tc>
      </w:tr>
    </w:tbl>
    <w:p w14:paraId="185F150C" w14:textId="604AD56B" w:rsidR="00F41263" w:rsidRPr="006E6390" w:rsidRDefault="00F41263" w:rsidP="00F41263">
      <w:pPr>
        <w:pStyle w:val="piedepgina0"/>
        <w:tabs>
          <w:tab w:val="left" w:pos="9270"/>
        </w:tabs>
        <w:rPr>
          <w:rFonts w:cs="Arial"/>
          <w:sz w:val="20"/>
          <w:szCs w:val="20"/>
        </w:rPr>
      </w:pPr>
      <w:r w:rsidRPr="006E6390">
        <w:rPr>
          <w:rFonts w:cs="Arial"/>
          <w:sz w:val="20"/>
          <w:szCs w:val="20"/>
        </w:rPr>
        <w:t xml:space="preserve">Fuente: RECOPE: Dirección </w:t>
      </w:r>
      <w:r w:rsidR="007B4099">
        <w:rPr>
          <w:rFonts w:cs="Arial"/>
          <w:sz w:val="20"/>
          <w:szCs w:val="20"/>
        </w:rPr>
        <w:t>Comercial</w:t>
      </w:r>
    </w:p>
    <w:p w14:paraId="12B72209" w14:textId="6AD3C494" w:rsidR="00F41263" w:rsidRDefault="00F41263" w:rsidP="008E2266">
      <w:pPr>
        <w:spacing w:after="0"/>
        <w:rPr>
          <w:rFonts w:cs="Arial"/>
        </w:rPr>
      </w:pPr>
      <w:r w:rsidRPr="005B6D11">
        <w:rPr>
          <w:rFonts w:cs="Arial"/>
        </w:rPr>
        <w:t>RECOPE vende combustibles en los aeropuertos Juan Santamaría, Daniel Oduber, Tobías Bolaños y Limón.</w:t>
      </w:r>
      <w:r w:rsidR="00167EB7" w:rsidRPr="005B6D11">
        <w:rPr>
          <w:rFonts w:cs="Arial"/>
        </w:rPr>
        <w:t xml:space="preserve"> </w:t>
      </w:r>
      <w:r w:rsidRPr="005B6D11">
        <w:rPr>
          <w:rFonts w:cs="Arial"/>
        </w:rPr>
        <w:t xml:space="preserve"> En el Juan Santamaría </w:t>
      </w:r>
      <w:r w:rsidR="009B79BF" w:rsidRPr="008E2266">
        <w:rPr>
          <w:rFonts w:cs="Arial"/>
        </w:rPr>
        <w:t xml:space="preserve">se han recuperado luego de la caída </w:t>
      </w:r>
      <w:r w:rsidR="0099262D" w:rsidRPr="005B6D11">
        <w:rPr>
          <w:rFonts w:cs="Arial"/>
        </w:rPr>
        <w:t xml:space="preserve">las ventas </w:t>
      </w:r>
      <w:r w:rsidRPr="005B6D11">
        <w:rPr>
          <w:rFonts w:cs="Arial"/>
        </w:rPr>
        <w:t xml:space="preserve">pasaron de </w:t>
      </w:r>
      <w:r w:rsidR="00D97F09" w:rsidRPr="005B6D11">
        <w:rPr>
          <w:rFonts w:cs="Arial"/>
        </w:rPr>
        <w:t>2</w:t>
      </w:r>
      <w:r w:rsidR="00FE0B7B" w:rsidRPr="005B6D11">
        <w:rPr>
          <w:rFonts w:cs="Arial"/>
        </w:rPr>
        <w:t>17</w:t>
      </w:r>
      <w:r w:rsidR="00D97F09" w:rsidRPr="005B6D11">
        <w:rPr>
          <w:rFonts w:cs="Arial"/>
        </w:rPr>
        <w:t xml:space="preserve"> </w:t>
      </w:r>
      <w:r w:rsidRPr="005B6D11">
        <w:rPr>
          <w:rFonts w:cs="Arial"/>
        </w:rPr>
        <w:t xml:space="preserve">a </w:t>
      </w:r>
      <w:r w:rsidR="00FE0B7B" w:rsidRPr="005B6D11">
        <w:rPr>
          <w:rFonts w:cs="Arial"/>
        </w:rPr>
        <w:t>86</w:t>
      </w:r>
      <w:r w:rsidR="00E879CD" w:rsidRPr="005B6D11">
        <w:rPr>
          <w:rFonts w:cs="Arial"/>
        </w:rPr>
        <w:t xml:space="preserve"> </w:t>
      </w:r>
      <w:r w:rsidRPr="005B6D11">
        <w:rPr>
          <w:rFonts w:cs="Arial"/>
        </w:rPr>
        <w:t xml:space="preserve">millones de litros entre </w:t>
      </w:r>
      <w:r w:rsidR="00D97F09" w:rsidRPr="005B6D11">
        <w:rPr>
          <w:rFonts w:cs="Arial"/>
        </w:rPr>
        <w:t>201</w:t>
      </w:r>
      <w:r w:rsidR="00FE0B7B" w:rsidRPr="005B6D11">
        <w:rPr>
          <w:rFonts w:cs="Arial"/>
        </w:rPr>
        <w:t>9</w:t>
      </w:r>
      <w:r w:rsidR="00D97F09" w:rsidRPr="005B6D11">
        <w:rPr>
          <w:rFonts w:cs="Arial"/>
        </w:rPr>
        <w:t xml:space="preserve"> </w:t>
      </w:r>
      <w:r w:rsidRPr="005B6D11">
        <w:rPr>
          <w:rFonts w:cs="Arial"/>
        </w:rPr>
        <w:t xml:space="preserve">y </w:t>
      </w:r>
      <w:r w:rsidR="001C5B5B" w:rsidRPr="005B6D11">
        <w:rPr>
          <w:rFonts w:cs="Arial"/>
        </w:rPr>
        <w:t>20</w:t>
      </w:r>
      <w:r w:rsidR="00FE0B7B" w:rsidRPr="005B6D11">
        <w:rPr>
          <w:rFonts w:cs="Arial"/>
        </w:rPr>
        <w:t>20</w:t>
      </w:r>
      <w:r w:rsidR="001C5B5B" w:rsidRPr="005B6D11">
        <w:rPr>
          <w:rFonts w:cs="Arial"/>
        </w:rPr>
        <w:t xml:space="preserve"> </w:t>
      </w:r>
      <w:r w:rsidR="00FE0B7B" w:rsidRPr="005B6D11">
        <w:rPr>
          <w:rFonts w:cs="Arial"/>
        </w:rPr>
        <w:t xml:space="preserve">(un 60,4%, debido al cierre de fronteras aéreas por varios meses), </w:t>
      </w:r>
      <w:r w:rsidR="00D97F09" w:rsidRPr="005B6D11">
        <w:rPr>
          <w:rFonts w:cs="Arial"/>
        </w:rPr>
        <w:t>en 202</w:t>
      </w:r>
      <w:r w:rsidR="00FE0B7B" w:rsidRPr="005B6D11">
        <w:rPr>
          <w:rFonts w:cs="Arial"/>
        </w:rPr>
        <w:t>1 aumentan</w:t>
      </w:r>
      <w:r w:rsidR="00D97F09" w:rsidRPr="005B6D11">
        <w:rPr>
          <w:rFonts w:cs="Arial"/>
        </w:rPr>
        <w:t xml:space="preserve"> a </w:t>
      </w:r>
      <w:r w:rsidR="00FE0B7B" w:rsidRPr="005B6D11">
        <w:rPr>
          <w:rFonts w:cs="Arial"/>
        </w:rPr>
        <w:t>153</w:t>
      </w:r>
      <w:r w:rsidR="00D97F09" w:rsidRPr="005B6D11">
        <w:rPr>
          <w:rFonts w:cs="Arial"/>
        </w:rPr>
        <w:t xml:space="preserve"> millones</w:t>
      </w:r>
      <w:r w:rsidR="00FE0B7B" w:rsidRPr="005B6D11">
        <w:rPr>
          <w:rFonts w:cs="Arial"/>
        </w:rPr>
        <w:t xml:space="preserve"> de litros</w:t>
      </w:r>
      <w:r w:rsidR="005B6D11" w:rsidRPr="008E2266">
        <w:rPr>
          <w:rFonts w:cs="Arial"/>
        </w:rPr>
        <w:t xml:space="preserve"> y en 2022 ya supera el registro de 2019 con 224 millones de litro</w:t>
      </w:r>
      <w:r w:rsidRPr="005B6D11">
        <w:rPr>
          <w:rFonts w:cs="Arial"/>
        </w:rPr>
        <w:t xml:space="preserve">. </w:t>
      </w:r>
      <w:r w:rsidR="00005A39" w:rsidRPr="005B6D11">
        <w:rPr>
          <w:rFonts w:cs="Arial"/>
        </w:rPr>
        <w:t xml:space="preserve"> </w:t>
      </w:r>
      <w:r w:rsidR="005B6D11" w:rsidRPr="005B6D11">
        <w:rPr>
          <w:rFonts w:cs="Arial"/>
        </w:rPr>
        <w:t>En el mismo sentido</w:t>
      </w:r>
      <w:r w:rsidRPr="005B6D11">
        <w:rPr>
          <w:rFonts w:cs="Arial"/>
        </w:rPr>
        <w:t xml:space="preserve"> en el Aeropuerto Daniel Oduber </w:t>
      </w:r>
      <w:r w:rsidR="005B6D11" w:rsidRPr="005B6D11">
        <w:rPr>
          <w:rFonts w:cs="Arial"/>
        </w:rPr>
        <w:t xml:space="preserve">las ventas </w:t>
      </w:r>
      <w:r w:rsidR="00FE0B7B" w:rsidRPr="005B6D11">
        <w:rPr>
          <w:rFonts w:cs="Arial"/>
        </w:rPr>
        <w:t>pasa</w:t>
      </w:r>
      <w:r w:rsidRPr="005B6D11">
        <w:rPr>
          <w:rFonts w:cs="Arial"/>
        </w:rPr>
        <w:t xml:space="preserve">ron </w:t>
      </w:r>
      <w:r w:rsidR="002331B4" w:rsidRPr="005B6D11">
        <w:rPr>
          <w:rFonts w:cs="Arial"/>
        </w:rPr>
        <w:t xml:space="preserve">de 64 </w:t>
      </w:r>
      <w:r w:rsidR="00FE0B7B" w:rsidRPr="005B6D11">
        <w:rPr>
          <w:rFonts w:cs="Arial"/>
        </w:rPr>
        <w:t xml:space="preserve">a 35 </w:t>
      </w:r>
      <w:r w:rsidRPr="005B6D11">
        <w:rPr>
          <w:rFonts w:cs="Arial"/>
        </w:rPr>
        <w:t>millones de litros</w:t>
      </w:r>
      <w:r w:rsidR="00D97F09" w:rsidRPr="005B6D11">
        <w:rPr>
          <w:rFonts w:cs="Arial"/>
        </w:rPr>
        <w:t xml:space="preserve"> entre 201</w:t>
      </w:r>
      <w:r w:rsidR="00FE0B7B" w:rsidRPr="005B6D11">
        <w:rPr>
          <w:rFonts w:cs="Arial"/>
        </w:rPr>
        <w:t>9</w:t>
      </w:r>
      <w:r w:rsidR="00D97F09" w:rsidRPr="005B6D11">
        <w:rPr>
          <w:rFonts w:cs="Arial"/>
        </w:rPr>
        <w:t xml:space="preserve"> y 20</w:t>
      </w:r>
      <w:r w:rsidR="00FE0B7B" w:rsidRPr="005B6D11">
        <w:rPr>
          <w:rFonts w:cs="Arial"/>
        </w:rPr>
        <w:t>20</w:t>
      </w:r>
      <w:r w:rsidR="00D97F09" w:rsidRPr="005B6D11">
        <w:rPr>
          <w:rFonts w:cs="Arial"/>
        </w:rPr>
        <w:t xml:space="preserve">, para luego </w:t>
      </w:r>
      <w:r w:rsidR="00FE0B7B" w:rsidRPr="005B6D11">
        <w:rPr>
          <w:rFonts w:cs="Arial"/>
        </w:rPr>
        <w:t xml:space="preserve">aumentar </w:t>
      </w:r>
      <w:r w:rsidR="00D97F09" w:rsidRPr="005B6D11">
        <w:rPr>
          <w:rFonts w:cs="Arial"/>
        </w:rPr>
        <w:t>en 202</w:t>
      </w:r>
      <w:r w:rsidR="00FE0B7B" w:rsidRPr="005B6D11">
        <w:rPr>
          <w:rFonts w:cs="Arial"/>
        </w:rPr>
        <w:t>1</w:t>
      </w:r>
      <w:r w:rsidR="00D97F09" w:rsidRPr="005B6D11">
        <w:rPr>
          <w:rFonts w:cs="Arial"/>
        </w:rPr>
        <w:t xml:space="preserve"> hasta 5</w:t>
      </w:r>
      <w:r w:rsidR="00FE0B7B" w:rsidRPr="005B6D11">
        <w:rPr>
          <w:rFonts w:cs="Arial"/>
        </w:rPr>
        <w:t>9</w:t>
      </w:r>
      <w:r w:rsidR="00D97F09" w:rsidRPr="005B6D11">
        <w:rPr>
          <w:rFonts w:cs="Arial"/>
        </w:rPr>
        <w:t xml:space="preserve"> millones de litros</w:t>
      </w:r>
      <w:r w:rsidR="005B6D11" w:rsidRPr="008E2266">
        <w:rPr>
          <w:rFonts w:cs="Arial"/>
        </w:rPr>
        <w:t xml:space="preserve"> y subir hasta 67 millones (también recuperando su demanda por la reactivación de vuelos)</w:t>
      </w:r>
      <w:r w:rsidR="002331B4" w:rsidRPr="005B6D11">
        <w:rPr>
          <w:rFonts w:cs="Arial"/>
        </w:rPr>
        <w:t xml:space="preserve">. </w:t>
      </w:r>
      <w:r w:rsidR="00005A39" w:rsidRPr="005B6D11">
        <w:rPr>
          <w:rFonts w:cs="Arial"/>
        </w:rPr>
        <w:t xml:space="preserve"> </w:t>
      </w:r>
    </w:p>
    <w:p w14:paraId="63488395" w14:textId="77777777" w:rsidR="00C32455" w:rsidRPr="006E6390" w:rsidRDefault="00C32455" w:rsidP="008E2266">
      <w:pPr>
        <w:spacing w:after="0"/>
        <w:rPr>
          <w:rFonts w:cs="Arial"/>
        </w:rPr>
      </w:pPr>
    </w:p>
    <w:p w14:paraId="4CEBF126" w14:textId="6B2D0DB3" w:rsidR="00982B2D" w:rsidRPr="006E6390" w:rsidRDefault="00982B2D">
      <w:pPr>
        <w:spacing w:after="0" w:line="240" w:lineRule="auto"/>
        <w:jc w:val="left"/>
        <w:rPr>
          <w:rFonts w:cs="Arial"/>
        </w:rPr>
      </w:pPr>
    </w:p>
    <w:p w14:paraId="128F1307" w14:textId="77777777" w:rsidR="007C4ADD" w:rsidRPr="006E6390" w:rsidRDefault="007C4ADD" w:rsidP="007C4ADD">
      <w:pPr>
        <w:pStyle w:val="Descripcin"/>
        <w:keepNext/>
        <w:jc w:val="center"/>
        <w:rPr>
          <w:rFonts w:cs="Arial"/>
          <w:b/>
          <w:i w:val="0"/>
          <w:iCs w:val="0"/>
          <w:color w:val="auto"/>
          <w:sz w:val="22"/>
          <w:szCs w:val="22"/>
        </w:rPr>
      </w:pPr>
      <w:r w:rsidRPr="006E6390">
        <w:rPr>
          <w:rFonts w:cs="Arial"/>
          <w:b/>
          <w:i w:val="0"/>
          <w:iCs w:val="0"/>
          <w:color w:val="auto"/>
          <w:sz w:val="22"/>
          <w:szCs w:val="22"/>
        </w:rPr>
        <w:lastRenderedPageBreak/>
        <w:t xml:space="preserve">Ilustración </w:t>
      </w:r>
      <w:r w:rsidR="00D12909" w:rsidRPr="006E6390">
        <w:rPr>
          <w:rFonts w:cs="Arial"/>
          <w:b/>
          <w:i w:val="0"/>
          <w:iCs w:val="0"/>
          <w:color w:val="auto"/>
          <w:sz w:val="22"/>
          <w:szCs w:val="22"/>
        </w:rPr>
        <w:fldChar w:fldCharType="begin"/>
      </w:r>
      <w:r w:rsidR="00D12909" w:rsidRPr="006E6390">
        <w:rPr>
          <w:rFonts w:cs="Arial"/>
          <w:b/>
          <w:i w:val="0"/>
          <w:iCs w:val="0"/>
          <w:color w:val="auto"/>
          <w:sz w:val="22"/>
          <w:szCs w:val="22"/>
        </w:rPr>
        <w:instrText xml:space="preserve"> SEQ Ilustración \* ARABIC </w:instrText>
      </w:r>
      <w:r w:rsidR="00D12909" w:rsidRPr="006E6390">
        <w:rPr>
          <w:rFonts w:cs="Arial"/>
          <w:b/>
          <w:i w:val="0"/>
          <w:iCs w:val="0"/>
          <w:color w:val="auto"/>
          <w:sz w:val="22"/>
          <w:szCs w:val="22"/>
        </w:rPr>
        <w:fldChar w:fldCharType="separate"/>
      </w:r>
      <w:r w:rsidR="00D12909" w:rsidRPr="006E6390">
        <w:rPr>
          <w:rFonts w:cs="Arial"/>
          <w:b/>
          <w:i w:val="0"/>
          <w:iCs w:val="0"/>
          <w:noProof/>
          <w:color w:val="auto"/>
          <w:sz w:val="22"/>
          <w:szCs w:val="22"/>
        </w:rPr>
        <w:t>1</w:t>
      </w:r>
      <w:r w:rsidR="00D12909" w:rsidRPr="006E6390">
        <w:rPr>
          <w:rFonts w:cs="Arial"/>
          <w:b/>
          <w:i w:val="0"/>
          <w:iCs w:val="0"/>
          <w:color w:val="auto"/>
          <w:sz w:val="22"/>
          <w:szCs w:val="22"/>
        </w:rPr>
        <w:fldChar w:fldCharType="end"/>
      </w:r>
      <w:r w:rsidRPr="006E6390">
        <w:rPr>
          <w:rFonts w:cs="Arial"/>
          <w:b/>
          <w:i w:val="0"/>
          <w:iCs w:val="0"/>
          <w:color w:val="auto"/>
          <w:sz w:val="22"/>
          <w:szCs w:val="22"/>
        </w:rPr>
        <w:t xml:space="preserve"> Sistema Nacional de Combustibles</w:t>
      </w:r>
    </w:p>
    <w:p w14:paraId="15D9AD51" w14:textId="77777777" w:rsidR="00F41263" w:rsidRPr="006E6390" w:rsidRDefault="000B58DA" w:rsidP="00F41263">
      <w:pPr>
        <w:tabs>
          <w:tab w:val="left" w:pos="9270"/>
        </w:tabs>
        <w:jc w:val="center"/>
        <w:rPr>
          <w:rFonts w:ascii="Helvetica" w:hAnsi="Helvetica" w:cs="Helvetica"/>
          <w:b/>
          <w:lang w:eastAsia="es-MX"/>
        </w:rPr>
      </w:pPr>
      <w:r w:rsidRPr="006E6390">
        <w:rPr>
          <w:rFonts w:ascii="Helvetica" w:hAnsi="Helvetica" w:cs="Helvetica"/>
          <w:b/>
          <w:noProof/>
          <w:lang w:eastAsia="es-MX"/>
        </w:rPr>
        <w:drawing>
          <wp:inline distT="0" distB="0" distL="0" distR="0" wp14:anchorId="212769FC" wp14:editId="0019ACF6">
            <wp:extent cx="5701665" cy="5479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1665" cy="5479415"/>
                    </a:xfrm>
                    <a:prstGeom prst="rect">
                      <a:avLst/>
                    </a:prstGeom>
                  </pic:spPr>
                </pic:pic>
              </a:graphicData>
            </a:graphic>
          </wp:inline>
        </w:drawing>
      </w:r>
    </w:p>
    <w:p w14:paraId="5ADAB1A0" w14:textId="77777777" w:rsidR="00F41263" w:rsidRPr="006E6390" w:rsidRDefault="00F41263" w:rsidP="00F41263">
      <w:pPr>
        <w:pStyle w:val="piedepgina0"/>
        <w:tabs>
          <w:tab w:val="left" w:pos="9270"/>
        </w:tabs>
        <w:rPr>
          <w:rFonts w:ascii="Helvetica" w:hAnsi="Helvetica" w:cs="Helvetica"/>
          <w:sz w:val="20"/>
          <w:szCs w:val="20"/>
        </w:rPr>
      </w:pPr>
      <w:r w:rsidRPr="006E6390">
        <w:rPr>
          <w:rFonts w:ascii="Helvetica" w:hAnsi="Helvetica" w:cs="Helvetica"/>
          <w:sz w:val="20"/>
          <w:szCs w:val="20"/>
        </w:rPr>
        <w:t>Fuente: RECOPE</w:t>
      </w:r>
    </w:p>
    <w:p w14:paraId="1CDD64A2" w14:textId="77777777" w:rsidR="005D5391" w:rsidRPr="006E6390" w:rsidRDefault="005D5391" w:rsidP="008E2266">
      <w:pPr>
        <w:spacing w:after="0"/>
        <w:rPr>
          <w:rFonts w:cs="Arial"/>
        </w:rPr>
      </w:pPr>
      <w:r w:rsidRPr="006E6390">
        <w:rPr>
          <w:rFonts w:cs="Arial"/>
        </w:rPr>
        <w:t xml:space="preserve">Las gasolinas, el diésel y el jet fuel se distribuyen a los terminales de distribución, utilizando la red de poliductos que se extiende desde Moín hasta la Terminal de Barranca en Puntarenas.  La longitud del poliducto de punto a punto es de 226 km; no obstante, se cuenta con 415 km de tubería, debido a que de la Terminal Moín a la Terminal El Alto se tienen dos líneas de tubería, donde una tiene un diámetro de 6 pulgadas y la otra de 12 pulgadas. </w:t>
      </w:r>
    </w:p>
    <w:p w14:paraId="295A5948" w14:textId="77777777" w:rsidR="005D5391" w:rsidRDefault="005D5391">
      <w:pPr>
        <w:spacing w:after="0"/>
      </w:pPr>
    </w:p>
    <w:p w14:paraId="12DD1F9E" w14:textId="65A295D1" w:rsidR="00324A40" w:rsidRDefault="00324A40" w:rsidP="008E2266">
      <w:pPr>
        <w:spacing w:after="0"/>
      </w:pPr>
      <w:r w:rsidRPr="006E6390">
        <w:t xml:space="preserve">De la Terminal El Alto a la Terminal La Garita salen </w:t>
      </w:r>
      <w:r w:rsidR="00776C3A" w:rsidRPr="006E6390">
        <w:t>una</w:t>
      </w:r>
      <w:r w:rsidRPr="006E6390">
        <w:t xml:space="preserve"> línea</w:t>
      </w:r>
      <w:r w:rsidR="00776C3A" w:rsidRPr="006E6390">
        <w:t xml:space="preserve"> </w:t>
      </w:r>
      <w:r w:rsidRPr="006E6390">
        <w:t>de 6 pulgadas y de la Terminal La Garita a la Terminal Barranca se tiene una</w:t>
      </w:r>
      <w:r w:rsidR="00776C3A" w:rsidRPr="006E6390">
        <w:t xml:space="preserve"> </w:t>
      </w:r>
      <w:r w:rsidRPr="006E6390">
        <w:t xml:space="preserve">línea de 6 pulgadas.  Adicionalmente se tienen cuatro ramales: tres se conectan con los complejos térmicos del ICE en Moín, San Antonio y </w:t>
      </w:r>
      <w:r w:rsidRPr="006E6390">
        <w:lastRenderedPageBreak/>
        <w:t>Barranca, para el suministro de diésel y uno que conecta la Terminal La Garita con el Aeropuerto Juan Santamaría.</w:t>
      </w:r>
    </w:p>
    <w:p w14:paraId="243DFF74" w14:textId="77777777" w:rsidR="00E92A37" w:rsidRPr="006E6390" w:rsidRDefault="00E92A37" w:rsidP="008E2266">
      <w:pPr>
        <w:spacing w:after="0"/>
      </w:pPr>
    </w:p>
    <w:p w14:paraId="4812B7BB" w14:textId="2836173F" w:rsidR="00324A40" w:rsidRDefault="00324A40" w:rsidP="008E2266">
      <w:pPr>
        <w:spacing w:after="0"/>
      </w:pPr>
      <w:r w:rsidRPr="006E6390">
        <w:t xml:space="preserve">Debido al gradiente que existe entre las terminales Moín y El Alto, se tienen </w:t>
      </w:r>
      <w:r w:rsidR="00776C3A" w:rsidRPr="006E6390">
        <w:t>tres</w:t>
      </w:r>
      <w:r w:rsidRPr="006E6390">
        <w:t xml:space="preserve"> subestaciones de bombeo en </w:t>
      </w:r>
      <w:r w:rsidR="00776C3A" w:rsidRPr="006E6390">
        <w:t xml:space="preserve">Moín, </w:t>
      </w:r>
      <w:r w:rsidRPr="006E6390">
        <w:t>Siquirres y Turrialba.  La capacidad máxima de bombeo de Moín a El Alto es de 700 m</w:t>
      </w:r>
      <w:r w:rsidRPr="006E6390">
        <w:rPr>
          <w:vertAlign w:val="superscript"/>
        </w:rPr>
        <w:t>3</w:t>
      </w:r>
      <w:r w:rsidRPr="006E6390">
        <w:t xml:space="preserve"> por hora y de El Alto a La Garita es de 635 m</w:t>
      </w:r>
      <w:r w:rsidRPr="006E6390">
        <w:rPr>
          <w:vertAlign w:val="superscript"/>
        </w:rPr>
        <w:t>3</w:t>
      </w:r>
      <w:r w:rsidRPr="006E6390">
        <w:t xml:space="preserve"> por hora y de La Garita a Barranca de 125 m</w:t>
      </w:r>
      <w:r w:rsidRPr="006E6390">
        <w:rPr>
          <w:vertAlign w:val="superscript"/>
        </w:rPr>
        <w:t>3</w:t>
      </w:r>
      <w:r w:rsidRPr="006E6390">
        <w:t xml:space="preserve"> por hora.</w:t>
      </w:r>
    </w:p>
    <w:p w14:paraId="3E26A26E" w14:textId="77777777" w:rsidR="00E92A37" w:rsidRPr="006E6390" w:rsidRDefault="00E92A37" w:rsidP="008E2266">
      <w:pPr>
        <w:spacing w:after="0"/>
      </w:pPr>
    </w:p>
    <w:p w14:paraId="111F57C7" w14:textId="149FC8AB" w:rsidR="00324A40" w:rsidRDefault="00324A40" w:rsidP="008E2266">
      <w:pPr>
        <w:spacing w:after="0"/>
      </w:pPr>
      <w:r w:rsidRPr="006E6390">
        <w:t>De la Terminal Moín los productos pueden ser enviados directamente al Alto o La Garita.  El Alto tiene una capacidad máxima operativa de almacenamiento de 6</w:t>
      </w:r>
      <w:r w:rsidR="00776C3A" w:rsidRPr="006E6390">
        <w:t>39</w:t>
      </w:r>
      <w:r w:rsidR="00F534E3" w:rsidRPr="006E6390">
        <w:t xml:space="preserve"> </w:t>
      </w:r>
      <w:r w:rsidR="00776C3A" w:rsidRPr="006E6390">
        <w:t>402</w:t>
      </w:r>
      <w:r w:rsidRPr="006E6390">
        <w:t xml:space="preserve"> barriles</w:t>
      </w:r>
      <w:r w:rsidR="008650A3" w:rsidRPr="006E6390">
        <w:t>, 42,6% corresponde a gasolinas y 26,1% a diésel.</w:t>
      </w:r>
      <w:r w:rsidR="006B7171" w:rsidRPr="006E6390">
        <w:t xml:space="preserve"> </w:t>
      </w:r>
      <w:r w:rsidR="007C0876">
        <w:t xml:space="preserve"> </w:t>
      </w:r>
      <w:r w:rsidRPr="006E6390">
        <w:t xml:space="preserve">Adicionalmente se tiene un tanque de almacenamiento de </w:t>
      </w:r>
      <w:r w:rsidR="007C0876">
        <w:t>F</w:t>
      </w:r>
      <w:r w:rsidRPr="006E6390">
        <w:t>uel oil, en caso de emergencias.  En dich</w:t>
      </w:r>
      <w:r w:rsidR="008E2266">
        <w:t>a</w:t>
      </w:r>
      <w:r w:rsidRPr="006E6390">
        <w:t xml:space="preserve"> </w:t>
      </w:r>
      <w:r w:rsidR="00465C19">
        <w:t>terminal</w:t>
      </w:r>
      <w:r w:rsidRPr="006E6390">
        <w:t xml:space="preserve"> opera una planta de emulsiones asfálticas, desde donde se realizan las ventas de ese producto a todo el país.</w:t>
      </w:r>
    </w:p>
    <w:p w14:paraId="70B84B61" w14:textId="77777777" w:rsidR="00E92A37" w:rsidRPr="006E6390" w:rsidRDefault="00E92A37" w:rsidP="00324A40"/>
    <w:p w14:paraId="7A7734C5" w14:textId="77777777" w:rsidR="00F41263" w:rsidRPr="006E6390" w:rsidRDefault="00F41263" w:rsidP="00F41263">
      <w:pPr>
        <w:spacing w:after="0"/>
        <w:jc w:val="center"/>
        <w:rPr>
          <w:rFonts w:ascii="Helvetica" w:hAnsi="Helvetica" w:cs="Helvetica"/>
          <w:b/>
        </w:rPr>
      </w:pPr>
      <w:r w:rsidRPr="006E6390">
        <w:rPr>
          <w:rFonts w:ascii="Helvetica" w:hAnsi="Helvetica" w:cs="Helvetica"/>
          <w:b/>
        </w:rPr>
        <w:t>Cuadro N°</w:t>
      </w:r>
      <w:r w:rsidR="007408DF" w:rsidRPr="006E6390">
        <w:rPr>
          <w:rFonts w:ascii="Helvetica" w:hAnsi="Helvetica" w:cs="Helvetica"/>
          <w:b/>
        </w:rPr>
        <w:t>2</w:t>
      </w:r>
      <w:r w:rsidR="006B7171" w:rsidRPr="006E6390">
        <w:rPr>
          <w:rFonts w:ascii="Helvetica" w:hAnsi="Helvetica" w:cs="Helvetica"/>
          <w:b/>
        </w:rPr>
        <w:t>3</w:t>
      </w:r>
    </w:p>
    <w:p w14:paraId="4A3074B5" w14:textId="77777777" w:rsidR="00F41263" w:rsidRPr="006E6390" w:rsidRDefault="00F41263" w:rsidP="00F41263">
      <w:pPr>
        <w:pStyle w:val="Ttuloscuadros"/>
        <w:tabs>
          <w:tab w:val="left" w:pos="9270"/>
        </w:tabs>
        <w:spacing w:after="120"/>
        <w:rPr>
          <w:rFonts w:ascii="Helvetica" w:hAnsi="Helvetica" w:cs="Helvetica"/>
        </w:rPr>
      </w:pPr>
      <w:r w:rsidRPr="006E6390">
        <w:rPr>
          <w:rFonts w:ascii="Helvetica" w:hAnsi="Helvetica" w:cs="Helvetica"/>
        </w:rPr>
        <w:t xml:space="preserve">Descripción de las líneas del poliducto, </w:t>
      </w:r>
      <w:r w:rsidR="00F534E3" w:rsidRPr="006E6390">
        <w:rPr>
          <w:rFonts w:ascii="Helvetica" w:hAnsi="Helvetica" w:cs="Helvetica"/>
        </w:rPr>
        <w:t>202</w:t>
      </w:r>
      <w:r w:rsidR="00D61F96" w:rsidRPr="006E6390">
        <w:rPr>
          <w:rFonts w:ascii="Helvetica" w:hAnsi="Helvetica" w:cs="Helvetica"/>
        </w:rPr>
        <w:t>1</w:t>
      </w:r>
    </w:p>
    <w:tbl>
      <w:tblPr>
        <w:tblStyle w:val="Tablanormal1"/>
        <w:tblW w:w="5000" w:type="pct"/>
        <w:tblLook w:val="04A0" w:firstRow="1" w:lastRow="0" w:firstColumn="1" w:lastColumn="0" w:noHBand="0" w:noVBand="1"/>
      </w:tblPr>
      <w:tblGrid>
        <w:gridCol w:w="1010"/>
        <w:gridCol w:w="2506"/>
        <w:gridCol w:w="3234"/>
        <w:gridCol w:w="1072"/>
        <w:gridCol w:w="1147"/>
      </w:tblGrid>
      <w:tr w:rsidR="003B655A" w:rsidRPr="006E6390" w14:paraId="1858AFD6" w14:textId="77777777" w:rsidTr="003B655A">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7" w:type="pct"/>
            <w:hideMark/>
          </w:tcPr>
          <w:p w14:paraId="3FFA296F"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Nombre</w:t>
            </w:r>
          </w:p>
        </w:tc>
        <w:tc>
          <w:tcPr>
            <w:tcW w:w="1401" w:type="pct"/>
            <w:hideMark/>
          </w:tcPr>
          <w:p w14:paraId="7B144D74"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Ubicación</w:t>
            </w:r>
          </w:p>
        </w:tc>
        <w:tc>
          <w:tcPr>
            <w:tcW w:w="1806" w:type="pct"/>
            <w:hideMark/>
          </w:tcPr>
          <w:p w14:paraId="54EC5BF1"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Productos</w:t>
            </w:r>
          </w:p>
        </w:tc>
        <w:tc>
          <w:tcPr>
            <w:tcW w:w="583" w:type="pct"/>
            <w:hideMark/>
          </w:tcPr>
          <w:p w14:paraId="0A900FAF"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Longitud</w:t>
            </w:r>
          </w:p>
        </w:tc>
        <w:tc>
          <w:tcPr>
            <w:tcW w:w="643" w:type="pct"/>
            <w:hideMark/>
          </w:tcPr>
          <w:p w14:paraId="53B66BF6" w14:textId="77777777" w:rsidR="003B655A" w:rsidRPr="006E6390" w:rsidRDefault="003B655A" w:rsidP="003B655A">
            <w:pPr>
              <w:pStyle w:val="piedepgina0"/>
              <w:tabs>
                <w:tab w:val="left" w:pos="9270"/>
              </w:tabs>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Diámetro</w:t>
            </w:r>
          </w:p>
        </w:tc>
      </w:tr>
      <w:tr w:rsidR="003B655A" w:rsidRPr="006E6390" w14:paraId="39C6783F" w14:textId="77777777" w:rsidTr="003B655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67" w:type="pct"/>
            <w:hideMark/>
          </w:tcPr>
          <w:p w14:paraId="1D5E54B3"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2</w:t>
            </w:r>
          </w:p>
        </w:tc>
        <w:tc>
          <w:tcPr>
            <w:tcW w:w="1401" w:type="pct"/>
            <w:hideMark/>
          </w:tcPr>
          <w:p w14:paraId="46E41418"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Limón-El Alto</w:t>
            </w:r>
          </w:p>
        </w:tc>
        <w:tc>
          <w:tcPr>
            <w:tcW w:w="1806" w:type="pct"/>
            <w:hideMark/>
          </w:tcPr>
          <w:p w14:paraId="36E3B7FB"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50 / Jet A1</w:t>
            </w:r>
          </w:p>
        </w:tc>
        <w:tc>
          <w:tcPr>
            <w:tcW w:w="583" w:type="pct"/>
            <w:hideMark/>
          </w:tcPr>
          <w:p w14:paraId="5915FB2A"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118 km</w:t>
            </w:r>
          </w:p>
        </w:tc>
        <w:tc>
          <w:tcPr>
            <w:tcW w:w="643" w:type="pct"/>
            <w:hideMark/>
          </w:tcPr>
          <w:p w14:paraId="3B515213"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736B6D67" w14:textId="77777777" w:rsidTr="003B655A">
        <w:trPr>
          <w:trHeight w:val="387"/>
        </w:trPr>
        <w:tc>
          <w:tcPr>
            <w:cnfStyle w:val="001000000000" w:firstRow="0" w:lastRow="0" w:firstColumn="1" w:lastColumn="0" w:oddVBand="0" w:evenVBand="0" w:oddHBand="0" w:evenHBand="0" w:firstRowFirstColumn="0" w:firstRowLastColumn="0" w:lastRowFirstColumn="0" w:lastRowLastColumn="0"/>
            <w:tcW w:w="567" w:type="pct"/>
            <w:hideMark/>
          </w:tcPr>
          <w:p w14:paraId="0DFFDE75"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3</w:t>
            </w:r>
          </w:p>
        </w:tc>
        <w:tc>
          <w:tcPr>
            <w:tcW w:w="1401" w:type="pct"/>
            <w:hideMark/>
          </w:tcPr>
          <w:p w14:paraId="2C05F29E"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El Alto -La Garita</w:t>
            </w:r>
          </w:p>
        </w:tc>
        <w:tc>
          <w:tcPr>
            <w:tcW w:w="1806" w:type="pct"/>
            <w:hideMark/>
          </w:tcPr>
          <w:p w14:paraId="7B394F24"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609E1DAC"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48 km</w:t>
            </w:r>
          </w:p>
        </w:tc>
        <w:tc>
          <w:tcPr>
            <w:tcW w:w="643" w:type="pct"/>
            <w:hideMark/>
          </w:tcPr>
          <w:p w14:paraId="2CE54A98"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6E1A3FA4" w14:textId="77777777" w:rsidTr="003B655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67" w:type="pct"/>
            <w:hideMark/>
          </w:tcPr>
          <w:p w14:paraId="7B50ED7E"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4</w:t>
            </w:r>
          </w:p>
        </w:tc>
        <w:tc>
          <w:tcPr>
            <w:tcW w:w="1401" w:type="pct"/>
            <w:hideMark/>
          </w:tcPr>
          <w:p w14:paraId="6AB3FC52"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La Garita - Barranca</w:t>
            </w:r>
          </w:p>
        </w:tc>
        <w:tc>
          <w:tcPr>
            <w:tcW w:w="1806" w:type="pct"/>
            <w:hideMark/>
          </w:tcPr>
          <w:p w14:paraId="15E3D83E"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60EB7F10"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60 km</w:t>
            </w:r>
          </w:p>
        </w:tc>
        <w:tc>
          <w:tcPr>
            <w:tcW w:w="643" w:type="pct"/>
            <w:hideMark/>
          </w:tcPr>
          <w:p w14:paraId="45768006"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15 cm (6“)</w:t>
            </w:r>
          </w:p>
        </w:tc>
      </w:tr>
      <w:tr w:rsidR="003B655A" w:rsidRPr="006E6390" w14:paraId="044B974E" w14:textId="77777777" w:rsidTr="003B655A">
        <w:trPr>
          <w:trHeight w:val="679"/>
        </w:trPr>
        <w:tc>
          <w:tcPr>
            <w:cnfStyle w:val="001000000000" w:firstRow="0" w:lastRow="0" w:firstColumn="1" w:lastColumn="0" w:oddVBand="0" w:evenVBand="0" w:oddHBand="0" w:evenHBand="0" w:firstRowFirstColumn="0" w:firstRowLastColumn="0" w:lastRowFirstColumn="0" w:lastRowLastColumn="0"/>
            <w:tcW w:w="567" w:type="pct"/>
            <w:hideMark/>
          </w:tcPr>
          <w:p w14:paraId="00087224"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5</w:t>
            </w:r>
          </w:p>
        </w:tc>
        <w:tc>
          <w:tcPr>
            <w:tcW w:w="1401" w:type="pct"/>
            <w:hideMark/>
          </w:tcPr>
          <w:p w14:paraId="5F0F706B"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La Garita – Aeropuerto Santamaría</w:t>
            </w:r>
          </w:p>
        </w:tc>
        <w:tc>
          <w:tcPr>
            <w:tcW w:w="1806" w:type="pct"/>
            <w:hideMark/>
          </w:tcPr>
          <w:p w14:paraId="6E58B28E"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Jet A 1</w:t>
            </w:r>
          </w:p>
        </w:tc>
        <w:tc>
          <w:tcPr>
            <w:tcW w:w="583" w:type="pct"/>
            <w:hideMark/>
          </w:tcPr>
          <w:p w14:paraId="5BC6D876"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12 km</w:t>
            </w:r>
          </w:p>
        </w:tc>
        <w:tc>
          <w:tcPr>
            <w:tcW w:w="643" w:type="pct"/>
            <w:hideMark/>
          </w:tcPr>
          <w:p w14:paraId="766B0FD7" w14:textId="77777777" w:rsidR="003B655A" w:rsidRPr="006E6390" w:rsidRDefault="003B655A" w:rsidP="003B655A">
            <w:pPr>
              <w:pStyle w:val="piedepgina0"/>
              <w:tabs>
                <w:tab w:val="left" w:pos="9270"/>
              </w:tabs>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6E6390">
              <w:rPr>
                <w:rFonts w:cs="Arial"/>
                <w:sz w:val="20"/>
                <w:szCs w:val="20"/>
              </w:rPr>
              <w:t>10 cm (4“)</w:t>
            </w:r>
          </w:p>
        </w:tc>
      </w:tr>
      <w:tr w:rsidR="003B655A" w:rsidRPr="006E6390" w14:paraId="27CD89B9" w14:textId="77777777" w:rsidTr="003B655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67" w:type="pct"/>
            <w:hideMark/>
          </w:tcPr>
          <w:p w14:paraId="62F849E6" w14:textId="77777777" w:rsidR="003B655A" w:rsidRPr="006E6390" w:rsidRDefault="003B655A" w:rsidP="003B655A">
            <w:pPr>
              <w:pStyle w:val="piedepgina0"/>
              <w:tabs>
                <w:tab w:val="left" w:pos="9270"/>
              </w:tabs>
              <w:spacing w:after="0"/>
              <w:rPr>
                <w:rFonts w:cs="Arial"/>
                <w:sz w:val="20"/>
                <w:szCs w:val="20"/>
              </w:rPr>
            </w:pPr>
            <w:r w:rsidRPr="006E6390">
              <w:rPr>
                <w:rFonts w:cs="Arial"/>
                <w:sz w:val="20"/>
                <w:szCs w:val="20"/>
              </w:rPr>
              <w:t>Línea 6-7</w:t>
            </w:r>
          </w:p>
        </w:tc>
        <w:tc>
          <w:tcPr>
            <w:tcW w:w="1401" w:type="pct"/>
            <w:hideMark/>
          </w:tcPr>
          <w:p w14:paraId="6A37F018"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Limón - La Garita</w:t>
            </w:r>
          </w:p>
        </w:tc>
        <w:tc>
          <w:tcPr>
            <w:tcW w:w="1806" w:type="pct"/>
            <w:hideMark/>
          </w:tcPr>
          <w:p w14:paraId="7F02A600"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Diesel, Gas Super, Gas Plus, Jet A1, Queroseno</w:t>
            </w:r>
          </w:p>
        </w:tc>
        <w:tc>
          <w:tcPr>
            <w:tcW w:w="583" w:type="pct"/>
            <w:hideMark/>
          </w:tcPr>
          <w:p w14:paraId="23A753AD"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177 km</w:t>
            </w:r>
          </w:p>
        </w:tc>
        <w:tc>
          <w:tcPr>
            <w:tcW w:w="643" w:type="pct"/>
            <w:hideMark/>
          </w:tcPr>
          <w:p w14:paraId="6541C91F" w14:textId="77777777" w:rsidR="003B655A" w:rsidRPr="006E6390" w:rsidRDefault="003B655A" w:rsidP="003B655A">
            <w:pPr>
              <w:pStyle w:val="piedepgina0"/>
              <w:tabs>
                <w:tab w:val="left" w:pos="9270"/>
              </w:tabs>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6E6390">
              <w:rPr>
                <w:rFonts w:cs="Arial"/>
                <w:sz w:val="20"/>
                <w:szCs w:val="20"/>
              </w:rPr>
              <w:t>30 cm (12“)</w:t>
            </w:r>
          </w:p>
        </w:tc>
      </w:tr>
    </w:tbl>
    <w:p w14:paraId="1329416C" w14:textId="77777777" w:rsidR="00F41263" w:rsidRPr="006E6390" w:rsidRDefault="00F41263" w:rsidP="000F72EA">
      <w:pPr>
        <w:pStyle w:val="piedepgina0"/>
        <w:tabs>
          <w:tab w:val="left" w:pos="9270"/>
        </w:tabs>
        <w:spacing w:after="0"/>
        <w:ind w:left="709"/>
        <w:rPr>
          <w:rFonts w:cs="Arial"/>
          <w:sz w:val="20"/>
          <w:szCs w:val="20"/>
        </w:rPr>
      </w:pPr>
      <w:r w:rsidRPr="006E6390">
        <w:rPr>
          <w:rFonts w:cs="Arial"/>
          <w:sz w:val="20"/>
          <w:szCs w:val="20"/>
        </w:rPr>
        <w:t>Fuente: RECOPE</w:t>
      </w:r>
      <w:r w:rsidR="00F638E4" w:rsidRPr="006E6390">
        <w:rPr>
          <w:rFonts w:cs="Arial"/>
          <w:sz w:val="20"/>
          <w:szCs w:val="20"/>
        </w:rPr>
        <w:t>.</w:t>
      </w:r>
      <w:r w:rsidR="00D61F96" w:rsidRPr="006E6390">
        <w:rPr>
          <w:rFonts w:cs="Arial"/>
          <w:sz w:val="20"/>
          <w:szCs w:val="20"/>
        </w:rPr>
        <w:t xml:space="preserve"> Departamento de Trasiego</w:t>
      </w:r>
    </w:p>
    <w:p w14:paraId="30BF7D17" w14:textId="77777777" w:rsidR="002D6B34" w:rsidRPr="006E6390" w:rsidRDefault="002D6B34" w:rsidP="000F72EA">
      <w:pPr>
        <w:pStyle w:val="piedepgina0"/>
        <w:tabs>
          <w:tab w:val="left" w:pos="9270"/>
        </w:tabs>
        <w:spacing w:after="0"/>
        <w:rPr>
          <w:rFonts w:cs="Arial"/>
          <w:sz w:val="20"/>
          <w:szCs w:val="20"/>
        </w:rPr>
      </w:pPr>
    </w:p>
    <w:p w14:paraId="3D2E9F51" w14:textId="07A937D4" w:rsidR="00F41263" w:rsidRDefault="00F41263" w:rsidP="008E2266">
      <w:pPr>
        <w:spacing w:after="0"/>
      </w:pPr>
      <w:r w:rsidRPr="006E6390">
        <w:t>La Garita tiene una capacidad operativa de almacenamiento de 69</w:t>
      </w:r>
      <w:r w:rsidR="00AD193A" w:rsidRPr="006E6390">
        <w:t>3</w:t>
      </w:r>
      <w:r w:rsidR="00BC67CE" w:rsidRPr="006E6390">
        <w:t xml:space="preserve"> </w:t>
      </w:r>
      <w:r w:rsidR="00AD193A" w:rsidRPr="006E6390">
        <w:t>1</w:t>
      </w:r>
      <w:r w:rsidRPr="006E6390">
        <w:t xml:space="preserve">74 barriles, con la siguiente distribución: a) </w:t>
      </w:r>
      <w:r w:rsidR="008650A3" w:rsidRPr="006E6390">
        <w:t>gasolinas</w:t>
      </w:r>
      <w:r w:rsidRPr="006E6390">
        <w:t xml:space="preserve"> </w:t>
      </w:r>
      <w:r w:rsidR="008650A3" w:rsidRPr="006E6390">
        <w:t>44</w:t>
      </w:r>
      <w:r w:rsidRPr="006E6390">
        <w:t>,</w:t>
      </w:r>
      <w:r w:rsidR="008650A3" w:rsidRPr="006E6390">
        <w:t>5</w:t>
      </w:r>
      <w:r w:rsidRPr="006E6390">
        <w:t xml:space="preserve">%, b) </w:t>
      </w:r>
      <w:r w:rsidR="008650A3" w:rsidRPr="006E6390">
        <w:t>diésel 38</w:t>
      </w:r>
      <w:r w:rsidRPr="006E6390">
        <w:t>,</w:t>
      </w:r>
      <w:r w:rsidR="008650A3" w:rsidRPr="006E6390">
        <w:t>0</w:t>
      </w:r>
      <w:r w:rsidRPr="006E6390">
        <w:t>%y c) jet fuel 15,</w:t>
      </w:r>
      <w:r w:rsidR="008650A3" w:rsidRPr="006E6390">
        <w:t>4</w:t>
      </w:r>
      <w:r w:rsidRPr="006E6390">
        <w:t xml:space="preserve">%.  De este </w:t>
      </w:r>
      <w:r w:rsidR="00465C19">
        <w:t>terminal</w:t>
      </w:r>
      <w:r w:rsidRPr="006E6390">
        <w:t xml:space="preserve"> se envía el </w:t>
      </w:r>
      <w:r w:rsidR="006C77F8">
        <w:t>J</w:t>
      </w:r>
      <w:r w:rsidRPr="006E6390">
        <w:t>et fuel que se vende en el Aeropuerto Juan Santamaría.  De igual forma, de est</w:t>
      </w:r>
      <w:r w:rsidR="00324A40" w:rsidRPr="006E6390">
        <w:t>a Terminal</w:t>
      </w:r>
      <w:r w:rsidRPr="006E6390">
        <w:t xml:space="preserve"> se despacha el jet fuel para los aeropuertos Tobías Bolaños y Daniel Oduber.</w:t>
      </w:r>
    </w:p>
    <w:p w14:paraId="4268C37C" w14:textId="77777777" w:rsidR="00773A58" w:rsidRPr="006E6390" w:rsidRDefault="00773A58" w:rsidP="008E2266">
      <w:pPr>
        <w:spacing w:after="0"/>
      </w:pPr>
    </w:p>
    <w:p w14:paraId="40A2B699" w14:textId="422F044E" w:rsidR="00F41263" w:rsidRDefault="00F41263" w:rsidP="008E2266">
      <w:pPr>
        <w:spacing w:after="0"/>
      </w:pPr>
      <w:r w:rsidRPr="006E6390">
        <w:t xml:space="preserve">Las ventas en el Tobías Bolaños se iniciaron el 22 de noviembre de 2010 y en </w:t>
      </w:r>
      <w:r w:rsidR="003F33A9" w:rsidRPr="006E6390">
        <w:t>20</w:t>
      </w:r>
      <w:r w:rsidR="008650A3" w:rsidRPr="006E6390">
        <w:t>21</w:t>
      </w:r>
      <w:r w:rsidR="003F33A9" w:rsidRPr="006E6390">
        <w:t xml:space="preserve"> </w:t>
      </w:r>
      <w:r w:rsidRPr="006E6390">
        <w:t>totalizaron apenas 0,</w:t>
      </w:r>
      <w:r w:rsidR="003F33A9" w:rsidRPr="006E6390">
        <w:t>0</w:t>
      </w:r>
      <w:r w:rsidR="00A27F84" w:rsidRPr="006E6390">
        <w:t>1</w:t>
      </w:r>
      <w:r w:rsidRPr="006E6390">
        <w:t>%.  Las ventas en el Daniel Oduber representan</w:t>
      </w:r>
      <w:r w:rsidR="00A27F84" w:rsidRPr="006E6390">
        <w:t xml:space="preserve"> en promedio</w:t>
      </w:r>
      <w:r w:rsidRPr="006E6390">
        <w:t xml:space="preserve"> </w:t>
      </w:r>
      <w:r w:rsidR="00A27F84" w:rsidRPr="006E6390">
        <w:t>1,6</w:t>
      </w:r>
      <w:r w:rsidRPr="006E6390">
        <w:t xml:space="preserve">% de las ventas totales </w:t>
      </w:r>
      <w:r w:rsidR="003F33A9" w:rsidRPr="006E6390">
        <w:t>en 201</w:t>
      </w:r>
      <w:r w:rsidR="00A27F84" w:rsidRPr="006E6390">
        <w:t>9</w:t>
      </w:r>
      <w:r w:rsidR="003F33A9" w:rsidRPr="006E6390">
        <w:t xml:space="preserve"> </w:t>
      </w:r>
      <w:r w:rsidR="00A27F84" w:rsidRPr="006E6390">
        <w:t>a</w:t>
      </w:r>
      <w:r w:rsidR="003F33A9" w:rsidRPr="006E6390">
        <w:t xml:space="preserve"> </w:t>
      </w:r>
      <w:r w:rsidR="00E14682" w:rsidRPr="006E6390">
        <w:t>202</w:t>
      </w:r>
      <w:r w:rsidR="00E14682">
        <w:t>2</w:t>
      </w:r>
      <w:r w:rsidRPr="006E6390">
        <w:t xml:space="preserve">. </w:t>
      </w:r>
    </w:p>
    <w:p w14:paraId="49365DA3" w14:textId="77777777" w:rsidR="00773A58" w:rsidRPr="006E6390" w:rsidRDefault="00773A58" w:rsidP="008E2266">
      <w:pPr>
        <w:spacing w:after="0"/>
      </w:pPr>
    </w:p>
    <w:p w14:paraId="3D43F30F" w14:textId="41200E4F" w:rsidR="00F41263" w:rsidRDefault="00F41263" w:rsidP="008E2266">
      <w:pPr>
        <w:spacing w:after="0"/>
      </w:pPr>
      <w:r w:rsidRPr="006E6390">
        <w:t xml:space="preserve">Finalmente, </w:t>
      </w:r>
      <w:r w:rsidR="00324A40" w:rsidRPr="006E6390">
        <w:t>la capacidad operativa de almacenamiento en Barranca</w:t>
      </w:r>
      <w:r w:rsidRPr="006E6390">
        <w:t xml:space="preserve"> es de 2</w:t>
      </w:r>
      <w:r w:rsidR="00A27F84" w:rsidRPr="006E6390">
        <w:t>85</w:t>
      </w:r>
      <w:r w:rsidR="00926B63" w:rsidRPr="006E6390">
        <w:t xml:space="preserve"> </w:t>
      </w:r>
      <w:r w:rsidRPr="006E6390">
        <w:t>1</w:t>
      </w:r>
      <w:r w:rsidR="00A27F84" w:rsidRPr="006E6390">
        <w:t>92</w:t>
      </w:r>
      <w:r w:rsidRPr="006E6390">
        <w:t xml:space="preserve"> barriles (un </w:t>
      </w:r>
      <w:r w:rsidR="00A27F84" w:rsidRPr="006E6390">
        <w:t>57</w:t>
      </w:r>
      <w:r w:rsidRPr="006E6390">
        <w:t>,</w:t>
      </w:r>
      <w:r w:rsidR="00A27F84" w:rsidRPr="006E6390">
        <w:t>7</w:t>
      </w:r>
      <w:r w:rsidRPr="006E6390">
        <w:t>% para diésel</w:t>
      </w:r>
      <w:r w:rsidR="00A27F84" w:rsidRPr="006E6390">
        <w:t xml:space="preserve"> y 21,9% para gasolinas</w:t>
      </w:r>
      <w:r w:rsidRPr="006E6390">
        <w:t>).</w:t>
      </w:r>
    </w:p>
    <w:p w14:paraId="05D1C6B1" w14:textId="77777777" w:rsidR="00773A58" w:rsidRPr="008E2266" w:rsidRDefault="00773A58" w:rsidP="008E2266">
      <w:pPr>
        <w:spacing w:after="0"/>
        <w:rPr>
          <w:lang w:eastAsia="es-ES_tradnl"/>
        </w:rPr>
      </w:pPr>
    </w:p>
    <w:p w14:paraId="72D05A5E" w14:textId="1F8FF4F5" w:rsidR="00F41263" w:rsidRDefault="00F41263" w:rsidP="008E2266">
      <w:pPr>
        <w:spacing w:after="0"/>
      </w:pPr>
      <w:r w:rsidRPr="006E6390">
        <w:lastRenderedPageBreak/>
        <w:t xml:space="preserve">En </w:t>
      </w:r>
      <w:r w:rsidR="00A779B3" w:rsidRPr="006E6390">
        <w:t>los</w:t>
      </w:r>
      <w:r w:rsidRPr="006E6390">
        <w:t xml:space="preserve"> gráfico</w:t>
      </w:r>
      <w:r w:rsidR="00A779B3" w:rsidRPr="006E6390">
        <w:t>s</w:t>
      </w:r>
      <w:r w:rsidRPr="006E6390">
        <w:t xml:space="preserve"> N°</w:t>
      </w:r>
      <w:r w:rsidR="00A779B3" w:rsidRPr="006E6390">
        <w:t>1 y N°</w:t>
      </w:r>
      <w:r w:rsidRPr="006E6390">
        <w:t xml:space="preserve">2 se muestra la distribución de la capacidad total de almacenamiento por </w:t>
      </w:r>
      <w:r w:rsidR="00324A40" w:rsidRPr="006E6390">
        <w:t>terminal</w:t>
      </w:r>
      <w:r w:rsidRPr="006E6390">
        <w:t xml:space="preserve"> y por producto. </w:t>
      </w:r>
      <w:r w:rsidR="006C77F8">
        <w:t xml:space="preserve"> </w:t>
      </w:r>
      <w:r w:rsidRPr="006E6390">
        <w:t>Se observa que RECOPE tiene una capacidad total de almacenamiento de 3,</w:t>
      </w:r>
      <w:r w:rsidR="00080A98" w:rsidRPr="006E6390">
        <w:t>83</w:t>
      </w:r>
      <w:r w:rsidRPr="006E6390">
        <w:t xml:space="preserve"> millones de barriles, distribuidos de la siguiente manera: a) Moín 5</w:t>
      </w:r>
      <w:r w:rsidR="00080A98" w:rsidRPr="006E6390">
        <w:t>6</w:t>
      </w:r>
      <w:r w:rsidRPr="006E6390">
        <w:t>,</w:t>
      </w:r>
      <w:r w:rsidR="00080A98" w:rsidRPr="006E6390">
        <w:t>8</w:t>
      </w:r>
      <w:r w:rsidRPr="006E6390">
        <w:t>%, b) La Garita 1</w:t>
      </w:r>
      <w:r w:rsidR="00080A98" w:rsidRPr="006E6390">
        <w:t>8</w:t>
      </w:r>
      <w:r w:rsidRPr="006E6390">
        <w:t>,</w:t>
      </w:r>
      <w:r w:rsidR="00080A98" w:rsidRPr="006E6390">
        <w:t>1</w:t>
      </w:r>
      <w:r w:rsidRPr="006E6390">
        <w:t>%, c) El Alto 16,</w:t>
      </w:r>
      <w:r w:rsidR="00080A98" w:rsidRPr="006E6390">
        <w:t>7</w:t>
      </w:r>
      <w:r w:rsidRPr="006E6390">
        <w:t xml:space="preserve">%, d) Barranca </w:t>
      </w:r>
      <w:r w:rsidR="00080A98" w:rsidRPr="006E6390">
        <w:t>7</w:t>
      </w:r>
      <w:r w:rsidRPr="006E6390">
        <w:t>,</w:t>
      </w:r>
      <w:r w:rsidR="00080A98" w:rsidRPr="006E6390">
        <w:t>4</w:t>
      </w:r>
      <w:r w:rsidRPr="006E6390">
        <w:t>% y Aeropuerto Juan Santamaría 0,5%.</w:t>
      </w:r>
      <w:r w:rsidR="00080A98" w:rsidRPr="006E6390">
        <w:t xml:space="preserve"> </w:t>
      </w:r>
      <w:r w:rsidR="006C77F8">
        <w:t xml:space="preserve"> </w:t>
      </w:r>
      <w:r w:rsidRPr="006E6390">
        <w:t>Desde el punto de vista de los productos, la mayor capacidad de almacenamiento se concentra en el diésel, con 3</w:t>
      </w:r>
      <w:r w:rsidR="00080A98" w:rsidRPr="006E6390">
        <w:t>3</w:t>
      </w:r>
      <w:r w:rsidRPr="006E6390">
        <w:t xml:space="preserve">,8% del total, seguido por </w:t>
      </w:r>
      <w:r w:rsidR="006C77F8">
        <w:t>g</w:t>
      </w:r>
      <w:r w:rsidRPr="006E6390">
        <w:t>asolina Súper (2</w:t>
      </w:r>
      <w:r w:rsidR="00080A98" w:rsidRPr="006E6390">
        <w:t>3</w:t>
      </w:r>
      <w:r w:rsidRPr="006E6390">
        <w:t>,</w:t>
      </w:r>
      <w:r w:rsidR="00080A98" w:rsidRPr="006E6390">
        <w:t>3</w:t>
      </w:r>
      <w:r w:rsidRPr="006E6390">
        <w:t xml:space="preserve">%), </w:t>
      </w:r>
      <w:r w:rsidR="006C77F8">
        <w:t>g</w:t>
      </w:r>
      <w:r w:rsidRPr="006E6390">
        <w:t>asolina Plus (1</w:t>
      </w:r>
      <w:r w:rsidR="00080A98" w:rsidRPr="006E6390">
        <w:t>7</w:t>
      </w:r>
      <w:r w:rsidRPr="006E6390">
        <w:t>,</w:t>
      </w:r>
      <w:r w:rsidR="00080A98" w:rsidRPr="006E6390">
        <w:t>7</w:t>
      </w:r>
      <w:r w:rsidRPr="006E6390">
        <w:t xml:space="preserve">%), Jet </w:t>
      </w:r>
      <w:r w:rsidR="006C77F8">
        <w:t>f</w:t>
      </w:r>
      <w:r w:rsidRPr="006E6390">
        <w:t>uel (9,</w:t>
      </w:r>
      <w:r w:rsidR="00080A98" w:rsidRPr="006E6390">
        <w:t>8</w:t>
      </w:r>
      <w:r w:rsidRPr="006E6390">
        <w:t>%), Búnker C (</w:t>
      </w:r>
      <w:r w:rsidR="00080A98" w:rsidRPr="006E6390">
        <w:t>7</w:t>
      </w:r>
      <w:r w:rsidRPr="006E6390">
        <w:t>,</w:t>
      </w:r>
      <w:r w:rsidR="00080A98" w:rsidRPr="006E6390">
        <w:t>4</w:t>
      </w:r>
      <w:r w:rsidRPr="006E6390">
        <w:t>%), de GLP (</w:t>
      </w:r>
      <w:r w:rsidR="00080A98" w:rsidRPr="006E6390">
        <w:t>3</w:t>
      </w:r>
      <w:r w:rsidRPr="006E6390">
        <w:t>,</w:t>
      </w:r>
      <w:r w:rsidR="00080A98" w:rsidRPr="006E6390">
        <w:t>4</w:t>
      </w:r>
      <w:r w:rsidRPr="006E6390">
        <w:t xml:space="preserve">%), y los restantes productos </w:t>
      </w:r>
      <w:r w:rsidR="00080A98" w:rsidRPr="006E6390">
        <w:t>4</w:t>
      </w:r>
      <w:r w:rsidRPr="006E6390">
        <w:t>,</w:t>
      </w:r>
      <w:r w:rsidR="00080A98" w:rsidRPr="006E6390">
        <w:t>6</w:t>
      </w:r>
      <w:r w:rsidRPr="006E6390">
        <w:t>%.</w:t>
      </w:r>
    </w:p>
    <w:p w14:paraId="70B5131F" w14:textId="77777777" w:rsidR="00773A58" w:rsidRPr="006E6390" w:rsidRDefault="00773A58" w:rsidP="008E2266">
      <w:pPr>
        <w:spacing w:after="0"/>
      </w:pPr>
    </w:p>
    <w:p w14:paraId="14021BB1" w14:textId="77777777" w:rsidR="00F41263" w:rsidRPr="000D17D2" w:rsidRDefault="00F41263" w:rsidP="008E2266">
      <w:pPr>
        <w:spacing w:after="0" w:line="240" w:lineRule="auto"/>
        <w:jc w:val="center"/>
        <w:rPr>
          <w:rFonts w:cs="Arial"/>
          <w:bCs/>
        </w:rPr>
      </w:pPr>
      <w:r w:rsidRPr="008E2266">
        <w:rPr>
          <w:rFonts w:cs="Arial"/>
          <w:b/>
          <w:bCs/>
        </w:rPr>
        <w:t>Gráfico</w:t>
      </w:r>
      <w:r w:rsidR="000F016F" w:rsidRPr="008E2266">
        <w:rPr>
          <w:rFonts w:cs="Arial"/>
          <w:b/>
          <w:bCs/>
        </w:rPr>
        <w:t>s</w:t>
      </w:r>
      <w:r w:rsidRPr="008E2266">
        <w:rPr>
          <w:rFonts w:cs="Arial"/>
          <w:b/>
          <w:bCs/>
        </w:rPr>
        <w:t xml:space="preserve"> N°</w:t>
      </w:r>
      <w:r w:rsidR="000F016F" w:rsidRPr="008E2266">
        <w:rPr>
          <w:rFonts w:cs="Arial"/>
          <w:b/>
          <w:bCs/>
        </w:rPr>
        <w:t>1 y 2</w:t>
      </w:r>
    </w:p>
    <w:p w14:paraId="2FED0CE6" w14:textId="614DD8DB" w:rsidR="00F41263" w:rsidRDefault="00F41263" w:rsidP="005C050B">
      <w:pPr>
        <w:pStyle w:val="Ttuloscuadros"/>
        <w:tabs>
          <w:tab w:val="left" w:pos="9270"/>
        </w:tabs>
        <w:rPr>
          <w:rFonts w:cs="Arial"/>
        </w:rPr>
      </w:pPr>
      <w:r w:rsidRPr="006E6390">
        <w:rPr>
          <w:rFonts w:cs="Arial"/>
        </w:rPr>
        <w:t xml:space="preserve">Capacidad de almacenamiento total según </w:t>
      </w:r>
      <w:r w:rsidR="00465C19">
        <w:rPr>
          <w:rFonts w:cs="Arial"/>
        </w:rPr>
        <w:t>terminal</w:t>
      </w:r>
      <w:r w:rsidRPr="006E6390">
        <w:rPr>
          <w:rFonts w:cs="Arial"/>
        </w:rPr>
        <w:t xml:space="preserve"> y producto al cierre de </w:t>
      </w:r>
      <w:r w:rsidR="00926B63" w:rsidRPr="006E6390">
        <w:rPr>
          <w:rFonts w:cs="Arial"/>
        </w:rPr>
        <w:t>202</w:t>
      </w:r>
      <w:r w:rsidR="005E2635" w:rsidRPr="006E6390">
        <w:rPr>
          <w:rFonts w:cs="Arial"/>
        </w:rPr>
        <w:t>1</w:t>
      </w:r>
    </w:p>
    <w:p w14:paraId="49860078" w14:textId="77777777" w:rsidR="006F1C3E" w:rsidRPr="006E6390" w:rsidRDefault="006F1C3E" w:rsidP="005C050B">
      <w:pPr>
        <w:pStyle w:val="Ttuloscuadros"/>
        <w:tabs>
          <w:tab w:val="left" w:pos="9270"/>
        </w:tabs>
        <w:rPr>
          <w:rFonts w:cs="Arial"/>
        </w:rPr>
      </w:pPr>
    </w:p>
    <w:p w14:paraId="17051C1C" w14:textId="77777777" w:rsidR="005E2635" w:rsidRPr="006E6390" w:rsidRDefault="005E2635" w:rsidP="005E2635">
      <w:pPr>
        <w:tabs>
          <w:tab w:val="left" w:pos="9270"/>
        </w:tabs>
        <w:ind w:left="709"/>
        <w:jc w:val="left"/>
        <w:rPr>
          <w:rFonts w:cs="Arial"/>
          <w:sz w:val="20"/>
          <w:szCs w:val="20"/>
        </w:rPr>
      </w:pPr>
      <w:r w:rsidRPr="006E6390">
        <w:rPr>
          <w:rFonts w:cs="Arial"/>
          <w:noProof/>
          <w:sz w:val="20"/>
          <w:szCs w:val="20"/>
        </w:rPr>
        <w:drawing>
          <wp:inline distT="0" distB="0" distL="0" distR="0" wp14:anchorId="740D069F" wp14:editId="32C3F6E1">
            <wp:extent cx="2748643" cy="2579915"/>
            <wp:effectExtent l="0" t="0" r="13970" b="11430"/>
            <wp:docPr id="5" name="Gráfico 5">
              <a:extLst xmlns:a="http://schemas.openxmlformats.org/drawingml/2006/main">
                <a:ext uri="{FF2B5EF4-FFF2-40B4-BE49-F238E27FC236}">
                  <a16:creationId xmlns:a16="http://schemas.microsoft.com/office/drawing/2014/main" id="{92CEDB91-4C5F-4E9B-A659-50CCA37E4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E6390">
        <w:rPr>
          <w:noProof/>
        </w:rPr>
        <w:t xml:space="preserve"> </w:t>
      </w:r>
      <w:r w:rsidRPr="006E6390">
        <w:rPr>
          <w:rFonts w:cs="Arial"/>
          <w:noProof/>
          <w:sz w:val="20"/>
          <w:szCs w:val="20"/>
        </w:rPr>
        <w:drawing>
          <wp:inline distT="0" distB="0" distL="0" distR="0" wp14:anchorId="22E2D342" wp14:editId="03F53EB9">
            <wp:extent cx="2253343" cy="2574290"/>
            <wp:effectExtent l="0" t="0" r="13970" b="16510"/>
            <wp:docPr id="7" name="Gráfico 7">
              <a:extLst xmlns:a="http://schemas.openxmlformats.org/drawingml/2006/main">
                <a:ext uri="{FF2B5EF4-FFF2-40B4-BE49-F238E27FC236}">
                  <a16:creationId xmlns:a16="http://schemas.microsoft.com/office/drawing/2014/main" id="{D9D65290-6537-44ED-9B81-CA7BB114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141AA4" w14:textId="77777777" w:rsidR="00F41263" w:rsidRPr="006E6390" w:rsidRDefault="00F41263" w:rsidP="0030281E">
      <w:pPr>
        <w:tabs>
          <w:tab w:val="left" w:pos="9270"/>
        </w:tabs>
        <w:ind w:left="709"/>
        <w:rPr>
          <w:rFonts w:cs="Arial"/>
          <w:sz w:val="20"/>
          <w:szCs w:val="20"/>
        </w:rPr>
      </w:pPr>
      <w:r w:rsidRPr="006E6390">
        <w:rPr>
          <w:rFonts w:cs="Arial"/>
          <w:sz w:val="20"/>
          <w:szCs w:val="20"/>
        </w:rPr>
        <w:t>Fuente: RECOPE</w:t>
      </w:r>
    </w:p>
    <w:p w14:paraId="304ECF75" w14:textId="77777777" w:rsidR="00F41263" w:rsidRPr="006E6390" w:rsidRDefault="00F41263" w:rsidP="008F23AD">
      <w:pPr>
        <w:pStyle w:val="Ttulo3"/>
      </w:pPr>
      <w:bookmarkStart w:id="122" w:name="_Toc38630826"/>
      <w:r w:rsidRPr="006E6390">
        <w:t>3.1.23. Litigios</w:t>
      </w:r>
      <w:bookmarkEnd w:id="122"/>
    </w:p>
    <w:p w14:paraId="5A799917" w14:textId="1028C83C" w:rsidR="00F41263" w:rsidRDefault="00F41263" w:rsidP="008E2266">
      <w:pPr>
        <w:spacing w:after="0"/>
      </w:pPr>
      <w:r w:rsidRPr="006E6390">
        <w:t>A pesar de que RECOPE mantiene una serie de litigios pendientes, la administración no considera que puedan incidir de manera importante en el negocio de la empresa.</w:t>
      </w:r>
    </w:p>
    <w:p w14:paraId="07966677" w14:textId="77777777" w:rsidR="004F2EDB" w:rsidRPr="006E6390" w:rsidRDefault="004F2EDB" w:rsidP="008E2266">
      <w:pPr>
        <w:spacing w:after="0"/>
      </w:pPr>
    </w:p>
    <w:p w14:paraId="05F2DC2E" w14:textId="295F2D4C" w:rsidR="00F41263" w:rsidRDefault="00324A40" w:rsidP="008E2266">
      <w:pPr>
        <w:spacing w:after="0"/>
      </w:pPr>
      <w:r w:rsidRPr="006E6390">
        <w:t xml:space="preserve">En el cuadro </w:t>
      </w:r>
      <w:r w:rsidR="006B7171" w:rsidRPr="006E6390">
        <w:t xml:space="preserve">24 </w:t>
      </w:r>
      <w:r w:rsidR="00F41263" w:rsidRPr="006E6390">
        <w:t>se presenta</w:t>
      </w:r>
      <w:r w:rsidRPr="006E6390">
        <w:t xml:space="preserve">n </w:t>
      </w:r>
      <w:r w:rsidR="00F41263" w:rsidRPr="006E6390">
        <w:t xml:space="preserve">los juicios pendientes </w:t>
      </w:r>
      <w:r w:rsidRPr="006E6390">
        <w:t xml:space="preserve">al 31 de diciembre de </w:t>
      </w:r>
      <w:r w:rsidR="005978A3" w:rsidRPr="006E6390">
        <w:t>202</w:t>
      </w:r>
      <w:r w:rsidR="0053701A" w:rsidRPr="006E6390">
        <w:t>1</w:t>
      </w:r>
      <w:r w:rsidRPr="006E6390">
        <w:t xml:space="preserve">, con un monto </w:t>
      </w:r>
      <w:r w:rsidR="00F41263" w:rsidRPr="006E6390">
        <w:t>estimado</w:t>
      </w:r>
      <w:r w:rsidRPr="006E6390">
        <w:t xml:space="preserve"> por juicio superior a</w:t>
      </w:r>
      <w:r w:rsidR="00F41263" w:rsidRPr="006E6390">
        <w:t xml:space="preserve"> ₡100 millones </w:t>
      </w:r>
      <w:r w:rsidRPr="006E6390">
        <w:t>o su equivalente en dólares</w:t>
      </w:r>
      <w:r w:rsidR="00F41263" w:rsidRPr="006E6390">
        <w:t>.</w:t>
      </w:r>
    </w:p>
    <w:p w14:paraId="73A99074" w14:textId="77777777" w:rsidR="006C77F8" w:rsidRPr="006E6390" w:rsidRDefault="006C77F8" w:rsidP="001C2185"/>
    <w:p w14:paraId="4B17B3FE" w14:textId="77777777" w:rsidR="001C2185" w:rsidRPr="006E6390" w:rsidRDefault="001C2185" w:rsidP="001C2185">
      <w:pPr>
        <w:rPr>
          <w:rFonts w:ascii="Helvetica" w:hAnsi="Helvetica" w:cs="Helvetica"/>
        </w:rPr>
        <w:sectPr w:rsidR="001C2185" w:rsidRPr="006E6390" w:rsidSect="00DF75B3">
          <w:headerReference w:type="default" r:id="rId25"/>
          <w:footerReference w:type="default" r:id="rId26"/>
          <w:headerReference w:type="first" r:id="rId27"/>
          <w:footerReference w:type="first" r:id="rId28"/>
          <w:pgSz w:w="12240" w:h="15840" w:code="1"/>
          <w:pgMar w:top="1418" w:right="1418" w:bottom="1418" w:left="1843" w:header="510" w:footer="907" w:gutter="0"/>
          <w:cols w:space="708"/>
          <w:titlePg/>
          <w:docGrid w:linePitch="360"/>
        </w:sectPr>
      </w:pPr>
    </w:p>
    <w:p w14:paraId="6760E8DE" w14:textId="77777777" w:rsidR="00F41263" w:rsidRPr="006E6390" w:rsidRDefault="00F41263" w:rsidP="00F41263">
      <w:pPr>
        <w:pStyle w:val="Ttuloscuadros"/>
        <w:tabs>
          <w:tab w:val="left" w:pos="9270"/>
        </w:tabs>
        <w:rPr>
          <w:rFonts w:ascii="Helvetica" w:hAnsi="Helvetica" w:cs="Helvetica"/>
        </w:rPr>
      </w:pPr>
      <w:r w:rsidRPr="006E6390">
        <w:rPr>
          <w:rFonts w:ascii="Helvetica" w:hAnsi="Helvetica" w:cs="Helvetica"/>
        </w:rPr>
        <w:lastRenderedPageBreak/>
        <w:t>Cuadro N°</w:t>
      </w:r>
      <w:r w:rsidR="007408DF" w:rsidRPr="006E6390">
        <w:rPr>
          <w:rFonts w:ascii="Helvetica" w:hAnsi="Helvetica" w:cs="Helvetica"/>
        </w:rPr>
        <w:t>2</w:t>
      </w:r>
      <w:r w:rsidR="006B7171" w:rsidRPr="006E6390">
        <w:rPr>
          <w:rFonts w:ascii="Helvetica" w:hAnsi="Helvetica" w:cs="Helvetica"/>
        </w:rPr>
        <w:t>4</w:t>
      </w:r>
    </w:p>
    <w:p w14:paraId="0BD28570" w14:textId="25E53D39" w:rsidR="00F41263" w:rsidRPr="006E6390" w:rsidRDefault="00F41263" w:rsidP="00F41263">
      <w:pPr>
        <w:pStyle w:val="Ttuloscuadros"/>
        <w:tabs>
          <w:tab w:val="left" w:pos="9270"/>
        </w:tabs>
        <w:spacing w:after="120"/>
        <w:rPr>
          <w:rFonts w:ascii="Helvetica" w:hAnsi="Helvetica" w:cs="Helvetica"/>
        </w:rPr>
      </w:pPr>
      <w:r w:rsidRPr="006E6390">
        <w:rPr>
          <w:rFonts w:ascii="Helvetica" w:hAnsi="Helvetica" w:cs="Helvetica"/>
        </w:rPr>
        <w:t xml:space="preserve">Detalle de Juicios pendientes al 31 de diciembre de </w:t>
      </w:r>
      <w:r w:rsidR="00183E23" w:rsidRPr="006E6390">
        <w:rPr>
          <w:rFonts w:ascii="Helvetica" w:hAnsi="Helvetica" w:cs="Helvetica"/>
        </w:rPr>
        <w:t>202</w:t>
      </w:r>
      <w:r w:rsidR="00D03CD6">
        <w:rPr>
          <w:rFonts w:ascii="Helvetica" w:hAnsi="Helvetica" w:cs="Helvetica"/>
        </w:rPr>
        <w:t>2</w:t>
      </w:r>
    </w:p>
    <w:tbl>
      <w:tblPr>
        <w:tblW w:w="14460" w:type="dxa"/>
        <w:tblInd w:w="-142" w:type="dxa"/>
        <w:tblCellMar>
          <w:left w:w="70" w:type="dxa"/>
          <w:right w:w="70" w:type="dxa"/>
        </w:tblCellMar>
        <w:tblLook w:val="06A0" w:firstRow="1" w:lastRow="0" w:firstColumn="1" w:lastColumn="0" w:noHBand="1" w:noVBand="1"/>
      </w:tblPr>
      <w:tblGrid>
        <w:gridCol w:w="1702"/>
        <w:gridCol w:w="1056"/>
        <w:gridCol w:w="1592"/>
        <w:gridCol w:w="1180"/>
        <w:gridCol w:w="1770"/>
        <w:gridCol w:w="5742"/>
        <w:gridCol w:w="1418"/>
      </w:tblGrid>
      <w:tr w:rsidR="00E4015F" w:rsidRPr="006E6390" w14:paraId="762A6B8A" w14:textId="77777777" w:rsidTr="000D0D28">
        <w:trPr>
          <w:trHeight w:val="70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noWrap/>
            <w:vAlign w:val="center"/>
            <w:hideMark/>
          </w:tcPr>
          <w:p w14:paraId="2655C5AC"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438D22DD"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187F47C9"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65F1B924"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0558931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noWrap/>
            <w:vAlign w:val="center"/>
            <w:hideMark/>
          </w:tcPr>
          <w:p w14:paraId="320F9A3F"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B9D21E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655C2E" w:rsidRPr="006E6390" w14:paraId="6E76F5D9" w14:textId="77777777" w:rsidTr="000D0D28">
        <w:trPr>
          <w:trHeight w:val="86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546C780E" w14:textId="77777777" w:rsidR="004C65DE" w:rsidRPr="006E6390" w:rsidRDefault="004C65DE" w:rsidP="002D4648">
            <w:pPr>
              <w:spacing w:after="0" w:line="240" w:lineRule="auto"/>
              <w:jc w:val="center"/>
              <w:rPr>
                <w:rFonts w:cs="Arial"/>
                <w:sz w:val="16"/>
                <w:szCs w:val="16"/>
              </w:rPr>
            </w:pPr>
            <w:r w:rsidRPr="006E6390">
              <w:rPr>
                <w:rFonts w:cs="Arial"/>
                <w:sz w:val="16"/>
                <w:szCs w:val="16"/>
              </w:rPr>
              <w:t>00-001043-0163-CA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04692B7"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E776A53" w14:textId="77777777" w:rsidR="004C65DE" w:rsidRPr="006E6390" w:rsidRDefault="004C65DE" w:rsidP="002D4648">
            <w:pPr>
              <w:spacing w:after="0" w:line="240" w:lineRule="auto"/>
              <w:jc w:val="left"/>
              <w:rPr>
                <w:rFonts w:cs="Arial"/>
                <w:sz w:val="16"/>
                <w:szCs w:val="16"/>
              </w:rPr>
            </w:pPr>
            <w:r w:rsidRPr="006E6390">
              <w:rPr>
                <w:rFonts w:cs="Arial"/>
                <w:sz w:val="16"/>
                <w:szCs w:val="16"/>
              </w:rPr>
              <w:t>Rodríguez Valverde Hermanos</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6369E96" w14:textId="77777777" w:rsidR="004C65DE" w:rsidRPr="006E6390" w:rsidRDefault="004C65DE" w:rsidP="002D4648">
            <w:pPr>
              <w:spacing w:after="0" w:line="240" w:lineRule="auto"/>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86EAF51" w14:textId="666A7B43" w:rsidR="004C65DE" w:rsidRPr="006E6390" w:rsidRDefault="004C65DE" w:rsidP="002D4648">
            <w:pPr>
              <w:spacing w:after="0" w:line="240" w:lineRule="auto"/>
              <w:jc w:val="right"/>
              <w:rPr>
                <w:rFonts w:cs="Arial"/>
                <w:sz w:val="16"/>
                <w:szCs w:val="16"/>
              </w:rPr>
            </w:pPr>
            <w:r w:rsidRPr="006E6390">
              <w:rPr>
                <w:rFonts w:cs="Arial"/>
                <w:sz w:val="16"/>
                <w:szCs w:val="16"/>
              </w:rPr>
              <w:t xml:space="preserve"> ₡732</w:t>
            </w:r>
            <w:r w:rsidR="00846DB2">
              <w:rPr>
                <w:rFonts w:cs="Arial"/>
                <w:sz w:val="16"/>
                <w:szCs w:val="16"/>
              </w:rPr>
              <w:t> </w:t>
            </w:r>
            <w:r w:rsidRPr="006E6390">
              <w:rPr>
                <w:rFonts w:cs="Arial"/>
                <w:sz w:val="16"/>
                <w:szCs w:val="16"/>
              </w:rPr>
              <w:t>888</w:t>
            </w:r>
            <w:r w:rsidR="00846DB2">
              <w:rPr>
                <w:rFonts w:cs="Arial"/>
                <w:sz w:val="16"/>
                <w:szCs w:val="16"/>
              </w:rPr>
              <w:t xml:space="preserve"> </w:t>
            </w:r>
            <w:r w:rsidRPr="006E6390">
              <w:rPr>
                <w:rFonts w:cs="Arial"/>
                <w:sz w:val="16"/>
                <w:szCs w:val="16"/>
              </w:rPr>
              <w:t xml:space="preserve">436,85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948938F" w14:textId="1E07A517" w:rsidR="004C65DE" w:rsidRPr="006E6390" w:rsidRDefault="004C65DE" w:rsidP="002D4648">
            <w:pPr>
              <w:spacing w:after="0" w:line="240" w:lineRule="auto"/>
              <w:rPr>
                <w:rFonts w:cs="Arial"/>
                <w:sz w:val="16"/>
                <w:szCs w:val="16"/>
              </w:rPr>
            </w:pPr>
            <w:r w:rsidRPr="006E6390">
              <w:rPr>
                <w:rFonts w:cs="Arial"/>
                <w:sz w:val="16"/>
                <w:szCs w:val="16"/>
              </w:rPr>
              <w:t xml:space="preserve">Sentencia N°219-2019 declara parcialmente con lugar la ejecución y se condena a RECOPE pagar por mejoras útiles y necesarias a la Bomba la Primavera, el monto de </w:t>
            </w:r>
            <w:r w:rsidR="00D03CD6" w:rsidRPr="006E6390">
              <w:rPr>
                <w:rFonts w:cs="Arial"/>
                <w:sz w:val="16"/>
                <w:szCs w:val="16"/>
              </w:rPr>
              <w:t>₡</w:t>
            </w:r>
            <w:r w:rsidRPr="006E6390">
              <w:rPr>
                <w:rFonts w:cs="Arial"/>
                <w:sz w:val="16"/>
                <w:szCs w:val="16"/>
              </w:rPr>
              <w:t>57</w:t>
            </w:r>
            <w:r w:rsidR="00846DB2">
              <w:rPr>
                <w:rFonts w:cs="Arial"/>
                <w:sz w:val="16"/>
                <w:szCs w:val="16"/>
              </w:rPr>
              <w:t> </w:t>
            </w:r>
            <w:r w:rsidRPr="006E6390">
              <w:rPr>
                <w:rFonts w:cs="Arial"/>
                <w:sz w:val="16"/>
                <w:szCs w:val="16"/>
              </w:rPr>
              <w:t>882</w:t>
            </w:r>
            <w:r w:rsidR="00846DB2">
              <w:rPr>
                <w:rFonts w:cs="Arial"/>
                <w:sz w:val="16"/>
                <w:szCs w:val="16"/>
              </w:rPr>
              <w:t xml:space="preserve"> </w:t>
            </w:r>
            <w:r w:rsidRPr="006E6390">
              <w:rPr>
                <w:rFonts w:cs="Arial"/>
                <w:sz w:val="16"/>
                <w:szCs w:val="16"/>
              </w:rPr>
              <w:t>639.13, así como los intereses legales. En agosto 2019 se presentó recurso de casación.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5051CCAF" w14:textId="26551E7A" w:rsidR="000247D8" w:rsidRPr="006E6390" w:rsidRDefault="000247D8" w:rsidP="002D4648">
            <w:pPr>
              <w:spacing w:after="0" w:line="240" w:lineRule="auto"/>
              <w:jc w:val="center"/>
              <w:rPr>
                <w:rFonts w:cs="Arial"/>
                <w:sz w:val="16"/>
                <w:szCs w:val="16"/>
              </w:rPr>
            </w:pPr>
          </w:p>
          <w:p w14:paraId="6D263974" w14:textId="77777777" w:rsidR="004C65DE" w:rsidRPr="006E6390" w:rsidRDefault="000247D8" w:rsidP="002D4648">
            <w:pPr>
              <w:spacing w:after="0" w:line="240" w:lineRule="auto"/>
              <w:jc w:val="center"/>
              <w:rPr>
                <w:rFonts w:cs="Arial"/>
                <w:sz w:val="16"/>
                <w:szCs w:val="16"/>
              </w:rPr>
            </w:pPr>
            <w:r w:rsidRPr="006E6390">
              <w:rPr>
                <w:rFonts w:cs="Arial"/>
                <w:sz w:val="16"/>
                <w:szCs w:val="16"/>
              </w:rPr>
              <w:t>₡732</w:t>
            </w:r>
            <w:r>
              <w:rPr>
                <w:rFonts w:cs="Arial"/>
                <w:sz w:val="16"/>
                <w:szCs w:val="16"/>
              </w:rPr>
              <w:t> </w:t>
            </w:r>
            <w:r w:rsidRPr="006E6390">
              <w:rPr>
                <w:rFonts w:cs="Arial"/>
                <w:sz w:val="16"/>
                <w:szCs w:val="16"/>
              </w:rPr>
              <w:t>888</w:t>
            </w:r>
            <w:r>
              <w:rPr>
                <w:rFonts w:cs="Arial"/>
                <w:sz w:val="16"/>
                <w:szCs w:val="16"/>
              </w:rPr>
              <w:t xml:space="preserve"> </w:t>
            </w:r>
            <w:r w:rsidRPr="006E6390">
              <w:rPr>
                <w:rFonts w:cs="Arial"/>
                <w:sz w:val="16"/>
                <w:szCs w:val="16"/>
              </w:rPr>
              <w:t xml:space="preserve">436,85 </w:t>
            </w:r>
          </w:p>
        </w:tc>
      </w:tr>
      <w:tr w:rsidR="00655C2E" w:rsidRPr="006E6390" w14:paraId="191A334C" w14:textId="77777777" w:rsidTr="000D0D28">
        <w:trPr>
          <w:trHeight w:val="7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64C27673" w14:textId="77777777" w:rsidR="004C65DE" w:rsidRPr="006E6390" w:rsidRDefault="004C65DE" w:rsidP="002D4648">
            <w:pPr>
              <w:spacing w:after="0" w:line="240" w:lineRule="auto"/>
              <w:jc w:val="center"/>
              <w:rPr>
                <w:rFonts w:cs="Arial"/>
                <w:sz w:val="16"/>
                <w:szCs w:val="16"/>
              </w:rPr>
            </w:pPr>
            <w:r w:rsidRPr="006E6390">
              <w:rPr>
                <w:rFonts w:cs="Arial"/>
                <w:sz w:val="16"/>
                <w:szCs w:val="16"/>
              </w:rPr>
              <w:t>02-000671-163-CA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346F3EB"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408458E" w14:textId="77777777" w:rsidR="004C65DE" w:rsidRPr="006E6390" w:rsidRDefault="00153133" w:rsidP="002D4648">
            <w:pPr>
              <w:spacing w:after="0" w:line="240" w:lineRule="auto"/>
              <w:jc w:val="left"/>
              <w:rPr>
                <w:rFonts w:cs="Arial"/>
                <w:sz w:val="16"/>
                <w:szCs w:val="16"/>
              </w:rPr>
            </w:pPr>
            <w:r w:rsidRPr="006E6390">
              <w:rPr>
                <w:rFonts w:cs="Arial"/>
                <w:sz w:val="16"/>
                <w:szCs w:val="16"/>
              </w:rPr>
              <w:t>PACSA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C61217D" w14:textId="77777777" w:rsidR="004C65DE" w:rsidRPr="006E6390" w:rsidRDefault="004C65DE" w:rsidP="002D4648">
            <w:pPr>
              <w:spacing w:after="0" w:line="240" w:lineRule="auto"/>
              <w:jc w:val="center"/>
              <w:rPr>
                <w:rFonts w:cs="Arial"/>
                <w:sz w:val="16"/>
                <w:szCs w:val="16"/>
              </w:rPr>
            </w:pPr>
            <w:r w:rsidRPr="006E6390">
              <w:rPr>
                <w:rFonts w:cs="Arial"/>
                <w:sz w:val="16"/>
                <w:szCs w:val="16"/>
              </w:rPr>
              <w:t>Ejecución de sentencia</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54EAE7F" w14:textId="77777777" w:rsidR="004C65DE" w:rsidRPr="006E6390" w:rsidRDefault="004C65DE" w:rsidP="002D4648">
            <w:pPr>
              <w:spacing w:after="0" w:line="240" w:lineRule="auto"/>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689222B" w14:textId="77777777" w:rsidR="004C65DE" w:rsidRPr="006E6390" w:rsidRDefault="004C65DE" w:rsidP="002D4648">
            <w:pPr>
              <w:spacing w:after="0" w:line="240" w:lineRule="auto"/>
              <w:rPr>
                <w:rFonts w:cs="Arial"/>
                <w:sz w:val="16"/>
                <w:szCs w:val="16"/>
              </w:rPr>
            </w:pPr>
            <w:r w:rsidRPr="006E6390">
              <w:rPr>
                <w:rFonts w:cs="Arial"/>
                <w:sz w:val="16"/>
                <w:szCs w:val="16"/>
              </w:rPr>
              <w:t>Sentencia en segunda instancia a favor de RECOPE, se dictó sentencia anulando actos administrativos, no se concedió daño moral, ni material, se condenó a RECOPE solo a costas, la demandante no ha ejecutado sentencia.</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25F091E8" w14:textId="77777777" w:rsidR="004C65DE" w:rsidRPr="006E6390" w:rsidRDefault="004C65DE" w:rsidP="002D4648">
            <w:pPr>
              <w:spacing w:after="0" w:line="240" w:lineRule="auto"/>
              <w:jc w:val="center"/>
              <w:rPr>
                <w:rFonts w:cs="Arial"/>
                <w:sz w:val="16"/>
                <w:szCs w:val="16"/>
              </w:rPr>
            </w:pPr>
            <w:r w:rsidRPr="006E6390">
              <w:rPr>
                <w:rFonts w:cs="Arial"/>
                <w:sz w:val="16"/>
                <w:szCs w:val="16"/>
              </w:rPr>
              <w:t>Indeterminado</w:t>
            </w:r>
          </w:p>
        </w:tc>
      </w:tr>
      <w:tr w:rsidR="00655C2E" w:rsidRPr="006E6390" w14:paraId="0257B737" w14:textId="77777777" w:rsidTr="000D0D28">
        <w:trPr>
          <w:trHeight w:val="1270"/>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1D2E9F10" w14:textId="77777777" w:rsidR="004C65DE" w:rsidRPr="006E6390" w:rsidRDefault="004C65DE" w:rsidP="002D4648">
            <w:pPr>
              <w:spacing w:after="0" w:line="240" w:lineRule="auto"/>
              <w:jc w:val="center"/>
              <w:rPr>
                <w:rFonts w:cs="Arial"/>
                <w:sz w:val="16"/>
                <w:szCs w:val="16"/>
              </w:rPr>
            </w:pPr>
            <w:r w:rsidRPr="006E6390">
              <w:rPr>
                <w:rFonts w:cs="Arial"/>
                <w:sz w:val="16"/>
                <w:szCs w:val="16"/>
              </w:rPr>
              <w:t>03-000539-0163-CA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098E1FC" w14:textId="77777777" w:rsidR="004C65DE" w:rsidRPr="006E6390" w:rsidRDefault="004C65DE" w:rsidP="002D4648">
            <w:pPr>
              <w:spacing w:after="0" w:line="240" w:lineRule="auto"/>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4224ABA" w14:textId="77777777" w:rsidR="004C65DE" w:rsidRPr="006E6390" w:rsidRDefault="004C65DE" w:rsidP="002D4648">
            <w:pPr>
              <w:spacing w:after="0" w:line="240" w:lineRule="auto"/>
              <w:jc w:val="left"/>
              <w:rPr>
                <w:rFonts w:cs="Arial"/>
                <w:sz w:val="16"/>
                <w:szCs w:val="16"/>
              </w:rPr>
            </w:pPr>
            <w:r w:rsidRPr="006E6390">
              <w:rPr>
                <w:rFonts w:cs="Arial"/>
                <w:sz w:val="16"/>
                <w:szCs w:val="16"/>
              </w:rPr>
              <w:t>Flowserve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29994AA" w14:textId="77777777" w:rsidR="004C65DE" w:rsidRPr="006E6390" w:rsidRDefault="004C65DE" w:rsidP="002D4648">
            <w:pPr>
              <w:spacing w:after="0" w:line="240" w:lineRule="auto"/>
              <w:jc w:val="center"/>
              <w:rPr>
                <w:rFonts w:cs="Arial"/>
                <w:sz w:val="16"/>
                <w:szCs w:val="16"/>
              </w:rPr>
            </w:pPr>
            <w:r w:rsidRPr="006E6390">
              <w:rPr>
                <w:rFonts w:cs="Arial"/>
                <w:sz w:val="16"/>
                <w:szCs w:val="16"/>
              </w:rPr>
              <w:t>Ejecución de sentencia</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8E92874" w14:textId="77777777" w:rsidR="004C65DE" w:rsidRPr="006E6390" w:rsidRDefault="004C65DE" w:rsidP="002D4648">
            <w:pPr>
              <w:spacing w:after="0" w:line="240" w:lineRule="auto"/>
              <w:jc w:val="right"/>
              <w:rPr>
                <w:rFonts w:cs="Arial"/>
                <w:sz w:val="16"/>
                <w:szCs w:val="16"/>
              </w:rPr>
            </w:pPr>
            <w:r w:rsidRPr="006E6390">
              <w:rPr>
                <w:rFonts w:cs="Arial"/>
                <w:sz w:val="16"/>
                <w:szCs w:val="16"/>
              </w:rPr>
              <w:t xml:space="preserve"> ₡        201</w:t>
            </w:r>
            <w:r w:rsidR="00846DB2">
              <w:rPr>
                <w:rFonts w:cs="Arial"/>
                <w:sz w:val="16"/>
                <w:szCs w:val="16"/>
              </w:rPr>
              <w:t xml:space="preserve"> </w:t>
            </w:r>
            <w:r w:rsidRPr="006E6390">
              <w:rPr>
                <w:rFonts w:cs="Arial"/>
                <w:sz w:val="16"/>
                <w:szCs w:val="16"/>
              </w:rPr>
              <w:t>500</w:t>
            </w:r>
            <w:r w:rsidR="00846DB2">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3C1DD28" w14:textId="6277EBF5" w:rsidR="004C65DE" w:rsidRPr="006E6390" w:rsidRDefault="004C65DE" w:rsidP="002D4648">
            <w:pPr>
              <w:spacing w:after="0" w:line="240" w:lineRule="auto"/>
              <w:rPr>
                <w:rFonts w:cs="Arial"/>
                <w:sz w:val="16"/>
                <w:szCs w:val="16"/>
              </w:rPr>
            </w:pPr>
            <w:r w:rsidRPr="006E6390">
              <w:rPr>
                <w:rFonts w:cs="Arial"/>
                <w:sz w:val="16"/>
                <w:szCs w:val="16"/>
              </w:rPr>
              <w:t xml:space="preserve">Sentencia N°556-2010 acoge parcialmente la demanda y se rechaza la contrademanda de RECOPE. Sentencia N°07-2011-VII confirmó el resultado. Sentencia N°1839-2011 aprueba la liquidación costas por </w:t>
            </w:r>
            <w:r w:rsidR="00D03CD6" w:rsidRPr="006E6390">
              <w:rPr>
                <w:rFonts w:cs="Arial"/>
                <w:sz w:val="16"/>
                <w:szCs w:val="16"/>
              </w:rPr>
              <w:t>₡</w:t>
            </w:r>
            <w:r w:rsidRPr="006E6390">
              <w:rPr>
                <w:rFonts w:cs="Arial"/>
                <w:sz w:val="16"/>
                <w:szCs w:val="16"/>
              </w:rPr>
              <w:t>5</w:t>
            </w:r>
            <w:r w:rsidR="00846DB2">
              <w:rPr>
                <w:rFonts w:cs="Arial"/>
                <w:sz w:val="16"/>
                <w:szCs w:val="16"/>
              </w:rPr>
              <w:t> </w:t>
            </w:r>
            <w:r w:rsidRPr="006E6390">
              <w:rPr>
                <w:rFonts w:cs="Arial"/>
                <w:sz w:val="16"/>
                <w:szCs w:val="16"/>
              </w:rPr>
              <w:t>095</w:t>
            </w:r>
            <w:r w:rsidR="00846DB2">
              <w:rPr>
                <w:rFonts w:cs="Arial"/>
                <w:sz w:val="16"/>
                <w:szCs w:val="16"/>
              </w:rPr>
              <w:t xml:space="preserve"> </w:t>
            </w:r>
            <w:r w:rsidRPr="006E6390">
              <w:rPr>
                <w:rFonts w:cs="Arial"/>
                <w:sz w:val="16"/>
                <w:szCs w:val="16"/>
              </w:rPr>
              <w:t xml:space="preserve">501. Sentencia N°71-2012-I en alzada fija las costas en </w:t>
            </w:r>
            <w:r w:rsidR="00D03CD6" w:rsidRPr="006E6390">
              <w:rPr>
                <w:rFonts w:cs="Arial"/>
                <w:sz w:val="16"/>
                <w:szCs w:val="16"/>
              </w:rPr>
              <w:t>₡</w:t>
            </w:r>
            <w:r w:rsidR="00846DB2">
              <w:rPr>
                <w:rFonts w:cs="Arial"/>
                <w:sz w:val="16"/>
                <w:szCs w:val="16"/>
              </w:rPr>
              <w:t>7 </w:t>
            </w:r>
            <w:r w:rsidRPr="006E6390">
              <w:rPr>
                <w:rFonts w:cs="Arial"/>
                <w:sz w:val="16"/>
                <w:szCs w:val="16"/>
              </w:rPr>
              <w:t>500</w:t>
            </w:r>
            <w:r w:rsidR="00846DB2">
              <w:rPr>
                <w:rFonts w:cs="Arial"/>
                <w:sz w:val="16"/>
                <w:szCs w:val="16"/>
              </w:rPr>
              <w:t xml:space="preserve"> </w:t>
            </w:r>
            <w:r w:rsidRPr="006E6390">
              <w:rPr>
                <w:rFonts w:cs="Arial"/>
                <w:sz w:val="16"/>
                <w:szCs w:val="16"/>
              </w:rPr>
              <w:t>000. Se está a la espera de que se indique la cuenta bancaria para proceder con el depósito de las sumas correspondientes.</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4F4E1A67" w14:textId="77777777" w:rsidR="004C65DE" w:rsidRPr="006E6390" w:rsidRDefault="004C65DE" w:rsidP="002D4648">
            <w:pPr>
              <w:spacing w:after="0" w:line="240" w:lineRule="auto"/>
              <w:jc w:val="center"/>
              <w:rPr>
                <w:rFonts w:cs="Arial"/>
                <w:sz w:val="16"/>
                <w:szCs w:val="16"/>
              </w:rPr>
            </w:pPr>
            <w:r w:rsidRPr="006E6390">
              <w:rPr>
                <w:rFonts w:cs="Arial"/>
                <w:sz w:val="16"/>
                <w:szCs w:val="16"/>
              </w:rPr>
              <w:t>Desfavorable</w:t>
            </w:r>
          </w:p>
        </w:tc>
      </w:tr>
      <w:tr w:rsidR="00655C2E" w:rsidRPr="006E6390" w14:paraId="7F8C1593" w14:textId="77777777" w:rsidTr="00F84D55">
        <w:trPr>
          <w:trHeight w:val="119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A1C6BA1"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07-001688-0163-CA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F59F79A"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97C9FF2" w14:textId="77777777" w:rsidR="004C65DE" w:rsidRPr="006E6390" w:rsidRDefault="004C65DE" w:rsidP="002D4648">
            <w:pPr>
              <w:spacing w:after="0" w:line="240" w:lineRule="auto"/>
              <w:jc w:val="left"/>
              <w:rPr>
                <w:rFonts w:cs="Arial"/>
                <w:bCs/>
                <w:sz w:val="16"/>
                <w:szCs w:val="16"/>
              </w:rPr>
            </w:pPr>
            <w:r w:rsidRPr="006E6390">
              <w:rPr>
                <w:rFonts w:cs="Arial"/>
                <w:bCs/>
                <w:sz w:val="16"/>
                <w:szCs w:val="16"/>
              </w:rPr>
              <w:t>El Timonel Rojo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D10C7F4"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7D3A897" w14:textId="77777777" w:rsidR="004C65DE" w:rsidRPr="006E6390" w:rsidRDefault="004C65DE" w:rsidP="002D4648">
            <w:pPr>
              <w:spacing w:after="0" w:line="240" w:lineRule="auto"/>
              <w:jc w:val="right"/>
              <w:rPr>
                <w:rFonts w:cs="Arial"/>
                <w:bCs/>
                <w:sz w:val="16"/>
                <w:szCs w:val="16"/>
              </w:rPr>
            </w:pPr>
            <w:r w:rsidRPr="006E6390">
              <w:rPr>
                <w:rFonts w:cs="Arial"/>
                <w:bCs/>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DF7979A" w14:textId="77777777" w:rsidR="004C65DE" w:rsidRPr="006E6390" w:rsidRDefault="004C65DE" w:rsidP="002D4648">
            <w:pPr>
              <w:spacing w:after="0" w:line="240" w:lineRule="auto"/>
              <w:rPr>
                <w:rFonts w:cs="Arial"/>
                <w:bCs/>
                <w:sz w:val="16"/>
                <w:szCs w:val="16"/>
              </w:rPr>
            </w:pPr>
            <w:r w:rsidRPr="006E6390">
              <w:rPr>
                <w:rFonts w:cs="Arial"/>
                <w:bCs/>
                <w:sz w:val="16"/>
                <w:szCs w:val="16"/>
              </w:rPr>
              <w:t>Sentencia en primera instancia declarada sin lugar; en segunda instancia se acoge la excepción de falta derecho y se rechaza la demanda, condena al Timonel Rojo al pago de costas a favor de RECOPE. En 2014 Timonel presentó Recurso de Casación, declarado sin lugar. Se encuentra en trámite la ejecución de la sentencia. En abril 2019 se traslada al actor de la liquidación y en junio 2020 se pide aprobar liquidación.</w:t>
            </w:r>
            <w:r w:rsidR="00553DE7" w:rsidRPr="006E6390">
              <w:rPr>
                <w:rFonts w:cs="Arial"/>
                <w:bCs/>
                <w:sz w:val="16"/>
                <w:szCs w:val="16"/>
              </w:rPr>
              <w:t xml:space="preserve">  En marzo 2021 se pide resolver liquidación de costas. En agosto 2021 se aportó prueba prevenida que se había aportado, pero no constaba en el expediente. Mediante resolución de las 14:5hrs del 5-8-21 se da traslado de la liquidación al Timonel Rojo.</w:t>
            </w:r>
          </w:p>
          <w:p w14:paraId="6E7FB467" w14:textId="77777777" w:rsidR="000B12D9" w:rsidRPr="006E6390" w:rsidRDefault="000B12D9"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3438BBDE"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Favorable</w:t>
            </w:r>
          </w:p>
        </w:tc>
      </w:tr>
      <w:tr w:rsidR="00655C2E" w:rsidRPr="006E6390" w14:paraId="36FC24A2" w14:textId="77777777" w:rsidTr="00F84D55">
        <w:trPr>
          <w:trHeight w:val="111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C24B81E"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09-000927-1027-CA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7B8195C"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CB1BCAF" w14:textId="77777777" w:rsidR="004C65DE" w:rsidRPr="006E6390" w:rsidRDefault="004C65DE" w:rsidP="002D4648">
            <w:pPr>
              <w:spacing w:after="0" w:line="240" w:lineRule="auto"/>
              <w:jc w:val="left"/>
              <w:rPr>
                <w:rFonts w:cs="Arial"/>
                <w:bCs/>
                <w:sz w:val="16"/>
                <w:szCs w:val="16"/>
              </w:rPr>
            </w:pPr>
            <w:r w:rsidRPr="006E6390">
              <w:rPr>
                <w:rFonts w:cs="Arial"/>
                <w:bCs/>
                <w:sz w:val="16"/>
                <w:szCs w:val="16"/>
              </w:rPr>
              <w:t>Saret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9A04C61"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Abreviado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59F1807" w14:textId="77777777" w:rsidR="004C65DE" w:rsidRPr="006E6390" w:rsidRDefault="004C65DE" w:rsidP="002D4648">
            <w:pPr>
              <w:spacing w:after="0" w:line="240" w:lineRule="auto"/>
              <w:jc w:val="right"/>
              <w:rPr>
                <w:rFonts w:cs="Arial"/>
                <w:bCs/>
                <w:sz w:val="16"/>
                <w:szCs w:val="16"/>
              </w:rPr>
            </w:pPr>
            <w:r w:rsidRPr="006E6390">
              <w:rPr>
                <w:rFonts w:cs="Arial"/>
                <w:bCs/>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369A8E0" w14:textId="77777777" w:rsidR="004C65DE" w:rsidRPr="006E6390" w:rsidRDefault="004C65DE" w:rsidP="002D4648">
            <w:pPr>
              <w:spacing w:after="0" w:line="240" w:lineRule="auto"/>
              <w:rPr>
                <w:rFonts w:cs="Arial"/>
                <w:bCs/>
                <w:sz w:val="16"/>
                <w:szCs w:val="16"/>
              </w:rPr>
            </w:pPr>
            <w:r w:rsidRPr="006E6390">
              <w:rPr>
                <w:rFonts w:cs="Arial"/>
                <w:bCs/>
                <w:sz w:val="16"/>
                <w:szCs w:val="16"/>
              </w:rPr>
              <w:t>Indemnización de servidumbre ya cancelada, proceso declarado sin lugar.  RECOPE interpuso ejecución de sentencia en 2013, donde se condena a Enid Villalobos por un millón de colones por costas.  Se solicitó el embargo de los bienes y el nombramiento del ejecutor del embargo, nombrado en 2019. En 2020 se solicita actualización de la garantía.</w:t>
            </w:r>
            <w:r w:rsidR="00553DE7" w:rsidRPr="006E6390">
              <w:t xml:space="preserve"> </w:t>
            </w:r>
            <w:r w:rsidR="00507E7D" w:rsidRPr="006E6390">
              <w:rPr>
                <w:rFonts w:cs="Arial"/>
                <w:bCs/>
                <w:sz w:val="16"/>
                <w:szCs w:val="16"/>
              </w:rPr>
              <w:t>Por resolución notificada el enero 2021 da audiencia al actor sobre el tema de la actualización de garantía. En abril 2021 se reitera por Recope, que se resuelva en cuanto a ordenar al actor mantener vigentes las garantías. En Julio 2021 se contestó gestión de Saret sobre el artículo 116 del CPCA, con lo cual el actor pretende que no actualizar las garantías. </w:t>
            </w:r>
            <w:r w:rsidR="00AC0ADE" w:rsidRPr="006E6390">
              <w:rPr>
                <w:rFonts w:cs="Arial"/>
                <w:bCs/>
                <w:sz w:val="16"/>
                <w:szCs w:val="16"/>
              </w:rPr>
              <w:t xml:space="preserve">En agosto 2021 </w:t>
            </w:r>
            <w:r w:rsidR="00507E7D" w:rsidRPr="006E6390">
              <w:rPr>
                <w:rFonts w:cs="Arial"/>
                <w:bCs/>
                <w:sz w:val="16"/>
                <w:szCs w:val="16"/>
              </w:rPr>
              <w:t>se remite el asunto al tribunal de Juicio.</w:t>
            </w:r>
          </w:p>
          <w:p w14:paraId="0780552C" w14:textId="77777777" w:rsidR="000B12D9" w:rsidRPr="006E6390" w:rsidRDefault="000B12D9" w:rsidP="002D4648">
            <w:pPr>
              <w:spacing w:after="0" w:line="240" w:lineRule="auto"/>
              <w:rPr>
                <w:rFonts w:cs="Arial"/>
                <w:bCs/>
                <w:sz w:val="16"/>
                <w:szCs w:val="16"/>
              </w:rPr>
            </w:pPr>
          </w:p>
          <w:p w14:paraId="61502A83" w14:textId="77777777" w:rsidR="000B12D9" w:rsidRPr="006E6390" w:rsidRDefault="000B12D9" w:rsidP="002D4648">
            <w:pPr>
              <w:spacing w:after="0" w:line="240" w:lineRule="auto"/>
              <w:rPr>
                <w:rFonts w:cs="Arial"/>
                <w:bCs/>
                <w:sz w:val="16"/>
                <w:szCs w:val="16"/>
              </w:rPr>
            </w:pPr>
          </w:p>
          <w:p w14:paraId="5B7BBFE6" w14:textId="77777777" w:rsidR="000B12D9" w:rsidRPr="006E6390" w:rsidRDefault="000B12D9"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357DD25E"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Indeterminado</w:t>
            </w:r>
          </w:p>
        </w:tc>
      </w:tr>
      <w:tr w:rsidR="00E4015F" w:rsidRPr="006E6390" w14:paraId="765076B6" w14:textId="77777777" w:rsidTr="00F84D55">
        <w:trPr>
          <w:trHeight w:val="83"/>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02163572"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90CFAAE"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1F9BBC1"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4A4C41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0036C44"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E5D323C"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5D1738"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655C2E" w:rsidRPr="006E6390" w14:paraId="3FB947F8" w14:textId="77777777" w:rsidTr="00F84D55">
        <w:trPr>
          <w:trHeight w:val="113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07E72D3D"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11-003973-1027-CA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ABF4038"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60F93FD" w14:textId="77777777" w:rsidR="004C65DE" w:rsidRPr="006E6390" w:rsidRDefault="004C65DE" w:rsidP="002D4648">
            <w:pPr>
              <w:spacing w:after="0" w:line="240" w:lineRule="auto"/>
              <w:jc w:val="left"/>
              <w:rPr>
                <w:rFonts w:cs="Arial"/>
                <w:bCs/>
                <w:sz w:val="16"/>
                <w:szCs w:val="16"/>
              </w:rPr>
            </w:pPr>
            <w:r w:rsidRPr="006E6390">
              <w:rPr>
                <w:rFonts w:cs="Arial"/>
                <w:bCs/>
                <w:sz w:val="16"/>
                <w:szCs w:val="16"/>
              </w:rPr>
              <w:t>Dragados Hidráulicos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EAD1D1D" w14:textId="77777777" w:rsidR="004C65DE" w:rsidRPr="006E6390" w:rsidRDefault="004C65DE" w:rsidP="002D4648">
            <w:pPr>
              <w:spacing w:after="0" w:line="240" w:lineRule="auto"/>
              <w:jc w:val="center"/>
              <w:rPr>
                <w:rFonts w:cs="Arial"/>
                <w:bCs/>
                <w:sz w:val="16"/>
                <w:szCs w:val="16"/>
              </w:rPr>
            </w:pPr>
            <w:r w:rsidRPr="006E6390">
              <w:rPr>
                <w:rFonts w:cs="Arial"/>
                <w:bCs/>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242B0F6" w14:textId="77777777" w:rsidR="004C65DE" w:rsidRPr="006E6390" w:rsidRDefault="004C65DE" w:rsidP="002D4648">
            <w:pPr>
              <w:spacing w:after="0" w:line="240" w:lineRule="auto"/>
              <w:jc w:val="right"/>
              <w:rPr>
                <w:rFonts w:cs="Arial"/>
                <w:bCs/>
                <w:sz w:val="16"/>
                <w:szCs w:val="16"/>
              </w:rPr>
            </w:pPr>
            <w:r w:rsidRPr="006E6390">
              <w:rPr>
                <w:rFonts w:cs="Arial"/>
                <w:bCs/>
                <w:sz w:val="16"/>
                <w:szCs w:val="16"/>
              </w:rPr>
              <w:t>US</w:t>
            </w:r>
            <w:r w:rsidR="007127D7">
              <w:rPr>
                <w:rFonts w:cs="Arial"/>
                <w:bCs/>
                <w:sz w:val="16"/>
                <w:szCs w:val="16"/>
              </w:rPr>
              <w:t>D</w:t>
            </w:r>
            <w:r w:rsidRPr="006E6390">
              <w:rPr>
                <w:rFonts w:cs="Arial"/>
                <w:bCs/>
                <w:sz w:val="16"/>
                <w:szCs w:val="16"/>
              </w:rPr>
              <w:t>4</w:t>
            </w:r>
            <w:r w:rsidR="007127D7">
              <w:rPr>
                <w:rFonts w:cs="Arial"/>
                <w:bCs/>
                <w:sz w:val="16"/>
                <w:szCs w:val="16"/>
              </w:rPr>
              <w:t> </w:t>
            </w:r>
            <w:r w:rsidRPr="006E6390">
              <w:rPr>
                <w:rFonts w:cs="Arial"/>
                <w:bCs/>
                <w:sz w:val="16"/>
                <w:szCs w:val="16"/>
              </w:rPr>
              <w:t>845</w:t>
            </w:r>
            <w:r w:rsidR="007127D7">
              <w:rPr>
                <w:rFonts w:cs="Arial"/>
                <w:bCs/>
                <w:sz w:val="16"/>
                <w:szCs w:val="16"/>
              </w:rPr>
              <w:t xml:space="preserve"> </w:t>
            </w:r>
            <w:r w:rsidRPr="006E6390">
              <w:rPr>
                <w:rFonts w:cs="Arial"/>
                <w:bCs/>
                <w:sz w:val="16"/>
                <w:szCs w:val="16"/>
              </w:rPr>
              <w:t>285,00</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CF40C72" w14:textId="1F6C8934" w:rsidR="005426EB" w:rsidRPr="006E6390" w:rsidRDefault="00DA340A" w:rsidP="002D4648">
            <w:pPr>
              <w:spacing w:after="0" w:line="240" w:lineRule="auto"/>
              <w:rPr>
                <w:rFonts w:cs="Arial"/>
                <w:bCs/>
                <w:sz w:val="16"/>
                <w:szCs w:val="16"/>
              </w:rPr>
            </w:pPr>
            <w:r w:rsidRPr="00DA340A">
              <w:rPr>
                <w:rFonts w:cs="Arial"/>
                <w:bCs/>
                <w:sz w:val="16"/>
                <w:szCs w:val="16"/>
              </w:rPr>
              <w:t xml:space="preserve">En sentencia No. 70-2016-VIII n del 26 de junio de 2016,  se acogió  parcialmente la demanda al actor sin especial condenatoria en costas. El 27 de julio de 2016, RECOPE  presentó un recurso de casación contra la sentencia  dictada por el Tribunal Contencioso, el cual fue declarado sin lugar. En proceso de ejecución de sentencia. a la espera de señalamiento para audiencia oral para evacuar testigos y peritos.  (Cuantía </w:t>
            </w:r>
            <w:r>
              <w:rPr>
                <w:rFonts w:cs="Arial"/>
                <w:bCs/>
                <w:sz w:val="16"/>
                <w:szCs w:val="16"/>
              </w:rPr>
              <w:t>USD</w:t>
            </w:r>
            <w:r w:rsidRPr="00DA340A">
              <w:rPr>
                <w:rFonts w:cs="Arial"/>
                <w:bCs/>
                <w:sz w:val="16"/>
                <w:szCs w:val="16"/>
              </w:rPr>
              <w:t>)</w:t>
            </w:r>
          </w:p>
          <w:p w14:paraId="798E584A" w14:textId="77777777" w:rsidR="005426EB" w:rsidRPr="006E6390" w:rsidRDefault="005426EB" w:rsidP="002D4648">
            <w:pPr>
              <w:spacing w:after="0" w:line="240" w:lineRule="auto"/>
              <w:rPr>
                <w:rFonts w:cs="Arial"/>
                <w:bCs/>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64DDF7C8" w14:textId="21D84817" w:rsidR="00DA340A" w:rsidRPr="006E6390" w:rsidRDefault="00DA340A" w:rsidP="002D4648">
            <w:pPr>
              <w:spacing w:after="0" w:line="240" w:lineRule="auto"/>
              <w:jc w:val="center"/>
              <w:rPr>
                <w:rFonts w:cs="Arial"/>
                <w:bCs/>
                <w:sz w:val="16"/>
                <w:szCs w:val="16"/>
              </w:rPr>
            </w:pPr>
          </w:p>
          <w:p w14:paraId="327798E3" w14:textId="77777777" w:rsidR="00DA340A" w:rsidRPr="008E2266" w:rsidRDefault="00DA340A" w:rsidP="00DA340A">
            <w:pPr>
              <w:spacing w:after="0" w:line="240" w:lineRule="auto"/>
              <w:jc w:val="center"/>
              <w:rPr>
                <w:rFonts w:cs="Arial"/>
                <w:color w:val="000000"/>
                <w:sz w:val="16"/>
                <w:szCs w:val="16"/>
              </w:rPr>
            </w:pPr>
            <w:r w:rsidRPr="006E6390">
              <w:rPr>
                <w:rFonts w:cs="Arial"/>
                <w:sz w:val="16"/>
                <w:szCs w:val="16"/>
              </w:rPr>
              <w:t>₡</w:t>
            </w:r>
            <w:r w:rsidRPr="008E2266">
              <w:rPr>
                <w:rFonts w:cs="Arial"/>
                <w:color w:val="000000"/>
                <w:sz w:val="16"/>
                <w:szCs w:val="16"/>
              </w:rPr>
              <w:t xml:space="preserve">2 895 736 127,40 </w:t>
            </w:r>
          </w:p>
          <w:p w14:paraId="3130FF27" w14:textId="77777777" w:rsidR="004C65DE" w:rsidRPr="006E6390" w:rsidRDefault="004C65DE" w:rsidP="002D4648">
            <w:pPr>
              <w:spacing w:after="0" w:line="240" w:lineRule="auto"/>
              <w:jc w:val="center"/>
              <w:rPr>
                <w:rFonts w:cs="Arial"/>
                <w:bCs/>
                <w:sz w:val="16"/>
                <w:szCs w:val="16"/>
              </w:rPr>
            </w:pPr>
          </w:p>
        </w:tc>
      </w:tr>
      <w:tr w:rsidR="00655C2E" w:rsidRPr="006E6390" w14:paraId="51470BEE" w14:textId="77777777" w:rsidTr="000D0D28">
        <w:trPr>
          <w:trHeight w:val="76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420AD5E7" w14:textId="77777777" w:rsidR="004C65DE" w:rsidRPr="006E6390" w:rsidRDefault="004C65DE" w:rsidP="002D4648">
            <w:pPr>
              <w:spacing w:after="0" w:line="240" w:lineRule="auto"/>
              <w:jc w:val="center"/>
              <w:rPr>
                <w:rFonts w:cs="Arial"/>
                <w:sz w:val="16"/>
                <w:szCs w:val="16"/>
              </w:rPr>
            </w:pPr>
            <w:r w:rsidRPr="006E6390">
              <w:rPr>
                <w:rFonts w:cs="Arial"/>
                <w:sz w:val="16"/>
                <w:szCs w:val="16"/>
              </w:rPr>
              <w:t>12-004905-1027-CA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4BCCC78"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9FCF15C" w14:textId="77777777" w:rsidR="004C65DE" w:rsidRPr="006E6390" w:rsidRDefault="004C65DE" w:rsidP="002D4648">
            <w:pPr>
              <w:spacing w:after="0"/>
              <w:jc w:val="left"/>
              <w:rPr>
                <w:rFonts w:cs="Arial"/>
                <w:sz w:val="16"/>
                <w:szCs w:val="16"/>
              </w:rPr>
            </w:pPr>
            <w:r w:rsidRPr="006E6390">
              <w:rPr>
                <w:rFonts w:cs="Arial"/>
                <w:sz w:val="16"/>
                <w:szCs w:val="16"/>
              </w:rPr>
              <w:t>Grupo Saret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7C42121"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A37A624" w14:textId="77777777" w:rsidR="004C65DE" w:rsidRPr="006E6390" w:rsidRDefault="004C65DE" w:rsidP="002D4648">
            <w:pPr>
              <w:spacing w:after="0"/>
              <w:jc w:val="right"/>
              <w:rPr>
                <w:rFonts w:cs="Arial"/>
                <w:sz w:val="16"/>
                <w:szCs w:val="16"/>
              </w:rPr>
            </w:pPr>
            <w:r w:rsidRPr="006E6390">
              <w:rPr>
                <w:rFonts w:cs="Arial"/>
                <w:sz w:val="16"/>
                <w:szCs w:val="16"/>
              </w:rPr>
              <w:t>Inestimable</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3ED5A91" w14:textId="77777777" w:rsidR="004C65DE" w:rsidRPr="006E6390" w:rsidRDefault="004C65DE" w:rsidP="002D4648">
            <w:pPr>
              <w:spacing w:after="0"/>
              <w:rPr>
                <w:rFonts w:cs="Arial"/>
                <w:sz w:val="16"/>
                <w:szCs w:val="16"/>
              </w:rPr>
            </w:pPr>
            <w:r w:rsidRPr="006E6390">
              <w:rPr>
                <w:rFonts w:cs="Arial"/>
                <w:sz w:val="16"/>
                <w:szCs w:val="16"/>
              </w:rPr>
              <w:t>Los peritos presentaron sus informes. Se llevó a cabo el juicio, el Tribunal pidió una prueba antes de dictar la sentencia.  En junio 2020 se notifica la sentencia a favor de RECOPE.  El actor presento recurso de casación.</w:t>
            </w:r>
          </w:p>
          <w:p w14:paraId="13B83BF4" w14:textId="77777777"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1DE0B9DD"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7BAF86B1" w14:textId="77777777" w:rsidTr="000D0D28">
        <w:trPr>
          <w:trHeight w:val="985"/>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2DA18F97" w14:textId="77777777" w:rsidR="004C65DE" w:rsidRPr="006E6390" w:rsidRDefault="004C65DE" w:rsidP="002D4648">
            <w:pPr>
              <w:spacing w:after="0"/>
              <w:jc w:val="center"/>
              <w:rPr>
                <w:rFonts w:cs="Arial"/>
                <w:sz w:val="16"/>
                <w:szCs w:val="16"/>
              </w:rPr>
            </w:pPr>
            <w:r w:rsidRPr="006E6390">
              <w:rPr>
                <w:rFonts w:cs="Arial"/>
                <w:sz w:val="16"/>
                <w:szCs w:val="16"/>
              </w:rPr>
              <w:t>14-001724-1027-CA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A0E5D70"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4235367" w14:textId="77777777" w:rsidR="004C65DE" w:rsidRPr="006E6390" w:rsidRDefault="004C65DE" w:rsidP="002D4648">
            <w:pPr>
              <w:spacing w:after="0"/>
              <w:jc w:val="left"/>
              <w:rPr>
                <w:rFonts w:cs="Arial"/>
                <w:sz w:val="16"/>
                <w:szCs w:val="16"/>
              </w:rPr>
            </w:pPr>
            <w:r w:rsidRPr="006E6390">
              <w:rPr>
                <w:rFonts w:cs="Arial"/>
                <w:sz w:val="16"/>
                <w:szCs w:val="16"/>
              </w:rPr>
              <w:t>ISIVEN</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A43555B"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42E7413" w14:textId="015256AD" w:rsidR="004C65DE" w:rsidRPr="006E6390" w:rsidRDefault="004C65DE" w:rsidP="002D4648">
            <w:pPr>
              <w:spacing w:after="0"/>
              <w:jc w:val="right"/>
              <w:rPr>
                <w:rFonts w:cs="Arial"/>
                <w:sz w:val="16"/>
                <w:szCs w:val="16"/>
              </w:rPr>
            </w:pPr>
            <w:r w:rsidRPr="006E6390">
              <w:rPr>
                <w:rFonts w:cs="Arial"/>
                <w:sz w:val="16"/>
                <w:szCs w:val="16"/>
              </w:rPr>
              <w:t>₡1</w:t>
            </w:r>
            <w:r w:rsidR="007127D7">
              <w:rPr>
                <w:rFonts w:cs="Arial"/>
                <w:sz w:val="16"/>
                <w:szCs w:val="16"/>
              </w:rPr>
              <w:t> </w:t>
            </w:r>
            <w:r w:rsidRPr="006E6390">
              <w:rPr>
                <w:rFonts w:cs="Arial"/>
                <w:sz w:val="16"/>
                <w:szCs w:val="16"/>
              </w:rPr>
              <w:t>015</w:t>
            </w:r>
            <w:r w:rsidR="007127D7">
              <w:rPr>
                <w:rFonts w:cs="Arial"/>
                <w:sz w:val="16"/>
                <w:szCs w:val="16"/>
              </w:rPr>
              <w:t> </w:t>
            </w:r>
            <w:r w:rsidRPr="006E6390">
              <w:rPr>
                <w:rFonts w:cs="Arial"/>
                <w:sz w:val="16"/>
                <w:szCs w:val="16"/>
              </w:rPr>
              <w:t>748</w:t>
            </w:r>
            <w:r w:rsidR="007127D7">
              <w:rPr>
                <w:rFonts w:cs="Arial"/>
                <w:sz w:val="16"/>
                <w:szCs w:val="16"/>
              </w:rPr>
              <w:t xml:space="preserve"> </w:t>
            </w:r>
            <w:r w:rsidRPr="006E6390">
              <w:rPr>
                <w:rFonts w:cs="Arial"/>
                <w:sz w:val="16"/>
                <w:szCs w:val="16"/>
              </w:rPr>
              <w:t>947,47</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527EBF2" w14:textId="77777777" w:rsidR="004C65DE" w:rsidRPr="006E6390" w:rsidRDefault="004C65DE" w:rsidP="002D4648">
            <w:pPr>
              <w:spacing w:after="0"/>
              <w:rPr>
                <w:rFonts w:cs="Arial"/>
                <w:sz w:val="16"/>
                <w:szCs w:val="16"/>
              </w:rPr>
            </w:pPr>
            <w:r w:rsidRPr="006E6390">
              <w:rPr>
                <w:rFonts w:cs="Arial"/>
                <w:sz w:val="16"/>
                <w:szCs w:val="16"/>
              </w:rPr>
              <w:t>En 2014 se replanteó la demanda y la cuantía. En 2016 se celebró el juicio oral y público, donde se devolvió a la etapa de trámite, para subsanación de la actora. En 2018 se contestó por RECOPE la reformulación de la demanda. Se suspendió la audiencia programada, se espera nuevo señalamiento.</w:t>
            </w:r>
          </w:p>
          <w:p w14:paraId="47938419" w14:textId="77777777"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013F7D1E"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6E190B8F" w14:textId="77777777" w:rsidTr="00F84D55">
        <w:trPr>
          <w:trHeight w:val="111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7CF273F" w14:textId="77777777" w:rsidR="004C65DE" w:rsidRPr="006E6390" w:rsidRDefault="004C65DE" w:rsidP="002D4648">
            <w:pPr>
              <w:spacing w:after="0"/>
              <w:jc w:val="center"/>
              <w:rPr>
                <w:rFonts w:cs="Arial"/>
                <w:sz w:val="16"/>
                <w:szCs w:val="16"/>
              </w:rPr>
            </w:pPr>
            <w:r w:rsidRPr="006E6390">
              <w:rPr>
                <w:rFonts w:cs="Arial"/>
                <w:sz w:val="16"/>
                <w:szCs w:val="16"/>
              </w:rPr>
              <w:t>15-008872-1027-CA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1214CF8"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5927898" w14:textId="77777777" w:rsidR="004C65DE" w:rsidRPr="006E6390" w:rsidRDefault="004C65DE" w:rsidP="002D4648">
            <w:pPr>
              <w:spacing w:after="0"/>
              <w:jc w:val="left"/>
              <w:rPr>
                <w:rFonts w:cs="Arial"/>
                <w:sz w:val="16"/>
                <w:szCs w:val="16"/>
              </w:rPr>
            </w:pPr>
            <w:r w:rsidRPr="006E6390">
              <w:rPr>
                <w:rFonts w:cs="Arial"/>
                <w:sz w:val="16"/>
                <w:szCs w:val="16"/>
              </w:rPr>
              <w:t>Gas Nacional Zeta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F294966"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DF1758B" w14:textId="4ED3E6CA" w:rsidR="004C65DE" w:rsidRPr="006E6390" w:rsidRDefault="004C65DE" w:rsidP="002D4648">
            <w:pPr>
              <w:spacing w:after="0"/>
              <w:jc w:val="right"/>
              <w:rPr>
                <w:rFonts w:cs="Arial"/>
                <w:sz w:val="16"/>
                <w:szCs w:val="16"/>
              </w:rPr>
            </w:pPr>
            <w:r w:rsidRPr="006E6390">
              <w:rPr>
                <w:rFonts w:cs="Arial"/>
                <w:sz w:val="16"/>
                <w:szCs w:val="16"/>
              </w:rPr>
              <w:t>₡828</w:t>
            </w:r>
            <w:r w:rsidR="007127D7">
              <w:rPr>
                <w:rFonts w:cs="Arial"/>
                <w:sz w:val="16"/>
                <w:szCs w:val="16"/>
              </w:rPr>
              <w:t> </w:t>
            </w:r>
            <w:r w:rsidRPr="006E6390">
              <w:rPr>
                <w:rFonts w:cs="Arial"/>
                <w:sz w:val="16"/>
                <w:szCs w:val="16"/>
              </w:rPr>
              <w:t>210</w:t>
            </w:r>
            <w:r w:rsidR="007127D7">
              <w:rPr>
                <w:rFonts w:cs="Arial"/>
                <w:sz w:val="16"/>
                <w:szCs w:val="16"/>
              </w:rPr>
              <w:t xml:space="preserve"> </w:t>
            </w:r>
            <w:r w:rsidRPr="006E6390">
              <w:rPr>
                <w:rFonts w:cs="Arial"/>
                <w:sz w:val="16"/>
                <w:szCs w:val="16"/>
              </w:rPr>
              <w:t>770,05</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33724C4" w14:textId="3249B936" w:rsidR="004C65DE" w:rsidRPr="006E6390" w:rsidRDefault="004C65DE" w:rsidP="002D4648">
            <w:pPr>
              <w:spacing w:after="0"/>
              <w:rPr>
                <w:rFonts w:cs="Arial"/>
                <w:sz w:val="16"/>
                <w:szCs w:val="16"/>
              </w:rPr>
            </w:pPr>
            <w:r w:rsidRPr="006E6390">
              <w:rPr>
                <w:rFonts w:cs="Arial"/>
                <w:sz w:val="16"/>
                <w:szCs w:val="16"/>
              </w:rPr>
              <w:t>Rechazo de dos medidas cautelares interpuestas, se contestó negativamente la demanda, se celebró la audiencia preliminar en 2016. Se dictó sentencia favorable para RECOPE en enero 2018, RECOPE presentó recurso casación por exoneración de costas a favor de la demandada. Se espera la resolución</w:t>
            </w:r>
            <w:r w:rsidR="008F0E63">
              <w:rPr>
                <w:rFonts w:cs="Arial"/>
                <w:sz w:val="16"/>
                <w:szCs w:val="16"/>
              </w:rPr>
              <w:t xml:space="preserve"> de la Sala Primera de la Corte Suprema.</w:t>
            </w:r>
          </w:p>
          <w:p w14:paraId="258A7A27" w14:textId="77777777"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C7CE2E3" w14:textId="77777777" w:rsidR="004C65DE" w:rsidRPr="006E6390" w:rsidRDefault="004C65DE" w:rsidP="002D4648">
            <w:pPr>
              <w:spacing w:after="0"/>
              <w:jc w:val="center"/>
              <w:rPr>
                <w:rFonts w:cs="Arial"/>
                <w:sz w:val="16"/>
                <w:szCs w:val="16"/>
              </w:rPr>
            </w:pPr>
            <w:r w:rsidRPr="006E6390">
              <w:rPr>
                <w:rFonts w:cs="Arial"/>
                <w:sz w:val="16"/>
                <w:szCs w:val="16"/>
              </w:rPr>
              <w:t>Favorable</w:t>
            </w:r>
          </w:p>
        </w:tc>
      </w:tr>
      <w:tr w:rsidR="00655C2E" w:rsidRPr="006E6390" w14:paraId="5255959B" w14:textId="77777777" w:rsidTr="00F84D55">
        <w:trPr>
          <w:trHeight w:val="12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1DD58C5" w14:textId="77777777" w:rsidR="004C65DE" w:rsidRPr="006E6390" w:rsidRDefault="004C65DE" w:rsidP="002D4648">
            <w:pPr>
              <w:spacing w:after="0" w:line="240" w:lineRule="auto"/>
              <w:jc w:val="center"/>
              <w:rPr>
                <w:rFonts w:cs="Arial"/>
                <w:sz w:val="16"/>
                <w:szCs w:val="16"/>
              </w:rPr>
            </w:pPr>
            <w:r w:rsidRPr="006E6390">
              <w:rPr>
                <w:rFonts w:cs="Arial"/>
                <w:sz w:val="16"/>
                <w:szCs w:val="16"/>
              </w:rPr>
              <w:t>16-000072-1027-CA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3A36618"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E90691C" w14:textId="77777777" w:rsidR="004C65DE" w:rsidRPr="006E6390" w:rsidRDefault="004C65DE" w:rsidP="002D4648">
            <w:pPr>
              <w:spacing w:after="0"/>
              <w:jc w:val="left"/>
              <w:rPr>
                <w:rFonts w:cs="Arial"/>
                <w:sz w:val="16"/>
                <w:szCs w:val="16"/>
              </w:rPr>
            </w:pPr>
            <w:r w:rsidRPr="006E6390">
              <w:rPr>
                <w:rFonts w:cs="Arial"/>
                <w:sz w:val="16"/>
                <w:szCs w:val="16"/>
              </w:rPr>
              <w:t>Alonso Chaves Fernández</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51D081A"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5CC985F" w14:textId="51532C26" w:rsidR="004C65DE" w:rsidRPr="006E6390" w:rsidRDefault="004C65DE" w:rsidP="002D4648">
            <w:pPr>
              <w:spacing w:after="0"/>
              <w:jc w:val="right"/>
              <w:rPr>
                <w:rFonts w:cs="Arial"/>
                <w:sz w:val="16"/>
                <w:szCs w:val="16"/>
              </w:rPr>
            </w:pPr>
            <w:r w:rsidRPr="006E6390">
              <w:rPr>
                <w:rFonts w:cs="Arial"/>
                <w:sz w:val="16"/>
                <w:szCs w:val="16"/>
              </w:rPr>
              <w:t xml:space="preserve"> ₡2</w:t>
            </w:r>
            <w:r w:rsidR="007127D7">
              <w:rPr>
                <w:rFonts w:cs="Arial"/>
                <w:sz w:val="16"/>
                <w:szCs w:val="16"/>
              </w:rPr>
              <w:t> </w:t>
            </w:r>
            <w:r w:rsidRPr="006E6390">
              <w:rPr>
                <w:rFonts w:cs="Arial"/>
                <w:sz w:val="16"/>
                <w:szCs w:val="16"/>
              </w:rPr>
              <w:t>011</w:t>
            </w:r>
            <w:r w:rsidR="007127D7">
              <w:rPr>
                <w:rFonts w:cs="Arial"/>
                <w:sz w:val="16"/>
                <w:szCs w:val="16"/>
              </w:rPr>
              <w:t> </w:t>
            </w:r>
            <w:r w:rsidRPr="006E6390">
              <w:rPr>
                <w:rFonts w:cs="Arial"/>
                <w:sz w:val="16"/>
                <w:szCs w:val="16"/>
              </w:rPr>
              <w:t>252</w:t>
            </w:r>
            <w:r w:rsidR="007127D7">
              <w:rPr>
                <w:rFonts w:cs="Arial"/>
                <w:sz w:val="16"/>
                <w:szCs w:val="16"/>
              </w:rPr>
              <w:t xml:space="preserve"> </w:t>
            </w:r>
            <w:r w:rsidRPr="006E6390">
              <w:rPr>
                <w:rFonts w:cs="Arial"/>
                <w:sz w:val="16"/>
                <w:szCs w:val="16"/>
              </w:rPr>
              <w:t xml:space="preserve">500,00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EBF79F2" w14:textId="0BEF3360" w:rsidR="005426EB" w:rsidRPr="006E6390" w:rsidRDefault="004C65DE" w:rsidP="009E6023">
            <w:pPr>
              <w:spacing w:after="0"/>
              <w:rPr>
                <w:rFonts w:cs="Arial"/>
                <w:sz w:val="16"/>
                <w:szCs w:val="16"/>
              </w:rPr>
            </w:pPr>
            <w:r w:rsidRPr="006E6390">
              <w:rPr>
                <w:rFonts w:cs="Arial"/>
                <w:sz w:val="16"/>
                <w:szCs w:val="16"/>
              </w:rPr>
              <w:t>En 2016 se contestó la demanda y en 2017 se llevó a cabo audiencia preliminar. Mediante sentencia N°01-2020-VIII, se rechazó la demanda en todos sus extremos y se condena al actor al pago de ambas costas. En enero 2020 el actor presenta recurso de casación.</w:t>
            </w:r>
            <w:r w:rsidR="00315180">
              <w:rPr>
                <w:rFonts w:cs="Arial"/>
                <w:sz w:val="16"/>
                <w:szCs w:val="16"/>
              </w:rPr>
              <w:t xml:space="preserve">  </w:t>
            </w:r>
            <w:r w:rsidRPr="006E6390">
              <w:rPr>
                <w:rFonts w:cs="Arial"/>
                <w:sz w:val="16"/>
                <w:szCs w:val="16"/>
              </w:rPr>
              <w:t xml:space="preserve">En febrero 2020 se presentó ante el Tribunal Contencioso la liquidación de costas personales y procesales pertinentes. </w:t>
            </w:r>
            <w:r w:rsidR="00054439" w:rsidRPr="006E6390">
              <w:rPr>
                <w:rFonts w:cs="Arial"/>
                <w:sz w:val="16"/>
                <w:szCs w:val="16"/>
              </w:rPr>
              <w:t>Se está a la espera de que se resuelva el recurso de casación planteado.</w:t>
            </w:r>
            <w:r w:rsidR="009E6023">
              <w:rPr>
                <w:rFonts w:cs="Arial"/>
                <w:sz w:val="16"/>
                <w:szCs w:val="16"/>
              </w:rPr>
              <w:t xml:space="preserve">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2B62FD3"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4026B223" w14:textId="77777777" w:rsidTr="00F84D55">
        <w:trPr>
          <w:trHeight w:val="69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8594123" w14:textId="77777777" w:rsidR="004C65DE" w:rsidRPr="006E6390" w:rsidRDefault="004C65DE" w:rsidP="002D4648">
            <w:pPr>
              <w:spacing w:after="0"/>
              <w:jc w:val="center"/>
              <w:rPr>
                <w:rFonts w:cs="Arial"/>
                <w:sz w:val="16"/>
                <w:szCs w:val="16"/>
              </w:rPr>
            </w:pPr>
            <w:r w:rsidRPr="006E6390">
              <w:rPr>
                <w:rFonts w:cs="Arial"/>
                <w:sz w:val="16"/>
                <w:szCs w:val="16"/>
              </w:rPr>
              <w:t>16-001484-1027-CA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324AFC9"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1788437" w14:textId="77777777" w:rsidR="004C65DE" w:rsidRPr="006E6390" w:rsidRDefault="004C65DE" w:rsidP="002D4648">
            <w:pPr>
              <w:spacing w:after="0"/>
              <w:jc w:val="left"/>
              <w:rPr>
                <w:rFonts w:cs="Arial"/>
                <w:sz w:val="16"/>
                <w:szCs w:val="16"/>
              </w:rPr>
            </w:pPr>
            <w:r w:rsidRPr="006E6390">
              <w:rPr>
                <w:rFonts w:cs="Arial"/>
                <w:sz w:val="16"/>
                <w:szCs w:val="16"/>
              </w:rPr>
              <w:t>Josefina Sibaja Batista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77515C9"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1D197C2" w14:textId="72929721" w:rsidR="004C65DE" w:rsidRPr="006E6390" w:rsidRDefault="004C65DE" w:rsidP="002D4648">
            <w:pPr>
              <w:spacing w:after="0"/>
              <w:jc w:val="right"/>
              <w:rPr>
                <w:rFonts w:cs="Arial"/>
                <w:sz w:val="16"/>
                <w:szCs w:val="16"/>
              </w:rPr>
            </w:pPr>
            <w:r w:rsidRPr="006E6390">
              <w:rPr>
                <w:rFonts w:cs="Arial"/>
                <w:sz w:val="16"/>
                <w:szCs w:val="16"/>
              </w:rPr>
              <w:t xml:space="preserve"> ₡300</w:t>
            </w:r>
            <w:r w:rsidR="007127D7">
              <w:rPr>
                <w:rFonts w:cs="Arial"/>
                <w:sz w:val="16"/>
                <w:szCs w:val="16"/>
              </w:rPr>
              <w:t> </w:t>
            </w:r>
            <w:r w:rsidRPr="006E6390">
              <w:rPr>
                <w:rFonts w:cs="Arial"/>
                <w:sz w:val="16"/>
                <w:szCs w:val="16"/>
              </w:rPr>
              <w:t>000</w:t>
            </w:r>
            <w:r w:rsidR="007127D7">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0B7E238" w14:textId="77777777" w:rsidR="004C65DE" w:rsidRPr="006E6390" w:rsidRDefault="004C65DE" w:rsidP="002D4648">
            <w:pPr>
              <w:spacing w:after="0"/>
              <w:rPr>
                <w:rFonts w:cs="Arial"/>
                <w:sz w:val="16"/>
                <w:szCs w:val="16"/>
              </w:rPr>
            </w:pPr>
            <w:r w:rsidRPr="006E6390">
              <w:rPr>
                <w:rFonts w:cs="Arial"/>
                <w:sz w:val="16"/>
                <w:szCs w:val="16"/>
              </w:rPr>
              <w:t>Se suspendió la audiencia de juicio en 2018, se acogió la solicitud de la actora de valoración en Medicatura Forense. A la espera de que se fije fecha de audiencia. </w:t>
            </w:r>
            <w:r w:rsidR="00054439" w:rsidRPr="006E6390">
              <w:rPr>
                <w:rFonts w:cs="Arial"/>
                <w:sz w:val="16"/>
                <w:szCs w:val="16"/>
              </w:rPr>
              <w:t>Se celebró la audiencia de juicio el 8 de diciembre de 2021. Se rindieron conclusiones por escrito el 16 de diciembre de 2021. A la espera del dictado de sentencia.</w:t>
            </w:r>
          </w:p>
          <w:p w14:paraId="137A16F7" w14:textId="77777777" w:rsidR="00402900" w:rsidRDefault="00402900" w:rsidP="002D4648">
            <w:pPr>
              <w:spacing w:after="0"/>
              <w:rPr>
                <w:rFonts w:cs="Arial"/>
                <w:sz w:val="16"/>
                <w:szCs w:val="16"/>
              </w:rPr>
            </w:pPr>
          </w:p>
          <w:p w14:paraId="4DCFB4E8" w14:textId="77777777" w:rsidR="00402900" w:rsidRDefault="00402900" w:rsidP="002D4648">
            <w:pPr>
              <w:spacing w:after="0"/>
              <w:rPr>
                <w:rFonts w:cs="Arial"/>
                <w:sz w:val="16"/>
                <w:szCs w:val="16"/>
              </w:rPr>
            </w:pPr>
          </w:p>
          <w:p w14:paraId="345C0472" w14:textId="77777777" w:rsidR="00402900" w:rsidRDefault="00402900" w:rsidP="002D4648">
            <w:pPr>
              <w:spacing w:after="0"/>
              <w:rPr>
                <w:rFonts w:cs="Arial"/>
                <w:sz w:val="16"/>
                <w:szCs w:val="16"/>
              </w:rPr>
            </w:pPr>
          </w:p>
          <w:p w14:paraId="49234CED" w14:textId="77777777" w:rsidR="00402900" w:rsidRPr="006E6390" w:rsidRDefault="00402900" w:rsidP="002D4648">
            <w:pPr>
              <w:spacing w:after="0"/>
              <w:rPr>
                <w:rFonts w:cs="Arial"/>
                <w:sz w:val="16"/>
                <w:szCs w:val="16"/>
              </w:rPr>
            </w:pPr>
          </w:p>
          <w:p w14:paraId="6D269771" w14:textId="77777777" w:rsidR="005426EB" w:rsidRPr="006E6390" w:rsidRDefault="005426EB" w:rsidP="002D4648">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C8CC9CD"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E4015F" w:rsidRPr="006E6390" w14:paraId="7DC47647" w14:textId="77777777" w:rsidTr="00F84D55">
        <w:trPr>
          <w:trHeight w:val="5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278CBB8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D025F6A"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F1342A5"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0F08550"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63731F2"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E83C943"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CCD99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655C2E" w:rsidRPr="006E6390" w14:paraId="491DBA29" w14:textId="77777777" w:rsidTr="00F84D55">
        <w:trPr>
          <w:trHeight w:val="139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4FA8EE1" w14:textId="77777777" w:rsidR="004C65DE" w:rsidRPr="006E6390" w:rsidRDefault="004C65DE" w:rsidP="002D4648">
            <w:pPr>
              <w:spacing w:after="0"/>
              <w:jc w:val="center"/>
              <w:rPr>
                <w:rFonts w:cs="Arial"/>
                <w:sz w:val="16"/>
                <w:szCs w:val="16"/>
              </w:rPr>
            </w:pPr>
            <w:r w:rsidRPr="006E6390">
              <w:rPr>
                <w:rFonts w:cs="Arial"/>
                <w:sz w:val="16"/>
                <w:szCs w:val="16"/>
              </w:rPr>
              <w:t>16-001840-1027-CA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B484F24"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010E63B" w14:textId="77777777" w:rsidR="004C65DE" w:rsidRPr="006E6390" w:rsidRDefault="004C65DE" w:rsidP="002D4648">
            <w:pPr>
              <w:spacing w:after="0"/>
              <w:jc w:val="left"/>
              <w:rPr>
                <w:rFonts w:cs="Arial"/>
                <w:sz w:val="16"/>
                <w:szCs w:val="16"/>
              </w:rPr>
            </w:pPr>
            <w:r w:rsidRPr="006E6390">
              <w:rPr>
                <w:rFonts w:cs="Arial"/>
                <w:sz w:val="16"/>
                <w:szCs w:val="16"/>
              </w:rPr>
              <w:t>Saret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35D2A39"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8297670"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9B1AD8E" w14:textId="000A9F8B" w:rsidR="004C65DE" w:rsidRPr="006E6390" w:rsidRDefault="004C65DE" w:rsidP="002D4648">
            <w:pPr>
              <w:spacing w:after="0"/>
              <w:rPr>
                <w:rFonts w:cs="Arial"/>
                <w:sz w:val="16"/>
                <w:szCs w:val="16"/>
              </w:rPr>
            </w:pPr>
            <w:r w:rsidRPr="006E6390">
              <w:rPr>
                <w:rFonts w:cs="Arial"/>
                <w:sz w:val="16"/>
                <w:szCs w:val="16"/>
              </w:rPr>
              <w:t xml:space="preserve">La audiencia preliminar se celebró 2017. En 2018 se llevó a cabo audiencia de juicio. Sentencia N°039-2018-I, rechaza la demanda y condena al actor al pago de ambas costas. En 2018 se presentó liquidación de costas. </w:t>
            </w:r>
            <w:r w:rsidR="00B271F8">
              <w:rPr>
                <w:rFonts w:cs="Arial"/>
                <w:sz w:val="16"/>
                <w:szCs w:val="16"/>
              </w:rPr>
              <w:t xml:space="preserve"> </w:t>
            </w:r>
            <w:r w:rsidRPr="006E6390">
              <w:rPr>
                <w:rFonts w:cs="Arial"/>
                <w:sz w:val="16"/>
                <w:szCs w:val="16"/>
              </w:rPr>
              <w:t>En 2019, se codena embargos bancarios contra SARET. En 2021 se solicitó ordenar al Banco de Costa Rica, embargar los valores de comercio o cualquier objeto de valor que se encuentren en la caja de seguridad.</w:t>
            </w:r>
            <w:r w:rsidR="00CF7F8F" w:rsidRPr="006E6390">
              <w:t xml:space="preserve"> </w:t>
            </w:r>
            <w:r w:rsidR="00B271F8">
              <w:t xml:space="preserve"> </w:t>
            </w:r>
            <w:r w:rsidR="00CF7F8F" w:rsidRPr="006E6390">
              <w:rPr>
                <w:rFonts w:cs="Arial"/>
                <w:sz w:val="16"/>
                <w:szCs w:val="16"/>
              </w:rPr>
              <w:t>Mediante resolución de las nueve horas once minutos del treinta de noviembre de dos mil veintiuno el despacho giró a la cuenta de costas de RECOPE la suma de: (</w:t>
            </w:r>
            <w:r w:rsidR="00402900" w:rsidRPr="006E6390">
              <w:rPr>
                <w:rFonts w:cs="Arial"/>
                <w:sz w:val="16"/>
                <w:szCs w:val="16"/>
              </w:rPr>
              <w:t>₡</w:t>
            </w:r>
            <w:r w:rsidR="00CF7F8F" w:rsidRPr="006E6390">
              <w:rPr>
                <w:rFonts w:cs="Arial"/>
                <w:sz w:val="16"/>
                <w:szCs w:val="16"/>
              </w:rPr>
              <w:t>628</w:t>
            </w:r>
            <w:r w:rsidR="00B271F8">
              <w:rPr>
                <w:rFonts w:cs="Arial"/>
                <w:sz w:val="16"/>
                <w:szCs w:val="16"/>
              </w:rPr>
              <w:t xml:space="preserve"> </w:t>
            </w:r>
            <w:r w:rsidR="00CF7F8F" w:rsidRPr="006E6390">
              <w:rPr>
                <w:rFonts w:cs="Arial"/>
                <w:sz w:val="16"/>
                <w:szCs w:val="16"/>
              </w:rPr>
              <w:t>816,64).</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605C1EFD" w14:textId="77777777" w:rsidR="004C65DE" w:rsidRPr="006E6390" w:rsidRDefault="004C65DE" w:rsidP="002D4648">
            <w:pPr>
              <w:spacing w:after="0"/>
              <w:jc w:val="center"/>
              <w:rPr>
                <w:rFonts w:cs="Arial"/>
                <w:sz w:val="16"/>
                <w:szCs w:val="16"/>
              </w:rPr>
            </w:pPr>
            <w:r w:rsidRPr="006E6390">
              <w:rPr>
                <w:rFonts w:cs="Arial"/>
                <w:sz w:val="16"/>
                <w:szCs w:val="16"/>
              </w:rPr>
              <w:t>Favorable</w:t>
            </w:r>
          </w:p>
        </w:tc>
      </w:tr>
      <w:tr w:rsidR="00655C2E" w:rsidRPr="006E6390" w14:paraId="0C251BE7" w14:textId="77777777" w:rsidTr="00F84D55">
        <w:trPr>
          <w:trHeight w:val="989"/>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47B801A" w14:textId="77777777" w:rsidR="004C65DE" w:rsidRPr="006E6390" w:rsidRDefault="004C65DE" w:rsidP="002D4648">
            <w:pPr>
              <w:spacing w:after="0" w:line="240" w:lineRule="auto"/>
              <w:jc w:val="center"/>
              <w:rPr>
                <w:rFonts w:cs="Arial"/>
                <w:sz w:val="16"/>
                <w:szCs w:val="16"/>
              </w:rPr>
            </w:pPr>
            <w:r w:rsidRPr="006E6390">
              <w:rPr>
                <w:rFonts w:cs="Arial"/>
                <w:sz w:val="16"/>
                <w:szCs w:val="16"/>
              </w:rPr>
              <w:t>16-002001-1027-CA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0EE2AAD"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BE828C2" w14:textId="77777777" w:rsidR="004C65DE" w:rsidRPr="006E6390" w:rsidRDefault="004C65DE" w:rsidP="002D4648">
            <w:pPr>
              <w:spacing w:after="0"/>
              <w:jc w:val="left"/>
              <w:rPr>
                <w:rFonts w:cs="Arial"/>
                <w:sz w:val="16"/>
                <w:szCs w:val="16"/>
              </w:rPr>
            </w:pPr>
            <w:r w:rsidRPr="006E6390">
              <w:rPr>
                <w:rFonts w:cs="Arial"/>
                <w:sz w:val="16"/>
                <w:szCs w:val="16"/>
              </w:rPr>
              <w:t>Mario E. Corrales Tames</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4706243"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6765843" w14:textId="32975371" w:rsidR="004C65DE" w:rsidRPr="006E6390" w:rsidRDefault="004C65DE" w:rsidP="002D4648">
            <w:pPr>
              <w:spacing w:after="0"/>
              <w:jc w:val="right"/>
              <w:rPr>
                <w:rFonts w:cs="Arial"/>
                <w:sz w:val="16"/>
                <w:szCs w:val="16"/>
              </w:rPr>
            </w:pPr>
            <w:r w:rsidRPr="006E6390">
              <w:rPr>
                <w:rFonts w:cs="Arial"/>
                <w:sz w:val="16"/>
                <w:szCs w:val="16"/>
              </w:rPr>
              <w:t xml:space="preserve"> ₡300</w:t>
            </w:r>
            <w:r w:rsidR="00B271F8">
              <w:rPr>
                <w:rFonts w:cs="Arial"/>
                <w:sz w:val="16"/>
                <w:szCs w:val="16"/>
              </w:rPr>
              <w:t> </w:t>
            </w:r>
            <w:r w:rsidRPr="006E6390">
              <w:rPr>
                <w:rFonts w:cs="Arial"/>
                <w:sz w:val="16"/>
                <w:szCs w:val="16"/>
              </w:rPr>
              <w:t>000</w:t>
            </w:r>
            <w:r w:rsidR="00B271F8">
              <w:rPr>
                <w:rFonts w:cs="Arial"/>
                <w:sz w:val="16"/>
                <w:szCs w:val="16"/>
              </w:rPr>
              <w:t xml:space="preserve"> </w:t>
            </w:r>
            <w:r w:rsidRPr="006E6390">
              <w:rPr>
                <w:rFonts w:cs="Arial"/>
                <w:sz w:val="16"/>
                <w:szCs w:val="16"/>
              </w:rPr>
              <w:t xml:space="preserve">000,00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524FDD2" w14:textId="77777777" w:rsidR="004C65DE" w:rsidRPr="006E6390" w:rsidRDefault="004C65DE" w:rsidP="002D4648">
            <w:pPr>
              <w:spacing w:after="0"/>
              <w:rPr>
                <w:rFonts w:cs="Arial"/>
                <w:sz w:val="16"/>
                <w:szCs w:val="16"/>
              </w:rPr>
            </w:pPr>
            <w:r w:rsidRPr="006E6390">
              <w:rPr>
                <w:rFonts w:cs="Arial"/>
                <w:sz w:val="16"/>
                <w:szCs w:val="16"/>
              </w:rPr>
              <w:t>Se contestó negativamente la medida cautelar y la demanda.  Se celebró audiencia preliminar en 2018, se aprobó realizar una pericia médica legal al actor, el cual fue recibido</w:t>
            </w:r>
            <w:r w:rsidR="00CF3260" w:rsidRPr="006E6390">
              <w:rPr>
                <w:rFonts w:cs="Arial"/>
                <w:sz w:val="16"/>
                <w:szCs w:val="16"/>
              </w:rPr>
              <w:t>. Se dictó la sentencia favorable para RECOPE No.16-2021-IX el 11 de agosto de 2021, se presentó recurso de casación por parte del Actor.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72A4850"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34205F8A" w14:textId="77777777" w:rsidTr="00F84D55">
        <w:trPr>
          <w:trHeight w:val="83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06AC238B" w14:textId="77777777" w:rsidR="004C65DE" w:rsidRPr="006E6390" w:rsidRDefault="004C65DE" w:rsidP="002D4648">
            <w:pPr>
              <w:spacing w:after="0"/>
              <w:jc w:val="center"/>
              <w:rPr>
                <w:rFonts w:cs="Arial"/>
                <w:sz w:val="16"/>
                <w:szCs w:val="16"/>
              </w:rPr>
            </w:pPr>
            <w:r w:rsidRPr="006E6390">
              <w:rPr>
                <w:rFonts w:cs="Arial"/>
                <w:sz w:val="16"/>
                <w:szCs w:val="16"/>
              </w:rPr>
              <w:t>16-007159-1027-CA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4DC4EEF"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2CCEC95" w14:textId="77777777" w:rsidR="004C65DE" w:rsidRPr="006E6390" w:rsidRDefault="004C65DE" w:rsidP="002D4648">
            <w:pPr>
              <w:spacing w:after="0"/>
              <w:jc w:val="left"/>
              <w:rPr>
                <w:rFonts w:cs="Arial"/>
                <w:sz w:val="16"/>
                <w:szCs w:val="16"/>
              </w:rPr>
            </w:pPr>
            <w:r w:rsidRPr="006E6390">
              <w:rPr>
                <w:rFonts w:cs="Arial"/>
                <w:sz w:val="16"/>
                <w:szCs w:val="16"/>
              </w:rPr>
              <w:t>Alonso González Hernández</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A9CEE16"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166B9A8"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CED1893" w14:textId="77777777" w:rsidR="004C65DE" w:rsidRPr="006E6390" w:rsidRDefault="004C65DE" w:rsidP="002D4648">
            <w:pPr>
              <w:spacing w:after="0"/>
              <w:rPr>
                <w:rFonts w:cs="Arial"/>
                <w:sz w:val="16"/>
                <w:szCs w:val="16"/>
              </w:rPr>
            </w:pPr>
            <w:r w:rsidRPr="006E6390">
              <w:rPr>
                <w:rFonts w:cs="Arial"/>
                <w:sz w:val="16"/>
                <w:szCs w:val="16"/>
              </w:rPr>
              <w:t>En 2018 se contestó el traslado de la demanda. Sentencia N°719-2020 declaró sin lugar la demanda y condenó al pago de 150</w:t>
            </w:r>
            <w:r w:rsidR="00B271F8">
              <w:rPr>
                <w:rFonts w:cs="Arial"/>
                <w:sz w:val="16"/>
                <w:szCs w:val="16"/>
              </w:rPr>
              <w:t xml:space="preserve"> </w:t>
            </w:r>
            <w:r w:rsidRPr="006E6390">
              <w:rPr>
                <w:rFonts w:cs="Arial"/>
                <w:sz w:val="16"/>
                <w:szCs w:val="16"/>
              </w:rPr>
              <w:t xml:space="preserve">000 de costas. En 2020 se notificó al actor la sentencia y el actor presentó recurso de casación. </w:t>
            </w:r>
            <w:r w:rsidR="004B14A5" w:rsidRPr="006E6390">
              <w:rPr>
                <w:rFonts w:cs="Arial"/>
                <w:sz w:val="16"/>
                <w:szCs w:val="16"/>
              </w:rPr>
              <w:t>En espera de sentencia de la Sala II.</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2ED4C899"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572C8435" w14:textId="77777777" w:rsidTr="00F84D55">
        <w:trPr>
          <w:trHeight w:val="84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8FDEF52" w14:textId="77777777" w:rsidR="004C65DE" w:rsidRPr="006E6390" w:rsidRDefault="004C65DE" w:rsidP="002D4648">
            <w:pPr>
              <w:spacing w:after="0"/>
              <w:jc w:val="center"/>
              <w:rPr>
                <w:rFonts w:cs="Arial"/>
                <w:sz w:val="16"/>
                <w:szCs w:val="16"/>
              </w:rPr>
            </w:pPr>
            <w:r w:rsidRPr="006E6390">
              <w:rPr>
                <w:rFonts w:cs="Arial"/>
                <w:sz w:val="16"/>
                <w:szCs w:val="16"/>
              </w:rPr>
              <w:t>17-008742-1027-CA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0D313DA"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CAD5DB9" w14:textId="77777777" w:rsidR="004C65DE" w:rsidRPr="006E6390" w:rsidRDefault="004C65DE" w:rsidP="002D4648">
            <w:pPr>
              <w:spacing w:after="0"/>
              <w:jc w:val="left"/>
              <w:rPr>
                <w:rFonts w:cs="Arial"/>
                <w:sz w:val="16"/>
                <w:szCs w:val="16"/>
              </w:rPr>
            </w:pPr>
            <w:r w:rsidRPr="006E6390">
              <w:rPr>
                <w:rFonts w:cs="Arial"/>
                <w:sz w:val="16"/>
                <w:szCs w:val="16"/>
              </w:rPr>
              <w:t>ISIVEN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1F15FA6"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3EF03D3" w14:textId="77777777" w:rsidR="004C65DE" w:rsidRPr="006E6390" w:rsidRDefault="004C65DE" w:rsidP="002D4648">
            <w:pPr>
              <w:spacing w:after="0"/>
              <w:jc w:val="right"/>
              <w:rPr>
                <w:rFonts w:cs="Arial"/>
                <w:sz w:val="16"/>
                <w:szCs w:val="16"/>
              </w:rPr>
            </w:pPr>
            <w:r w:rsidRPr="006E6390">
              <w:rPr>
                <w:rFonts w:cs="Arial"/>
                <w:sz w:val="16"/>
                <w:szCs w:val="16"/>
              </w:rPr>
              <w:t xml:space="preserve"> US</w:t>
            </w:r>
            <w:r w:rsidR="007127D7">
              <w:rPr>
                <w:rFonts w:cs="Arial"/>
                <w:sz w:val="16"/>
                <w:szCs w:val="16"/>
              </w:rPr>
              <w:t>D</w:t>
            </w:r>
            <w:r w:rsidRPr="006E6390">
              <w:rPr>
                <w:rFonts w:cs="Arial"/>
                <w:sz w:val="16"/>
                <w:szCs w:val="16"/>
              </w:rPr>
              <w:t xml:space="preserve"> 3</w:t>
            </w:r>
            <w:r w:rsidR="007127D7">
              <w:rPr>
                <w:rFonts w:cs="Arial"/>
                <w:sz w:val="16"/>
                <w:szCs w:val="16"/>
              </w:rPr>
              <w:t> </w:t>
            </w:r>
            <w:r w:rsidRPr="006E6390">
              <w:rPr>
                <w:rFonts w:cs="Arial"/>
                <w:sz w:val="16"/>
                <w:szCs w:val="16"/>
              </w:rPr>
              <w:t>825</w:t>
            </w:r>
            <w:r w:rsidR="007127D7">
              <w:rPr>
                <w:rFonts w:cs="Arial"/>
                <w:sz w:val="16"/>
                <w:szCs w:val="16"/>
              </w:rPr>
              <w:t xml:space="preserve"> </w:t>
            </w:r>
            <w:r w:rsidRPr="006E6390">
              <w:rPr>
                <w:rFonts w:cs="Arial"/>
                <w:sz w:val="16"/>
                <w:szCs w:val="16"/>
              </w:rPr>
              <w:t xml:space="preserve">791,44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372890D" w14:textId="77777777" w:rsidR="004C65DE" w:rsidRPr="006E6390" w:rsidRDefault="004C65DE" w:rsidP="002D4648">
            <w:pPr>
              <w:spacing w:after="0"/>
              <w:rPr>
                <w:rFonts w:cs="Arial"/>
                <w:sz w:val="16"/>
                <w:szCs w:val="16"/>
              </w:rPr>
            </w:pPr>
            <w:r w:rsidRPr="006E6390">
              <w:rPr>
                <w:rFonts w:cs="Arial"/>
                <w:sz w:val="16"/>
                <w:szCs w:val="16"/>
              </w:rPr>
              <w:t>En 2017 se contestó la demanda y se celebró audiencia preliminar. En 2020 se solicitó la caducidad del proceso y el despacho rechaza la solicitud de caducidad planteada. El despacho señaló audiencia de juicio para abril 2022.</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C008891" w14:textId="7268D584" w:rsidR="001F5BFB" w:rsidRPr="008E2266" w:rsidRDefault="001F5BFB" w:rsidP="008E2266">
            <w:pPr>
              <w:spacing w:after="0"/>
              <w:jc w:val="center"/>
              <w:rPr>
                <w:rFonts w:cs="Arial"/>
                <w:sz w:val="16"/>
                <w:szCs w:val="16"/>
              </w:rPr>
            </w:pPr>
            <w:r w:rsidRPr="006E6390">
              <w:rPr>
                <w:rFonts w:cs="Arial"/>
                <w:sz w:val="16"/>
                <w:szCs w:val="16"/>
              </w:rPr>
              <w:t>₡</w:t>
            </w:r>
            <w:r w:rsidRPr="008E2266">
              <w:rPr>
                <w:rFonts w:cs="Arial"/>
                <w:color w:val="000000"/>
                <w:sz w:val="16"/>
                <w:szCs w:val="16"/>
              </w:rPr>
              <w:t>2 286 445 996,20</w:t>
            </w:r>
          </w:p>
          <w:p w14:paraId="3B842281" w14:textId="3AD40AA9" w:rsidR="004C65DE" w:rsidRPr="006E6390" w:rsidRDefault="004C65DE" w:rsidP="002D4648">
            <w:pPr>
              <w:spacing w:after="0"/>
              <w:jc w:val="center"/>
              <w:rPr>
                <w:rFonts w:cs="Arial"/>
                <w:sz w:val="16"/>
                <w:szCs w:val="16"/>
              </w:rPr>
            </w:pPr>
          </w:p>
        </w:tc>
      </w:tr>
      <w:tr w:rsidR="00655C2E" w:rsidRPr="006E6390" w14:paraId="4DC2757C" w14:textId="77777777" w:rsidTr="00F84D55">
        <w:trPr>
          <w:trHeight w:val="84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61D8BAD2" w14:textId="77777777" w:rsidR="004C65DE" w:rsidRPr="006E6390" w:rsidRDefault="004C65DE" w:rsidP="002D4648">
            <w:pPr>
              <w:spacing w:after="0" w:line="240" w:lineRule="auto"/>
              <w:jc w:val="center"/>
              <w:rPr>
                <w:rFonts w:cs="Arial"/>
                <w:sz w:val="16"/>
                <w:szCs w:val="16"/>
              </w:rPr>
            </w:pPr>
            <w:r w:rsidRPr="006E6390">
              <w:rPr>
                <w:rFonts w:cs="Arial"/>
                <w:sz w:val="16"/>
                <w:szCs w:val="16"/>
              </w:rPr>
              <w:t>17-012063-1027-CA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283F4C3"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B51BAF4" w14:textId="77777777" w:rsidR="004C65DE" w:rsidRPr="006E6390" w:rsidRDefault="004C65DE" w:rsidP="002D4648">
            <w:pPr>
              <w:spacing w:after="0"/>
              <w:jc w:val="left"/>
              <w:rPr>
                <w:rFonts w:cs="Arial"/>
                <w:sz w:val="16"/>
                <w:szCs w:val="16"/>
              </w:rPr>
            </w:pPr>
            <w:r w:rsidRPr="006E6390">
              <w:rPr>
                <w:rFonts w:cs="Arial"/>
                <w:sz w:val="16"/>
                <w:szCs w:val="16"/>
              </w:rPr>
              <w:t xml:space="preserve">Bomba Panamericana </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97DDB82"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C5B0542" w14:textId="77777777" w:rsidR="004C65DE" w:rsidRPr="006E6390" w:rsidRDefault="004C65DE" w:rsidP="002D4648">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AE598B4" w14:textId="77777777" w:rsidR="004C65DE" w:rsidRPr="006E6390" w:rsidRDefault="004C65DE" w:rsidP="002D4648">
            <w:pPr>
              <w:spacing w:after="0"/>
              <w:rPr>
                <w:rFonts w:cs="Arial"/>
                <w:sz w:val="16"/>
                <w:szCs w:val="16"/>
              </w:rPr>
            </w:pPr>
            <w:r w:rsidRPr="006E6390">
              <w:rPr>
                <w:rFonts w:cs="Arial"/>
                <w:sz w:val="16"/>
                <w:szCs w:val="16"/>
              </w:rPr>
              <w:t>Iniciado el año 2017. El 13 de febrero de 2019 se contestó la demanda.</w:t>
            </w:r>
            <w:r w:rsidR="00030751" w:rsidRPr="006E6390">
              <w:rPr>
                <w:rFonts w:cs="Arial"/>
                <w:sz w:val="16"/>
                <w:szCs w:val="16"/>
              </w:rPr>
              <w:t xml:space="preserve"> En espera de señalamiento de audiencia preliminar.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520289A" w14:textId="77777777" w:rsidR="004C65DE" w:rsidRPr="006E6390" w:rsidRDefault="004C65DE" w:rsidP="002D4648">
            <w:pPr>
              <w:spacing w:after="0"/>
              <w:jc w:val="center"/>
              <w:rPr>
                <w:rFonts w:cs="Arial"/>
                <w:sz w:val="16"/>
                <w:szCs w:val="16"/>
              </w:rPr>
            </w:pPr>
            <w:r w:rsidRPr="006E6390">
              <w:rPr>
                <w:rFonts w:cs="Arial"/>
                <w:sz w:val="16"/>
                <w:szCs w:val="16"/>
              </w:rPr>
              <w:t>Indeterminado</w:t>
            </w:r>
          </w:p>
        </w:tc>
      </w:tr>
      <w:tr w:rsidR="00655C2E" w:rsidRPr="006E6390" w14:paraId="33F4FDEB" w14:textId="77777777" w:rsidTr="00F84D55">
        <w:trPr>
          <w:trHeight w:val="101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821F236" w14:textId="77777777" w:rsidR="004C65DE" w:rsidRPr="006E6390" w:rsidRDefault="004C65DE" w:rsidP="002D4648">
            <w:pPr>
              <w:spacing w:after="0"/>
              <w:jc w:val="center"/>
              <w:rPr>
                <w:rFonts w:cs="Arial"/>
                <w:sz w:val="16"/>
                <w:szCs w:val="16"/>
              </w:rPr>
            </w:pPr>
            <w:r w:rsidRPr="006E6390">
              <w:rPr>
                <w:rFonts w:cs="Arial"/>
                <w:sz w:val="16"/>
                <w:szCs w:val="16"/>
              </w:rPr>
              <w:t>18-002365-1027-CA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955C522"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A784FB7" w14:textId="77777777" w:rsidR="004C65DE" w:rsidRPr="006E6390" w:rsidRDefault="004C65DE" w:rsidP="002D4648">
            <w:pPr>
              <w:spacing w:after="0"/>
              <w:jc w:val="left"/>
              <w:rPr>
                <w:rFonts w:cs="Arial"/>
                <w:sz w:val="16"/>
                <w:szCs w:val="16"/>
              </w:rPr>
            </w:pPr>
            <w:r w:rsidRPr="006E6390">
              <w:rPr>
                <w:rFonts w:cs="Arial"/>
                <w:sz w:val="16"/>
                <w:szCs w:val="16"/>
              </w:rPr>
              <w:t>International Costa Painter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496F952"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EE79077" w14:textId="73A9C9D6" w:rsidR="004C65DE" w:rsidRPr="006E6390" w:rsidRDefault="004C65DE" w:rsidP="008165F6">
            <w:pPr>
              <w:spacing w:after="0"/>
              <w:ind w:right="-68"/>
              <w:rPr>
                <w:rFonts w:cs="Arial"/>
                <w:sz w:val="16"/>
                <w:szCs w:val="16"/>
              </w:rPr>
            </w:pPr>
            <w:r w:rsidRPr="006E6390">
              <w:rPr>
                <w:rFonts w:cs="Arial"/>
                <w:sz w:val="16"/>
                <w:szCs w:val="16"/>
              </w:rPr>
              <w:t>₡</w:t>
            </w:r>
            <w:r w:rsidR="008165F6" w:rsidRPr="006E6390">
              <w:rPr>
                <w:rFonts w:cs="Arial"/>
                <w:sz w:val="16"/>
                <w:szCs w:val="16"/>
              </w:rPr>
              <w:t>2</w:t>
            </w:r>
            <w:r w:rsidR="007127D7">
              <w:rPr>
                <w:rFonts w:cs="Arial"/>
                <w:sz w:val="16"/>
                <w:szCs w:val="16"/>
              </w:rPr>
              <w:t> </w:t>
            </w:r>
            <w:r w:rsidRPr="006E6390">
              <w:rPr>
                <w:rFonts w:cs="Arial"/>
                <w:sz w:val="16"/>
                <w:szCs w:val="16"/>
              </w:rPr>
              <w:t>2</w:t>
            </w:r>
            <w:r w:rsidR="008165F6" w:rsidRPr="006E6390">
              <w:rPr>
                <w:rFonts w:cs="Arial"/>
                <w:sz w:val="16"/>
                <w:szCs w:val="16"/>
              </w:rPr>
              <w:t>49</w:t>
            </w:r>
            <w:r w:rsidR="007127D7">
              <w:rPr>
                <w:rFonts w:cs="Arial"/>
                <w:sz w:val="16"/>
                <w:szCs w:val="16"/>
              </w:rPr>
              <w:t> </w:t>
            </w:r>
            <w:r w:rsidRPr="006E6390">
              <w:rPr>
                <w:rFonts w:cs="Arial"/>
                <w:sz w:val="16"/>
                <w:szCs w:val="16"/>
              </w:rPr>
              <w:t>1</w:t>
            </w:r>
            <w:r w:rsidR="008165F6" w:rsidRPr="006E6390">
              <w:rPr>
                <w:rFonts w:cs="Arial"/>
                <w:sz w:val="16"/>
                <w:szCs w:val="16"/>
              </w:rPr>
              <w:t>71</w:t>
            </w:r>
            <w:r w:rsidR="007127D7">
              <w:rPr>
                <w:rFonts w:cs="Arial"/>
                <w:sz w:val="16"/>
                <w:szCs w:val="16"/>
              </w:rPr>
              <w:t xml:space="preserve"> </w:t>
            </w:r>
            <w:r w:rsidR="008165F6" w:rsidRPr="006E6390">
              <w:rPr>
                <w:rFonts w:cs="Arial"/>
                <w:sz w:val="16"/>
                <w:szCs w:val="16"/>
              </w:rPr>
              <w:t>657</w:t>
            </w:r>
            <w:r w:rsidRPr="006E6390">
              <w:rPr>
                <w:rFonts w:cs="Arial"/>
                <w:sz w:val="16"/>
                <w:szCs w:val="16"/>
              </w:rPr>
              <w:t>,</w:t>
            </w:r>
            <w:r w:rsidR="008165F6" w:rsidRPr="006E6390">
              <w:rPr>
                <w:rFonts w:cs="Arial"/>
                <w:sz w:val="16"/>
                <w:szCs w:val="16"/>
              </w:rPr>
              <w:t>12</w:t>
            </w:r>
            <w:r w:rsidRPr="006E6390">
              <w:rPr>
                <w:rFonts w:cs="Arial"/>
                <w:sz w:val="16"/>
                <w:szCs w:val="16"/>
              </w:rPr>
              <w:t xml:space="preserv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49DD842" w14:textId="77777777" w:rsidR="004C65DE" w:rsidRPr="006E6390" w:rsidRDefault="004C65DE" w:rsidP="008165F6">
            <w:pPr>
              <w:spacing w:after="0"/>
              <w:rPr>
                <w:rFonts w:cs="Arial"/>
                <w:sz w:val="16"/>
                <w:szCs w:val="16"/>
              </w:rPr>
            </w:pPr>
            <w:r w:rsidRPr="006E6390">
              <w:rPr>
                <w:rFonts w:cs="Arial"/>
                <w:sz w:val="16"/>
                <w:szCs w:val="16"/>
              </w:rPr>
              <w:t>Se contesta la demanda en 2019 y se declaró con lugar condenando a RECOPE al pago de daños, perjuicios y costas. RECOPE interpuso recurso de casación. Sentencia N°1974-2020, se declara sin lugar el recurso. A la espera de que el actor presente proceso de ejecución de sentencia. </w:t>
            </w:r>
            <w:r w:rsidR="008165F6" w:rsidRPr="006E6390">
              <w:rPr>
                <w:rFonts w:cs="Arial"/>
                <w:sz w:val="16"/>
                <w:szCs w:val="16"/>
              </w:rPr>
              <w:t>El actor presentó ejecución de sentencia por 2</w:t>
            </w:r>
            <w:r w:rsidR="00B271F8">
              <w:rPr>
                <w:rFonts w:cs="Arial"/>
                <w:sz w:val="16"/>
                <w:szCs w:val="16"/>
              </w:rPr>
              <w:t> </w:t>
            </w:r>
            <w:r w:rsidR="008165F6" w:rsidRPr="006E6390">
              <w:rPr>
                <w:rFonts w:cs="Arial"/>
                <w:sz w:val="16"/>
                <w:szCs w:val="16"/>
              </w:rPr>
              <w:t>249</w:t>
            </w:r>
            <w:r w:rsidR="00B271F8">
              <w:rPr>
                <w:rFonts w:cs="Arial"/>
                <w:sz w:val="16"/>
                <w:szCs w:val="16"/>
              </w:rPr>
              <w:t xml:space="preserve"> </w:t>
            </w:r>
            <w:r w:rsidR="008165F6" w:rsidRPr="006E6390">
              <w:rPr>
                <w:rFonts w:cs="Arial"/>
                <w:sz w:val="16"/>
                <w:szCs w:val="16"/>
              </w:rPr>
              <w:t>171 657,12 colones. Recope se opuso, a la espera de señalamiento de audiencia para evacuación de prueba el 11 de noviembre de 2021.</w:t>
            </w:r>
            <w:r w:rsidR="00B271F8">
              <w:rPr>
                <w:rFonts w:cs="Arial"/>
                <w:sz w:val="16"/>
                <w:szCs w:val="16"/>
              </w:rPr>
              <w:t xml:space="preserve"> </w:t>
            </w:r>
            <w:r w:rsidR="008165F6" w:rsidRPr="006E6390">
              <w:rPr>
                <w:rFonts w:cs="Arial"/>
                <w:sz w:val="16"/>
                <w:szCs w:val="16"/>
              </w:rPr>
              <w:t>Se celebró la audiencia de ejecución de sentencia el 9 de diciembre de 2021. A la espera del dictado de sentencia.</w:t>
            </w:r>
          </w:p>
          <w:p w14:paraId="267E2A34" w14:textId="77777777" w:rsidR="005426EB" w:rsidRPr="006E6390" w:rsidRDefault="005426EB" w:rsidP="008165F6">
            <w:pPr>
              <w:spacing w:after="0"/>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125D8A4" w14:textId="53B10BC8" w:rsidR="004C65DE" w:rsidRPr="006E6390" w:rsidRDefault="00B54723" w:rsidP="002D4648">
            <w:pPr>
              <w:spacing w:after="0"/>
              <w:jc w:val="center"/>
              <w:rPr>
                <w:rFonts w:cs="Arial"/>
                <w:sz w:val="16"/>
                <w:szCs w:val="16"/>
              </w:rPr>
            </w:pPr>
            <w:r w:rsidRPr="006E6390">
              <w:rPr>
                <w:rFonts w:cs="Arial"/>
                <w:sz w:val="16"/>
                <w:szCs w:val="16"/>
              </w:rPr>
              <w:t>₡2</w:t>
            </w:r>
            <w:r>
              <w:rPr>
                <w:rFonts w:cs="Arial"/>
                <w:sz w:val="16"/>
                <w:szCs w:val="16"/>
              </w:rPr>
              <w:t> </w:t>
            </w:r>
            <w:r w:rsidRPr="006E6390">
              <w:rPr>
                <w:rFonts w:cs="Arial"/>
                <w:sz w:val="16"/>
                <w:szCs w:val="16"/>
              </w:rPr>
              <w:t>249</w:t>
            </w:r>
            <w:r>
              <w:rPr>
                <w:rFonts w:cs="Arial"/>
                <w:sz w:val="16"/>
                <w:szCs w:val="16"/>
              </w:rPr>
              <w:t> </w:t>
            </w:r>
            <w:r w:rsidRPr="006E6390">
              <w:rPr>
                <w:rFonts w:cs="Arial"/>
                <w:sz w:val="16"/>
                <w:szCs w:val="16"/>
              </w:rPr>
              <w:t>171</w:t>
            </w:r>
            <w:r>
              <w:rPr>
                <w:rFonts w:cs="Arial"/>
                <w:sz w:val="16"/>
                <w:szCs w:val="16"/>
              </w:rPr>
              <w:t xml:space="preserve"> </w:t>
            </w:r>
            <w:r w:rsidRPr="006E6390">
              <w:rPr>
                <w:rFonts w:cs="Arial"/>
                <w:sz w:val="16"/>
                <w:szCs w:val="16"/>
              </w:rPr>
              <w:t>657,12</w:t>
            </w:r>
          </w:p>
        </w:tc>
      </w:tr>
      <w:tr w:rsidR="00655C2E" w:rsidRPr="006E6390" w14:paraId="12131053" w14:textId="77777777" w:rsidTr="00F84D55">
        <w:trPr>
          <w:trHeight w:val="77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58BE0141" w14:textId="77777777" w:rsidR="004C65DE" w:rsidRPr="006E6390" w:rsidRDefault="004C65DE" w:rsidP="002D4648">
            <w:pPr>
              <w:spacing w:after="0"/>
              <w:jc w:val="center"/>
              <w:rPr>
                <w:rFonts w:cs="Arial"/>
                <w:sz w:val="16"/>
                <w:szCs w:val="16"/>
              </w:rPr>
            </w:pPr>
            <w:r w:rsidRPr="006E6390">
              <w:rPr>
                <w:rFonts w:cs="Arial"/>
                <w:sz w:val="16"/>
                <w:szCs w:val="16"/>
              </w:rPr>
              <w:t>18-006651-1027-CA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C42EF23" w14:textId="77777777" w:rsidR="004C65DE" w:rsidRPr="006E6390" w:rsidRDefault="004C65DE" w:rsidP="002D4648">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EDCC0FE" w14:textId="77777777" w:rsidR="004C65DE" w:rsidRPr="006E6390" w:rsidRDefault="004C65DE" w:rsidP="002D4648">
            <w:pPr>
              <w:spacing w:after="0"/>
              <w:jc w:val="left"/>
              <w:rPr>
                <w:rFonts w:cs="Arial"/>
                <w:sz w:val="16"/>
                <w:szCs w:val="16"/>
              </w:rPr>
            </w:pPr>
            <w:r w:rsidRPr="006E6390">
              <w:rPr>
                <w:rFonts w:cs="Arial"/>
                <w:sz w:val="16"/>
                <w:szCs w:val="16"/>
              </w:rPr>
              <w:t>Instituto Costarricense de Electricidad</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5E4C1B6" w14:textId="77777777" w:rsidR="004C65DE" w:rsidRPr="006E6390" w:rsidRDefault="004C65DE" w:rsidP="002D4648">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3E8639E" w14:textId="4A1DC701" w:rsidR="004C65DE" w:rsidRPr="006E6390" w:rsidRDefault="004C65DE" w:rsidP="002D4648">
            <w:pPr>
              <w:spacing w:after="0"/>
              <w:jc w:val="right"/>
              <w:rPr>
                <w:rFonts w:cs="Arial"/>
                <w:sz w:val="16"/>
                <w:szCs w:val="16"/>
              </w:rPr>
            </w:pPr>
            <w:r w:rsidRPr="006E6390">
              <w:rPr>
                <w:rFonts w:cs="Arial"/>
                <w:sz w:val="16"/>
                <w:szCs w:val="16"/>
              </w:rPr>
              <w:t xml:space="preserve"> ₡5</w:t>
            </w:r>
            <w:r w:rsidR="007127D7">
              <w:rPr>
                <w:rFonts w:cs="Arial"/>
                <w:sz w:val="16"/>
                <w:szCs w:val="16"/>
              </w:rPr>
              <w:t> </w:t>
            </w:r>
            <w:r w:rsidRPr="006E6390">
              <w:rPr>
                <w:rFonts w:cs="Arial"/>
                <w:sz w:val="16"/>
                <w:szCs w:val="16"/>
              </w:rPr>
              <w:t>655</w:t>
            </w:r>
            <w:r w:rsidR="007127D7">
              <w:rPr>
                <w:rFonts w:cs="Arial"/>
                <w:sz w:val="16"/>
                <w:szCs w:val="16"/>
              </w:rPr>
              <w:t> </w:t>
            </w:r>
            <w:r w:rsidRPr="006E6390">
              <w:rPr>
                <w:rFonts w:cs="Arial"/>
                <w:sz w:val="16"/>
                <w:szCs w:val="16"/>
              </w:rPr>
              <w:t>206</w:t>
            </w:r>
            <w:r w:rsidR="007127D7">
              <w:rPr>
                <w:rFonts w:cs="Arial"/>
                <w:sz w:val="16"/>
                <w:szCs w:val="16"/>
              </w:rPr>
              <w:t xml:space="preserve"> </w:t>
            </w:r>
            <w:r w:rsidRPr="006E6390">
              <w:rPr>
                <w:rFonts w:cs="Arial"/>
                <w:sz w:val="16"/>
                <w:szCs w:val="16"/>
              </w:rPr>
              <w:t xml:space="preserve">709,06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5429204" w14:textId="77777777" w:rsidR="004C65DE" w:rsidRPr="006E6390" w:rsidRDefault="004C65DE" w:rsidP="00B271F8">
            <w:pPr>
              <w:spacing w:after="0"/>
              <w:rPr>
                <w:rFonts w:cs="Arial"/>
                <w:sz w:val="16"/>
                <w:szCs w:val="16"/>
              </w:rPr>
            </w:pPr>
            <w:r w:rsidRPr="006E6390">
              <w:rPr>
                <w:rFonts w:cs="Arial"/>
                <w:sz w:val="16"/>
                <w:szCs w:val="16"/>
              </w:rPr>
              <w:t>Se contestó la demanda y se señala la audiencia preliminar para 2019. RECOPE planteó incompetencia. En 2020 se plantea inconformidad ante la Sala Primera en razón que se rechazó en primera instancia la incompetencia.</w:t>
            </w:r>
          </w:p>
          <w:p w14:paraId="45E899B1" w14:textId="77777777" w:rsidR="005426EB" w:rsidRPr="006E6390" w:rsidRDefault="005426EB" w:rsidP="002D4648">
            <w:pPr>
              <w:spacing w:after="0"/>
              <w:jc w:val="left"/>
              <w:rPr>
                <w:rFonts w:cs="Arial"/>
                <w:sz w:val="16"/>
                <w:szCs w:val="16"/>
              </w:rPr>
            </w:pP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075CE6E8" w14:textId="736858E9" w:rsidR="004C65DE" w:rsidRPr="006E6390" w:rsidRDefault="001F5BFB" w:rsidP="002D4648">
            <w:pPr>
              <w:spacing w:after="0"/>
              <w:jc w:val="center"/>
              <w:rPr>
                <w:rFonts w:cs="Arial"/>
                <w:sz w:val="16"/>
                <w:szCs w:val="16"/>
              </w:rPr>
            </w:pPr>
            <w:r w:rsidRPr="006E6390">
              <w:rPr>
                <w:rFonts w:cs="Arial"/>
                <w:sz w:val="16"/>
                <w:szCs w:val="16"/>
              </w:rPr>
              <w:t>₡5</w:t>
            </w:r>
            <w:r>
              <w:rPr>
                <w:rFonts w:cs="Arial"/>
                <w:sz w:val="16"/>
                <w:szCs w:val="16"/>
              </w:rPr>
              <w:t> </w:t>
            </w:r>
            <w:r w:rsidRPr="006E6390">
              <w:rPr>
                <w:rFonts w:cs="Arial"/>
                <w:sz w:val="16"/>
                <w:szCs w:val="16"/>
              </w:rPr>
              <w:t>655</w:t>
            </w:r>
            <w:r>
              <w:rPr>
                <w:rFonts w:cs="Arial"/>
                <w:sz w:val="16"/>
                <w:szCs w:val="16"/>
              </w:rPr>
              <w:t> </w:t>
            </w:r>
            <w:r w:rsidRPr="006E6390">
              <w:rPr>
                <w:rFonts w:cs="Arial"/>
                <w:sz w:val="16"/>
                <w:szCs w:val="16"/>
              </w:rPr>
              <w:t>206</w:t>
            </w:r>
            <w:r>
              <w:rPr>
                <w:rFonts w:cs="Arial"/>
                <w:sz w:val="16"/>
                <w:szCs w:val="16"/>
              </w:rPr>
              <w:t xml:space="preserve"> </w:t>
            </w:r>
            <w:r w:rsidRPr="006E6390">
              <w:rPr>
                <w:rFonts w:cs="Arial"/>
                <w:sz w:val="16"/>
                <w:szCs w:val="16"/>
              </w:rPr>
              <w:t>709,06</w:t>
            </w:r>
          </w:p>
        </w:tc>
      </w:tr>
      <w:tr w:rsidR="00E4015F" w:rsidRPr="006E6390" w14:paraId="296195D1" w14:textId="77777777" w:rsidTr="00F84D55">
        <w:trPr>
          <w:trHeight w:val="562"/>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D9D9D9" w:themeFill="background1" w:themeFillShade="D9"/>
            <w:vAlign w:val="center"/>
          </w:tcPr>
          <w:p w14:paraId="006602EB"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lastRenderedPageBreak/>
              <w:t>Expediente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8A9EC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Demandado</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4FA14FB"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Demandante</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903BD7E"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Objeto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F898296"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963790C"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Estado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27C947" w14:textId="77777777" w:rsidR="004C65DE" w:rsidRPr="006E6390" w:rsidRDefault="004C65DE" w:rsidP="002D4648">
            <w:pPr>
              <w:spacing w:after="0" w:line="240" w:lineRule="auto"/>
              <w:jc w:val="center"/>
              <w:rPr>
                <w:rFonts w:cs="Arial"/>
                <w:b/>
                <w:bCs/>
                <w:sz w:val="16"/>
                <w:szCs w:val="16"/>
              </w:rPr>
            </w:pPr>
            <w:r w:rsidRPr="006E6390">
              <w:rPr>
                <w:rFonts w:cs="Arial"/>
                <w:b/>
                <w:bCs/>
                <w:sz w:val="16"/>
                <w:szCs w:val="16"/>
              </w:rPr>
              <w:t>Estimación posible</w:t>
            </w:r>
            <w:r w:rsidRPr="006E6390">
              <w:rPr>
                <w:rFonts w:cs="Arial"/>
                <w:b/>
                <w:bCs/>
                <w:sz w:val="16"/>
                <w:szCs w:val="16"/>
              </w:rPr>
              <w:br/>
              <w:t xml:space="preserve"> de resultado</w:t>
            </w:r>
          </w:p>
        </w:tc>
      </w:tr>
      <w:tr w:rsidR="00655C2E" w:rsidRPr="006E6390" w14:paraId="64EAAD47" w14:textId="77777777" w:rsidTr="00F84D55">
        <w:trPr>
          <w:trHeight w:val="9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FBD317E" w14:textId="77777777" w:rsidR="005426EB" w:rsidRPr="006E6390" w:rsidRDefault="005426EB" w:rsidP="005426EB">
            <w:pPr>
              <w:spacing w:after="0"/>
              <w:jc w:val="center"/>
              <w:rPr>
                <w:rFonts w:cs="Arial"/>
                <w:sz w:val="16"/>
                <w:szCs w:val="16"/>
              </w:rPr>
            </w:pPr>
            <w:r w:rsidRPr="006E6390">
              <w:rPr>
                <w:rFonts w:cs="Arial"/>
                <w:sz w:val="16"/>
                <w:szCs w:val="16"/>
              </w:rPr>
              <w:t>18-011002-1027-CA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8207BF3"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3FF690" w14:textId="77777777" w:rsidR="005426EB" w:rsidRPr="006E6390" w:rsidRDefault="005426EB" w:rsidP="005426EB">
            <w:pPr>
              <w:spacing w:after="0"/>
              <w:jc w:val="left"/>
              <w:rPr>
                <w:rFonts w:cs="Arial"/>
                <w:sz w:val="16"/>
                <w:szCs w:val="16"/>
              </w:rPr>
            </w:pPr>
            <w:r w:rsidRPr="006E6390">
              <w:rPr>
                <w:rFonts w:cs="Arial"/>
                <w:sz w:val="16"/>
                <w:szCs w:val="16"/>
              </w:rPr>
              <w:t>Consorcio ICA-MECO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DE2D1A0" w14:textId="77777777" w:rsidR="005426EB" w:rsidRPr="006E6390" w:rsidRDefault="005426EB" w:rsidP="005426EB">
            <w:pPr>
              <w:spacing w:after="0"/>
              <w:jc w:val="center"/>
              <w:rPr>
                <w:rFonts w:cs="Arial"/>
                <w:sz w:val="16"/>
                <w:szCs w:val="16"/>
              </w:rPr>
            </w:pPr>
            <w:r w:rsidRPr="006E6390">
              <w:rPr>
                <w:rFonts w:cs="Arial"/>
                <w:sz w:val="16"/>
                <w:szCs w:val="16"/>
              </w:rPr>
              <w:t>Juicio 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1909C67" w14:textId="77777777" w:rsidR="005426EB" w:rsidRPr="006E6390" w:rsidRDefault="005426EB" w:rsidP="005426EB">
            <w:pPr>
              <w:spacing w:after="0"/>
              <w:jc w:val="right"/>
              <w:rPr>
                <w:rFonts w:cs="Arial"/>
                <w:sz w:val="16"/>
                <w:szCs w:val="16"/>
              </w:rPr>
            </w:pPr>
            <w:r w:rsidRPr="006E6390">
              <w:rPr>
                <w:rFonts w:cs="Arial"/>
                <w:sz w:val="16"/>
                <w:szCs w:val="16"/>
              </w:rPr>
              <w:t xml:space="preserve"> </w:t>
            </w:r>
            <w:r w:rsidR="005A01A0">
              <w:rPr>
                <w:rFonts w:cs="Arial"/>
                <w:sz w:val="16"/>
                <w:szCs w:val="16"/>
              </w:rPr>
              <w:t>USD</w:t>
            </w:r>
            <w:r w:rsidRPr="006E6390">
              <w:rPr>
                <w:rFonts w:cs="Arial"/>
                <w:sz w:val="16"/>
                <w:szCs w:val="16"/>
              </w:rPr>
              <w:t xml:space="preserve"> 3</w:t>
            </w:r>
            <w:r w:rsidR="007127D7">
              <w:rPr>
                <w:rFonts w:cs="Arial"/>
                <w:sz w:val="16"/>
                <w:szCs w:val="16"/>
              </w:rPr>
              <w:t> </w:t>
            </w:r>
            <w:r w:rsidRPr="006E6390">
              <w:rPr>
                <w:rFonts w:cs="Arial"/>
                <w:sz w:val="16"/>
                <w:szCs w:val="16"/>
              </w:rPr>
              <w:t>950</w:t>
            </w:r>
            <w:r w:rsidR="007127D7">
              <w:rPr>
                <w:rFonts w:cs="Arial"/>
                <w:sz w:val="16"/>
                <w:szCs w:val="16"/>
              </w:rPr>
              <w:t xml:space="preserve"> </w:t>
            </w:r>
            <w:r w:rsidRPr="006E6390">
              <w:rPr>
                <w:rFonts w:cs="Arial"/>
                <w:sz w:val="16"/>
                <w:szCs w:val="16"/>
              </w:rPr>
              <w:t xml:space="preserve">550,00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3CCD483" w14:textId="77777777" w:rsidR="005426EB" w:rsidRPr="006E6390" w:rsidRDefault="005426EB" w:rsidP="005426EB">
            <w:pPr>
              <w:spacing w:after="0"/>
              <w:rPr>
                <w:rFonts w:cs="Arial"/>
                <w:sz w:val="16"/>
                <w:szCs w:val="16"/>
              </w:rPr>
            </w:pPr>
            <w:r w:rsidRPr="006E6390">
              <w:rPr>
                <w:rFonts w:cs="Arial"/>
                <w:sz w:val="16"/>
                <w:szCs w:val="16"/>
              </w:rPr>
              <w:t>En 2019 se notificó la demanda por cobro clima adverso en Ampliación de Terminal Petrolera del Atlántico y se lleva a cabo la audiencia preliminar. El juicio se fijó para el 26 y 27 de mayo del 2022 a las 8:30 hrs.</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24018F2A" w14:textId="77777777" w:rsidR="001F5BFB" w:rsidRPr="008E2266" w:rsidRDefault="001F5BFB" w:rsidP="001F5BFB">
            <w:pPr>
              <w:spacing w:after="0" w:line="240" w:lineRule="auto"/>
              <w:jc w:val="center"/>
              <w:rPr>
                <w:rFonts w:cs="Arial"/>
                <w:sz w:val="16"/>
                <w:szCs w:val="16"/>
              </w:rPr>
            </w:pPr>
            <w:r w:rsidRPr="006E6390">
              <w:rPr>
                <w:rFonts w:cs="Arial"/>
                <w:sz w:val="16"/>
                <w:szCs w:val="16"/>
              </w:rPr>
              <w:t>₡</w:t>
            </w:r>
            <w:r w:rsidRPr="008E2266">
              <w:rPr>
                <w:rFonts w:cs="Arial"/>
                <w:color w:val="000000"/>
                <w:sz w:val="16"/>
                <w:szCs w:val="16"/>
              </w:rPr>
              <w:t>2 361 006 702,00</w:t>
            </w:r>
          </w:p>
          <w:p w14:paraId="6ADE1579" w14:textId="0527E3E6" w:rsidR="005426EB" w:rsidRPr="006E6390" w:rsidRDefault="005426EB" w:rsidP="005426EB">
            <w:pPr>
              <w:spacing w:after="0"/>
              <w:jc w:val="center"/>
              <w:rPr>
                <w:rFonts w:cs="Arial"/>
                <w:sz w:val="16"/>
                <w:szCs w:val="16"/>
              </w:rPr>
            </w:pPr>
          </w:p>
        </w:tc>
      </w:tr>
      <w:tr w:rsidR="00655C2E" w:rsidRPr="006E6390" w14:paraId="4BB4A92B" w14:textId="77777777" w:rsidTr="00F84D55">
        <w:trPr>
          <w:trHeight w:val="971"/>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A067368" w14:textId="77777777" w:rsidR="005426EB" w:rsidRPr="006E6390" w:rsidRDefault="005426EB" w:rsidP="005426EB">
            <w:pPr>
              <w:spacing w:after="0"/>
              <w:jc w:val="center"/>
              <w:rPr>
                <w:rFonts w:cs="Arial"/>
                <w:sz w:val="16"/>
                <w:szCs w:val="16"/>
              </w:rPr>
            </w:pPr>
            <w:r w:rsidRPr="006E6390">
              <w:rPr>
                <w:rFonts w:cs="Arial"/>
                <w:sz w:val="16"/>
                <w:szCs w:val="16"/>
              </w:rPr>
              <w:t>19-003776-1027-CA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48624DE"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9410216" w14:textId="77777777" w:rsidR="005426EB" w:rsidRPr="006E6390" w:rsidRDefault="005426EB" w:rsidP="005426EB">
            <w:pPr>
              <w:spacing w:after="0"/>
              <w:jc w:val="left"/>
              <w:rPr>
                <w:rFonts w:cs="Arial"/>
                <w:sz w:val="16"/>
                <w:szCs w:val="16"/>
              </w:rPr>
            </w:pPr>
            <w:r w:rsidRPr="006E6390">
              <w:rPr>
                <w:rFonts w:cs="Arial"/>
                <w:sz w:val="16"/>
                <w:szCs w:val="16"/>
              </w:rPr>
              <w:t>Felguera IHI</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DF9CAA1"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2DF44A7"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A597D0E" w14:textId="77777777" w:rsidR="005426EB" w:rsidRPr="006E6390" w:rsidRDefault="005426EB" w:rsidP="005426EB">
            <w:pPr>
              <w:spacing w:after="0"/>
              <w:rPr>
                <w:rFonts w:cs="Arial"/>
                <w:sz w:val="16"/>
                <w:szCs w:val="16"/>
              </w:rPr>
            </w:pPr>
            <w:r w:rsidRPr="006E6390">
              <w:rPr>
                <w:rFonts w:cs="Arial"/>
                <w:sz w:val="16"/>
                <w:szCs w:val="16"/>
              </w:rPr>
              <w:t>En 2019, Felguera IHI demanda a RECOPE por restablecimiento del equilibrio económico de las contrataciones 2012LN-000004-02 y 2011LN-00009-02, debido a daños, sobrecostos y desequilibrio financiero asumidos.  Se está a la espera de señalamiento de audiencia de juicio.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161F5961"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655C2E" w:rsidRPr="006E6390" w14:paraId="118D4D0D" w14:textId="77777777" w:rsidTr="00F84D55">
        <w:trPr>
          <w:trHeight w:val="112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6CCAA2AC" w14:textId="77777777" w:rsidR="005426EB" w:rsidRPr="006E6390" w:rsidRDefault="005426EB" w:rsidP="005426EB">
            <w:pPr>
              <w:spacing w:after="0"/>
              <w:jc w:val="center"/>
              <w:rPr>
                <w:rFonts w:cs="Arial"/>
                <w:sz w:val="16"/>
                <w:szCs w:val="16"/>
              </w:rPr>
            </w:pPr>
            <w:r w:rsidRPr="006E6390">
              <w:rPr>
                <w:rFonts w:cs="Arial"/>
                <w:sz w:val="16"/>
                <w:szCs w:val="16"/>
              </w:rPr>
              <w:t>19-007373-1027-CA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4CF8856"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8AE1BCB" w14:textId="77777777" w:rsidR="005426EB" w:rsidRPr="006E6390" w:rsidRDefault="005426EB" w:rsidP="005426EB">
            <w:pPr>
              <w:spacing w:after="0"/>
              <w:jc w:val="left"/>
              <w:rPr>
                <w:rFonts w:cs="Arial"/>
                <w:sz w:val="16"/>
                <w:szCs w:val="16"/>
              </w:rPr>
            </w:pPr>
            <w:r w:rsidRPr="006E6390">
              <w:rPr>
                <w:rFonts w:cs="Arial"/>
                <w:sz w:val="16"/>
                <w:szCs w:val="16"/>
              </w:rPr>
              <w:t>Servicios Técnicos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A6CF856"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17FE0EB"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E483DE" w14:textId="77777777" w:rsidR="005426EB" w:rsidRPr="006E6390" w:rsidRDefault="005426EB" w:rsidP="005426EB">
            <w:pPr>
              <w:spacing w:after="0"/>
              <w:rPr>
                <w:rFonts w:cs="Arial"/>
                <w:sz w:val="16"/>
                <w:szCs w:val="16"/>
              </w:rPr>
            </w:pPr>
            <w:r w:rsidRPr="006E6390">
              <w:rPr>
                <w:rFonts w:cs="Arial"/>
                <w:sz w:val="16"/>
                <w:szCs w:val="16"/>
              </w:rPr>
              <w:t>Se contestó demanda en 2019. En 2020 se celebró audiencia preliminar y se interpuso excepción de falta de integración de litis consorcio pasivo necesario. Resolución N°1199-2020 de 2020, declara sin lugar excepción de falta de integración de litis. El 11 de marzo de 2020 se llevó acabo la audiencia preliminar. El despacho señalo audiencia de juicio para las 8 horas 30 min del 15 de marzo del 2022.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46A3B616"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655C2E" w:rsidRPr="006E6390" w14:paraId="3DCD8E84" w14:textId="77777777" w:rsidTr="00F84D55">
        <w:trPr>
          <w:trHeight w:val="688"/>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74D1A424" w14:textId="77777777" w:rsidR="005426EB" w:rsidRPr="006E6390" w:rsidRDefault="005426EB" w:rsidP="005426EB">
            <w:pPr>
              <w:spacing w:after="0" w:line="240" w:lineRule="auto"/>
              <w:jc w:val="center"/>
              <w:rPr>
                <w:rFonts w:cs="Arial"/>
                <w:sz w:val="16"/>
                <w:szCs w:val="16"/>
              </w:rPr>
            </w:pPr>
            <w:r w:rsidRPr="006E6390">
              <w:rPr>
                <w:rFonts w:cs="Arial"/>
                <w:sz w:val="16"/>
                <w:szCs w:val="16"/>
              </w:rPr>
              <w:t>19-008032-1027-CA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992F0AA"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5277FB4" w14:textId="77777777" w:rsidR="005426EB" w:rsidRPr="006E6390" w:rsidRDefault="005426EB" w:rsidP="005426EB">
            <w:pPr>
              <w:spacing w:after="0"/>
              <w:jc w:val="left"/>
              <w:rPr>
                <w:rFonts w:cs="Arial"/>
                <w:sz w:val="16"/>
                <w:szCs w:val="16"/>
              </w:rPr>
            </w:pPr>
            <w:r w:rsidRPr="006E6390">
              <w:rPr>
                <w:rFonts w:cs="Arial"/>
                <w:sz w:val="16"/>
                <w:szCs w:val="16"/>
              </w:rPr>
              <w:t>Servicios Técnicos S.A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75ADCFA"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3DC52B0"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65D0B0B" w14:textId="77777777" w:rsidR="005426EB" w:rsidRPr="006E6390" w:rsidRDefault="005426EB" w:rsidP="005426EB">
            <w:pPr>
              <w:spacing w:after="0"/>
              <w:rPr>
                <w:rFonts w:cs="Arial"/>
                <w:sz w:val="16"/>
                <w:szCs w:val="16"/>
              </w:rPr>
            </w:pPr>
            <w:r w:rsidRPr="006E6390">
              <w:rPr>
                <w:rFonts w:cs="Arial"/>
                <w:sz w:val="16"/>
                <w:szCs w:val="16"/>
              </w:rPr>
              <w:t>Se contestó demanda negativamente 2020 y se celebró la audiencia preliminar, se espera el señalamiento de la audiencia de juicio. Se señaló audiencia de juicio para el 22 de se</w:t>
            </w:r>
            <w:r w:rsidR="009D73FA">
              <w:rPr>
                <w:rFonts w:cs="Arial"/>
                <w:sz w:val="16"/>
                <w:szCs w:val="16"/>
              </w:rPr>
              <w:t>p</w:t>
            </w:r>
            <w:r w:rsidRPr="006E6390">
              <w:rPr>
                <w:rFonts w:cs="Arial"/>
                <w:sz w:val="16"/>
                <w:szCs w:val="16"/>
              </w:rPr>
              <w:t>tiembre de 2022.  </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A7D8E6B"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655C2E" w:rsidRPr="006E6390" w14:paraId="731BCFE6" w14:textId="77777777" w:rsidTr="00F84D55">
        <w:trPr>
          <w:trHeight w:val="854"/>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11E12A4F" w14:textId="77777777" w:rsidR="005426EB" w:rsidRPr="006E6390" w:rsidRDefault="005426EB" w:rsidP="005426EB">
            <w:pPr>
              <w:spacing w:after="0"/>
              <w:jc w:val="center"/>
              <w:rPr>
                <w:rFonts w:cs="Arial"/>
                <w:sz w:val="16"/>
                <w:szCs w:val="16"/>
              </w:rPr>
            </w:pPr>
            <w:r w:rsidRPr="006E6390">
              <w:rPr>
                <w:rFonts w:cs="Arial"/>
                <w:sz w:val="16"/>
                <w:szCs w:val="16"/>
              </w:rPr>
              <w:t>20-000842-1178-LA-0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620CFB3"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3CCC5F1" w14:textId="77777777" w:rsidR="005426EB" w:rsidRPr="006E6390" w:rsidRDefault="005426EB" w:rsidP="005426EB">
            <w:pPr>
              <w:spacing w:after="0"/>
              <w:jc w:val="left"/>
              <w:rPr>
                <w:rFonts w:cs="Arial"/>
                <w:sz w:val="16"/>
                <w:szCs w:val="16"/>
              </w:rPr>
            </w:pPr>
            <w:r w:rsidRPr="006E6390">
              <w:rPr>
                <w:rFonts w:cs="Arial"/>
                <w:sz w:val="16"/>
                <w:szCs w:val="16"/>
              </w:rPr>
              <w:t>Carlos Francisco Gómez Navarro</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D28611"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46E1A03"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EE8A4C7" w14:textId="77777777" w:rsidR="005426EB" w:rsidRPr="006E6390" w:rsidRDefault="005426EB" w:rsidP="005426EB">
            <w:pPr>
              <w:spacing w:after="0"/>
              <w:rPr>
                <w:rFonts w:cs="Arial"/>
                <w:sz w:val="16"/>
                <w:szCs w:val="16"/>
              </w:rPr>
            </w:pPr>
            <w:r w:rsidRPr="006E6390">
              <w:rPr>
                <w:rFonts w:cs="Arial"/>
                <w:sz w:val="16"/>
                <w:szCs w:val="16"/>
              </w:rPr>
              <w:t>Se notificó traslado de demanda en 2020 y se contestó la demanda. Sentencia N°2020001508 declaró con lugar la excepción de prescripción. En trámite incidente de nulidad de notificación de la sentencia.</w:t>
            </w:r>
            <w:r w:rsidRPr="006E6390">
              <w:t xml:space="preserve"> </w:t>
            </w:r>
            <w:r w:rsidRPr="006E6390">
              <w:rPr>
                <w:rFonts w:cs="Arial"/>
                <w:sz w:val="16"/>
                <w:szCs w:val="16"/>
              </w:rPr>
              <w:t>POR SENTENCIA No. 001381-2021 DEL TRIBUNAL DE APELACIÓN DE TRABAJO DEL I CIRCUITO JUDICIAL DE SAN JOSÉ, SECCIÓN SEGUNDA, a las ocho horas cinco minutos del diecinueve de noviembre de dos mil veintiuno se confirmó incidente de nulidad de notificaciones y se ordenó notificar.</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1E064F45"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655C2E" w:rsidRPr="006E6390" w14:paraId="40B9ED78" w14:textId="77777777" w:rsidTr="00F84D55">
        <w:trPr>
          <w:trHeight w:val="697"/>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0D038F7D" w14:textId="77777777" w:rsidR="005426EB" w:rsidRPr="006E6390" w:rsidRDefault="005426EB" w:rsidP="005426EB">
            <w:pPr>
              <w:spacing w:after="0"/>
              <w:jc w:val="center"/>
              <w:rPr>
                <w:rFonts w:cs="Arial"/>
                <w:sz w:val="16"/>
                <w:szCs w:val="16"/>
              </w:rPr>
            </w:pPr>
            <w:r w:rsidRPr="006E6390">
              <w:rPr>
                <w:rFonts w:cs="Arial"/>
                <w:sz w:val="16"/>
                <w:szCs w:val="16"/>
              </w:rPr>
              <w:t>20-000869-1027-CA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CA4554C"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76928DE" w14:textId="77777777" w:rsidR="005426EB" w:rsidRPr="006E6390" w:rsidRDefault="005426EB" w:rsidP="005426EB">
            <w:pPr>
              <w:spacing w:after="0"/>
              <w:jc w:val="left"/>
              <w:rPr>
                <w:rFonts w:cs="Arial"/>
                <w:sz w:val="16"/>
                <w:szCs w:val="16"/>
              </w:rPr>
            </w:pPr>
            <w:r w:rsidRPr="006E6390">
              <w:rPr>
                <w:rFonts w:cs="Arial"/>
                <w:sz w:val="16"/>
                <w:szCs w:val="16"/>
              </w:rPr>
              <w:t>Felguera IHI</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851817A"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9E0DAF8"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23D3809" w14:textId="77777777" w:rsidR="005426EB" w:rsidRPr="006E6390" w:rsidRDefault="005426EB" w:rsidP="005426EB">
            <w:pPr>
              <w:spacing w:after="0"/>
              <w:rPr>
                <w:rFonts w:cs="Arial"/>
                <w:sz w:val="16"/>
                <w:szCs w:val="16"/>
              </w:rPr>
            </w:pPr>
            <w:r w:rsidRPr="006E6390">
              <w:rPr>
                <w:rFonts w:cs="Arial"/>
                <w:sz w:val="16"/>
                <w:szCs w:val="16"/>
              </w:rPr>
              <w:t>Se notificó traslado de la demanda a RECOPE 2020 y se contestó la demanda. En junio 2021 se celebró la audiencia preliminar, a la espera del señalamiento de audiencia de juicio.  Se señala audiencia de juicio para las ocho horas treinta minutos de los días uno y cinco de abril del año dos mil veinticuatro</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019B5FE1"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r w:rsidR="00655C2E" w:rsidRPr="006E6390" w14:paraId="585B3A91" w14:textId="77777777" w:rsidTr="00F84D55">
        <w:trPr>
          <w:trHeight w:val="976"/>
        </w:trPr>
        <w:tc>
          <w:tcPr>
            <w:tcW w:w="17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tcPr>
          <w:p w14:paraId="37D7DDF2" w14:textId="77777777" w:rsidR="005426EB" w:rsidRPr="006E6390" w:rsidRDefault="005426EB" w:rsidP="005426EB">
            <w:pPr>
              <w:spacing w:after="0" w:line="240" w:lineRule="auto"/>
              <w:jc w:val="center"/>
              <w:rPr>
                <w:rFonts w:cs="Arial"/>
                <w:sz w:val="16"/>
                <w:szCs w:val="16"/>
              </w:rPr>
            </w:pPr>
            <w:r w:rsidRPr="006E6390">
              <w:rPr>
                <w:rFonts w:cs="Arial"/>
                <w:sz w:val="16"/>
                <w:szCs w:val="16"/>
              </w:rPr>
              <w:t>20-001139-1027-CA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F6A4CFA" w14:textId="77777777" w:rsidR="005426EB" w:rsidRPr="006E6390" w:rsidRDefault="005426EB" w:rsidP="005426EB">
            <w:pPr>
              <w:spacing w:after="0"/>
              <w:jc w:val="center"/>
              <w:rPr>
                <w:rFonts w:cs="Arial"/>
                <w:sz w:val="16"/>
                <w:szCs w:val="16"/>
              </w:rPr>
            </w:pPr>
            <w:r w:rsidRPr="006E6390">
              <w:rPr>
                <w:rFonts w:cs="Arial"/>
                <w:sz w:val="16"/>
                <w:szCs w:val="16"/>
              </w:rPr>
              <w:t>RECOPE</w:t>
            </w:r>
          </w:p>
        </w:tc>
        <w:tc>
          <w:tcPr>
            <w:tcW w:w="159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C17F846" w14:textId="77777777" w:rsidR="005426EB" w:rsidRPr="006E6390" w:rsidRDefault="005426EB" w:rsidP="005426EB">
            <w:pPr>
              <w:spacing w:after="0"/>
              <w:jc w:val="left"/>
              <w:rPr>
                <w:rFonts w:cs="Arial"/>
                <w:sz w:val="16"/>
                <w:szCs w:val="16"/>
              </w:rPr>
            </w:pPr>
            <w:r w:rsidRPr="006E6390">
              <w:rPr>
                <w:rFonts w:cs="Arial"/>
                <w:sz w:val="16"/>
                <w:szCs w:val="16"/>
              </w:rPr>
              <w:t>TEC-TOP</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E9C6D2C" w14:textId="77777777" w:rsidR="005426EB" w:rsidRPr="006E6390" w:rsidRDefault="005426EB" w:rsidP="005426EB">
            <w:pPr>
              <w:spacing w:after="0"/>
              <w:jc w:val="center"/>
              <w:rPr>
                <w:rFonts w:cs="Arial"/>
                <w:sz w:val="16"/>
                <w:szCs w:val="16"/>
              </w:rPr>
            </w:pPr>
            <w:r w:rsidRPr="006E6390">
              <w:rPr>
                <w:rFonts w:cs="Arial"/>
                <w:sz w:val="16"/>
                <w:szCs w:val="16"/>
              </w:rPr>
              <w:t>Ordinario</w:t>
            </w:r>
          </w:p>
        </w:tc>
        <w:tc>
          <w:tcPr>
            <w:tcW w:w="1770"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214FF5B" w14:textId="77777777" w:rsidR="005426EB" w:rsidRPr="006E6390" w:rsidRDefault="005426EB" w:rsidP="005426EB">
            <w:pPr>
              <w:spacing w:after="0"/>
              <w:jc w:val="right"/>
              <w:rPr>
                <w:rFonts w:cs="Arial"/>
                <w:sz w:val="16"/>
                <w:szCs w:val="16"/>
              </w:rPr>
            </w:pPr>
            <w:r w:rsidRPr="006E6390">
              <w:rPr>
                <w:rFonts w:cs="Arial"/>
                <w:sz w:val="16"/>
                <w:szCs w:val="16"/>
              </w:rPr>
              <w:t xml:space="preserve"> Inestimable </w:t>
            </w:r>
          </w:p>
        </w:tc>
        <w:tc>
          <w:tcPr>
            <w:tcW w:w="5742" w:type="dxa"/>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A95461D" w14:textId="665EAEC4" w:rsidR="005426EB" w:rsidRPr="006E6390" w:rsidRDefault="005426EB" w:rsidP="005426EB">
            <w:pPr>
              <w:spacing w:after="0"/>
              <w:rPr>
                <w:rFonts w:cs="Arial"/>
                <w:sz w:val="16"/>
                <w:szCs w:val="16"/>
              </w:rPr>
            </w:pPr>
            <w:r w:rsidRPr="006E6390">
              <w:rPr>
                <w:rFonts w:cs="Arial"/>
                <w:sz w:val="16"/>
                <w:szCs w:val="16"/>
              </w:rPr>
              <w:t>Medida cautelar se contestó en 2020 y se presentó una litis consorcio pasiva para traer al adjudicatario, la cual fue acogida. Se dicta la sentencia rechazando la medida cautelar pedida por el actor y el ordinario continua. El actor presenta demanda ordinaria.</w:t>
            </w:r>
            <w:r w:rsidRPr="006E6390">
              <w:t xml:space="preserve"> </w:t>
            </w:r>
            <w:r w:rsidRPr="006E6390">
              <w:rPr>
                <w:rFonts w:cs="Arial"/>
                <w:sz w:val="16"/>
                <w:szCs w:val="16"/>
              </w:rPr>
              <w:t xml:space="preserve">En enero 2021 se contesta la demanda por parte de Recope. Se señalo audiencia preliminar </w:t>
            </w:r>
            <w:r w:rsidR="00800207">
              <w:rPr>
                <w:rFonts w:cs="Arial"/>
                <w:sz w:val="16"/>
                <w:szCs w:val="16"/>
              </w:rPr>
              <w:t>j</w:t>
            </w:r>
            <w:r w:rsidRPr="006E6390">
              <w:rPr>
                <w:rFonts w:cs="Arial"/>
                <w:sz w:val="16"/>
                <w:szCs w:val="16"/>
              </w:rPr>
              <w:t>ulio 2021.</w:t>
            </w:r>
          </w:p>
        </w:tc>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3BAF8A59" w14:textId="77777777" w:rsidR="005426EB" w:rsidRPr="006E6390" w:rsidRDefault="005426EB" w:rsidP="005426EB">
            <w:pPr>
              <w:spacing w:after="0"/>
              <w:jc w:val="center"/>
              <w:rPr>
                <w:rFonts w:cs="Arial"/>
                <w:sz w:val="16"/>
                <w:szCs w:val="16"/>
              </w:rPr>
            </w:pPr>
            <w:r w:rsidRPr="006E6390">
              <w:rPr>
                <w:rFonts w:cs="Arial"/>
                <w:sz w:val="16"/>
                <w:szCs w:val="16"/>
              </w:rPr>
              <w:t>Indeterminado</w:t>
            </w:r>
          </w:p>
        </w:tc>
      </w:tr>
    </w:tbl>
    <w:p w14:paraId="3EE2BC65" w14:textId="77777777" w:rsidR="004C65DE" w:rsidRPr="006E6390" w:rsidRDefault="00F41263" w:rsidP="00F41263">
      <w:pPr>
        <w:rPr>
          <w:rFonts w:cs="Arial"/>
          <w:sz w:val="20"/>
          <w:szCs w:val="20"/>
        </w:rPr>
      </w:pPr>
      <w:r w:rsidRPr="006E6390">
        <w:rPr>
          <w:rFonts w:cs="Arial"/>
          <w:sz w:val="20"/>
          <w:szCs w:val="20"/>
        </w:rPr>
        <w:t xml:space="preserve">Fuente: </w:t>
      </w:r>
      <w:r w:rsidR="004C65DE" w:rsidRPr="006E6390">
        <w:rPr>
          <w:rFonts w:cs="Arial"/>
          <w:sz w:val="20"/>
          <w:szCs w:val="20"/>
        </w:rPr>
        <w:t xml:space="preserve">RECOPE: Asesoría </w:t>
      </w:r>
      <w:r w:rsidRPr="006E6390">
        <w:rPr>
          <w:rFonts w:cs="Arial"/>
          <w:sz w:val="20"/>
          <w:szCs w:val="20"/>
        </w:rPr>
        <w:t xml:space="preserve">Jurídica </w:t>
      </w:r>
    </w:p>
    <w:p w14:paraId="1B6241DD" w14:textId="77777777" w:rsidR="00F41263" w:rsidRPr="006E6390" w:rsidRDefault="00F41263" w:rsidP="005C050B">
      <w:pPr>
        <w:rPr>
          <w:rFonts w:cs="Arial"/>
        </w:rPr>
      </w:pPr>
    </w:p>
    <w:p w14:paraId="23858697" w14:textId="77777777" w:rsidR="00F41263" w:rsidRPr="006E6390" w:rsidRDefault="00F41263" w:rsidP="00F41263">
      <w:pPr>
        <w:rPr>
          <w:rFonts w:ascii="Helvetica" w:hAnsi="Helvetica"/>
        </w:rPr>
        <w:sectPr w:rsidR="00F41263" w:rsidRPr="006E6390" w:rsidSect="00AD1DA3">
          <w:pgSz w:w="16838" w:h="11906" w:orient="landscape" w:code="9"/>
          <w:pgMar w:top="1418" w:right="1418" w:bottom="1418" w:left="1701" w:header="510" w:footer="907" w:gutter="0"/>
          <w:cols w:space="708"/>
          <w:titlePg/>
          <w:docGrid w:linePitch="360"/>
        </w:sectPr>
      </w:pPr>
    </w:p>
    <w:p w14:paraId="2EA9DAC6" w14:textId="77777777" w:rsidR="0059137D" w:rsidRPr="006E6390" w:rsidRDefault="0059137D" w:rsidP="0059137D">
      <w:pPr>
        <w:spacing w:after="0"/>
      </w:pPr>
      <w:bookmarkStart w:id="123" w:name="_Toc38630827"/>
    </w:p>
    <w:p w14:paraId="453A98AC" w14:textId="75AF80F7" w:rsidR="0059137D" w:rsidRDefault="30554478" w:rsidP="008E2266">
      <w:pPr>
        <w:spacing w:after="0"/>
      </w:pPr>
      <w:r>
        <w:t xml:space="preserve">Como parte del proceso de auditoría externa se realizó una estimación sobre la base de 32 litigios (de ellos, 28 de ellos de carácter contencioso) de ₡25 287,8 millones (3,6% del Patrimonio).  Aparece en página 65 de los Estados Financieros Auditados al 31 de diciembre de 2022.  Para el año 2021, esta cifra era de </w:t>
      </w:r>
      <w:r w:rsidRPr="30554478">
        <w:rPr>
          <w:rFonts w:cs="Arial"/>
        </w:rPr>
        <w:t>₡</w:t>
      </w:r>
      <w:r>
        <w:t>25 890,1 millones (página 68) equivalente a un 3,9% del Patrimonio.  Para el año 2020 el monto fue de ₡27 903 millones (3,5% del Patrimonio).</w:t>
      </w:r>
    </w:p>
    <w:p w14:paraId="6A19DD01" w14:textId="77777777" w:rsidR="0059137D" w:rsidRPr="008E2266" w:rsidRDefault="0059137D" w:rsidP="008E2266">
      <w:pPr>
        <w:pStyle w:val="Ttulo3"/>
        <w:spacing w:after="0"/>
        <w:rPr>
          <w:b w:val="0"/>
          <w:bCs w:val="0"/>
        </w:rPr>
      </w:pPr>
    </w:p>
    <w:p w14:paraId="632BF62D" w14:textId="77777777" w:rsidR="0059137D" w:rsidRDefault="0059137D" w:rsidP="008F23AD">
      <w:pPr>
        <w:pStyle w:val="Ttulo3"/>
      </w:pPr>
    </w:p>
    <w:p w14:paraId="54891763" w14:textId="195EC157" w:rsidR="00F41263" w:rsidRPr="006E6390" w:rsidRDefault="00F41263" w:rsidP="008F23AD">
      <w:pPr>
        <w:pStyle w:val="Ttulo3"/>
      </w:pPr>
      <w:r w:rsidRPr="006E6390">
        <w:t>3.1.24. Determinación de los precios</w:t>
      </w:r>
      <w:bookmarkEnd w:id="123"/>
    </w:p>
    <w:p w14:paraId="2A530436" w14:textId="2E39E755" w:rsidR="00F41263" w:rsidRPr="006E6390" w:rsidRDefault="00F41263" w:rsidP="00ED35E4">
      <w:r w:rsidRPr="006E6390">
        <w:t xml:space="preserve">La Autoridad Reguladora de los Servicios Públicos (ARESEP), mediante resolución </w:t>
      </w:r>
      <w:r w:rsidR="00B02A92" w:rsidRPr="006E6390">
        <w:t>R</w:t>
      </w:r>
      <w:r w:rsidR="00B02A92">
        <w:t>E</w:t>
      </w:r>
      <w:r w:rsidRPr="006E6390">
        <w:t>-</w:t>
      </w:r>
      <w:r w:rsidR="00B02A92">
        <w:t>0024-</w:t>
      </w:r>
      <w:r w:rsidR="006A2495">
        <w:t>JD</w:t>
      </w:r>
      <w:r w:rsidRPr="006E6390">
        <w:t>-</w:t>
      </w:r>
      <w:r w:rsidR="00B02A92" w:rsidRPr="006E6390">
        <w:t>20</w:t>
      </w:r>
      <w:r w:rsidR="00B02A92">
        <w:t>22</w:t>
      </w:r>
      <w:r w:rsidRPr="006E6390">
        <w:t xml:space="preserve">, publicada en </w:t>
      </w:r>
      <w:r w:rsidR="005D0973">
        <w:t xml:space="preserve">el Alcance N°87 a </w:t>
      </w:r>
      <w:r w:rsidRPr="006E6390">
        <w:t>La Gaceta N°</w:t>
      </w:r>
      <w:r w:rsidR="005D0973">
        <w:t>82</w:t>
      </w:r>
      <w:r w:rsidR="00B02A92" w:rsidRPr="006E6390">
        <w:t xml:space="preserve"> </w:t>
      </w:r>
      <w:r w:rsidRPr="006E6390">
        <w:t xml:space="preserve">del </w:t>
      </w:r>
      <w:r w:rsidR="00B02A92">
        <w:t>5</w:t>
      </w:r>
      <w:r w:rsidR="00B02A92" w:rsidRPr="006E6390">
        <w:t xml:space="preserve"> </w:t>
      </w:r>
      <w:r w:rsidRPr="006E6390">
        <w:t xml:space="preserve">de </w:t>
      </w:r>
      <w:r w:rsidR="00B02A92">
        <w:t>mayo</w:t>
      </w:r>
      <w:r w:rsidR="00B02A92" w:rsidRPr="006E6390">
        <w:t xml:space="preserve"> </w:t>
      </w:r>
      <w:r w:rsidRPr="006E6390">
        <w:t xml:space="preserve">de </w:t>
      </w:r>
      <w:r w:rsidR="00B02A92" w:rsidRPr="006E6390">
        <w:t>20</w:t>
      </w:r>
      <w:r w:rsidR="00B02A92">
        <w:t>22</w:t>
      </w:r>
      <w:r w:rsidRPr="006E6390">
        <w:t>, aprobó la “Metodología tarifarias ordinaria y extraordinaria para fijar el precio de los combustibles derivados de</w:t>
      </w:r>
      <w:r w:rsidR="00C206DA">
        <w:t xml:space="preserve"> los</w:t>
      </w:r>
      <w:r w:rsidRPr="006E6390">
        <w:t xml:space="preserve"> hidrocarburos </w:t>
      </w:r>
      <w:r w:rsidR="00C206DA">
        <w:t>en terminales de poliducto para almacenamiento y ventas, terminales de ventas en aeropuertos y al consumidor final</w:t>
      </w:r>
      <w:r w:rsidRPr="006E6390">
        <w:t>”. El cálculo de precios se realiza utilizando la siguiente ecuación:</w:t>
      </w:r>
    </w:p>
    <w:p w14:paraId="4DD55DE3" w14:textId="100B6F96" w:rsidR="00F41263" w:rsidRPr="006E6390" w:rsidRDefault="00000000" w:rsidP="00F41263">
      <w:pPr>
        <w:autoSpaceDE w:val="0"/>
        <w:autoSpaceDN w:val="0"/>
        <w:adjustRightInd w:val="0"/>
        <w:jc w:val="center"/>
        <w:rPr>
          <w:rFonts w:ascii="Helvetica" w:hAnsi="Helvetica" w:cs="Helvetica"/>
          <w:i/>
          <w:iCs/>
        </w:rPr>
      </w:pPr>
      <m:oMath>
        <m:sSub>
          <m:sSubPr>
            <m:ctrlPr>
              <w:rPr>
                <w:rFonts w:ascii="Cambria Math" w:eastAsia="Calibri" w:hAnsi="Cambria Math" w:cs="Helvetica"/>
                <w:b/>
                <w:i/>
              </w:rPr>
            </m:ctrlPr>
          </m:sSubPr>
          <m:e>
            <m:r>
              <m:rPr>
                <m:sty m:val="bi"/>
              </m:rPr>
              <w:rPr>
                <w:rFonts w:ascii="Cambria Math" w:eastAsia="Calibri" w:hAnsi="Cambria Math" w:cs="Helvetica"/>
              </w:rPr>
              <m:t>PPCV</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COA</m:t>
            </m:r>
          </m:e>
          <m:sub>
            <m:r>
              <m:rPr>
                <m:sty m:val="bi"/>
              </m:rPr>
              <w:rPr>
                <w:rFonts w:ascii="Cambria Math" w:eastAsia="Calibri" w:hAnsi="Cambria Math" w:cs="Helvetica"/>
              </w:rPr>
              <m:t>i,t</m:t>
            </m:r>
          </m:sub>
        </m:sSub>
        <m:r>
          <m:rPr>
            <m:sty m:val="bi"/>
          </m:rPr>
          <w:rPr>
            <w:rFonts w:ascii="Cambria Math" w:eastAsia="Calibri" w:hAnsi="Cambria Math" w:cs="Helvetica"/>
          </w:rPr>
          <m:t xml:space="preserve"> +</m:t>
        </m:r>
        <m:sSub>
          <m:sSubPr>
            <m:ctrlPr>
              <w:rPr>
                <w:rFonts w:ascii="Cambria Math" w:eastAsia="Calibri" w:hAnsi="Cambria Math" w:cs="Helvetica"/>
                <w:b/>
                <w:i/>
              </w:rPr>
            </m:ctrlPr>
          </m:sSubPr>
          <m:e>
            <m:r>
              <m:rPr>
                <m:sty m:val="bi"/>
              </m:rPr>
              <w:rPr>
                <w:rFonts w:ascii="Cambria Math" w:eastAsia="Calibri" w:hAnsi="Cambria Math" w:cs="Helvetica"/>
              </w:rPr>
              <m:t>AS</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SE</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SC</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DA</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ALE</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IU</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CA</m:t>
            </m:r>
          </m:e>
          <m:sub>
            <m:r>
              <m:rPr>
                <m:sty m:val="bi"/>
              </m:rPr>
              <w:rPr>
                <w:rFonts w:ascii="Cambria Math" w:eastAsia="Calibri" w:hAnsi="Cambria Math" w:cs="Helvetica"/>
              </w:rPr>
              <m:t>i,t</m:t>
            </m:r>
          </m:sub>
        </m:sSub>
        <m:r>
          <m:rPr>
            <m:sty m:val="bi"/>
          </m:rPr>
          <w:rPr>
            <w:rFonts w:ascii="Cambria Math" w:eastAsia="Calibri" w:hAnsi="Cambria Math" w:cs="Helvetica"/>
          </w:rPr>
          <m:t>+</m:t>
        </m:r>
        <m:sSub>
          <m:sSubPr>
            <m:ctrlPr>
              <w:rPr>
                <w:rFonts w:ascii="Cambria Math" w:eastAsia="Calibri" w:hAnsi="Cambria Math" w:cs="Helvetica"/>
                <w:b/>
                <w:i/>
              </w:rPr>
            </m:ctrlPr>
          </m:sSubPr>
          <m:e>
            <m:r>
              <m:rPr>
                <m:sty m:val="bi"/>
              </m:rPr>
              <w:rPr>
                <w:rFonts w:ascii="Cambria Math" w:eastAsia="Calibri" w:hAnsi="Cambria Math" w:cs="Helvetica"/>
              </w:rPr>
              <m:t>MO</m:t>
            </m:r>
          </m:e>
          <m:sub>
            <m:r>
              <m:rPr>
                <m:sty m:val="bi"/>
              </m:rPr>
              <w:rPr>
                <w:rFonts w:ascii="Cambria Math" w:eastAsia="Calibri" w:hAnsi="Cambria Math" w:cs="Helvetica"/>
              </w:rPr>
              <m:t>i,t</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RSBT</m:t>
            </m:r>
          </m:e>
          <m:sub>
            <m:r>
              <m:rPr>
                <m:sty m:val="bi"/>
              </m:rPr>
              <w:rPr>
                <w:rFonts w:ascii="Cambria Math" w:hAnsi="Cambria Math" w:cs="Helvetica"/>
              </w:rPr>
              <m:t>i,t</m:t>
            </m:r>
          </m:sub>
        </m:sSub>
        <m:r>
          <m:rPr>
            <m:sty m:val="bi"/>
          </m:rPr>
          <w:rPr>
            <w:rFonts w:ascii="Cambria Math" w:hAnsi="Cambria Math" w:cs="Helvetica"/>
          </w:rPr>
          <m:t>-</m:t>
        </m:r>
        <m:sSub>
          <m:sSubPr>
            <m:ctrlPr>
              <w:rPr>
                <w:rFonts w:ascii="Cambria Math" w:hAnsi="Cambria Math" w:cs="Helvetica"/>
                <w:b/>
                <w:i/>
              </w:rPr>
            </m:ctrlPr>
          </m:sSubPr>
          <m:e>
            <m:r>
              <m:rPr>
                <m:sty m:val="bi"/>
              </m:rPr>
              <w:rPr>
                <w:rFonts w:ascii="Cambria Math" w:hAnsi="Cambria Math" w:cs="Helvetica"/>
              </w:rPr>
              <m:t>ALO</m:t>
            </m:r>
          </m:e>
          <m:sub>
            <m:r>
              <m:rPr>
                <m:sty m:val="bi"/>
              </m:rPr>
              <w:rPr>
                <w:rFonts w:ascii="Cambria Math" w:hAnsi="Cambria Math" w:cs="Helvetica"/>
              </w:rPr>
              <m:t>i,t</m:t>
            </m:r>
          </m:sub>
        </m:sSub>
      </m:oMath>
      <w:r w:rsidR="00F41263" w:rsidRPr="006E6390">
        <w:rPr>
          <w:rFonts w:ascii="Helvetica" w:hAnsi="Helvetica" w:cs="Helvetica"/>
        </w:rPr>
        <w:t xml:space="preserve">    </w:t>
      </w:r>
    </w:p>
    <w:p w14:paraId="0D7FB83E" w14:textId="77777777" w:rsidR="00F41263" w:rsidRPr="006E6390" w:rsidRDefault="00F41263" w:rsidP="00ED35E4">
      <w:r w:rsidRPr="006E6390">
        <w:t>Dónde:</w:t>
      </w:r>
    </w:p>
    <w:p w14:paraId="77CBCFC7" w14:textId="4A05667D" w:rsidR="00F41263" w:rsidRPr="006E6390" w:rsidRDefault="00000000" w:rsidP="00ED35E4">
      <m:oMath>
        <m:sSub>
          <m:sSubPr>
            <m:ctrlPr>
              <w:rPr>
                <w:rFonts w:ascii="Cambria Math" w:hAnsi="Cambria Math"/>
              </w:rPr>
            </m:ctrlPr>
          </m:sSubPr>
          <m:e>
            <m:r>
              <m:rPr>
                <m:sty m:val="p"/>
              </m:rPr>
              <w:rPr>
                <w:rFonts w:ascii="Cambria Math" w:hAnsi="Cambria Math"/>
              </w:rPr>
              <m:t>PPCV</m:t>
            </m:r>
          </m:e>
          <m:sub>
            <m:r>
              <m:rPr>
                <m:sty m:val="p"/>
              </m:rPr>
              <w:rPr>
                <w:rFonts w:ascii="Cambria Math" w:hAnsi="Cambria Math"/>
              </w:rPr>
              <m:t>i, t</m:t>
            </m:r>
          </m:sub>
        </m:sSub>
      </m:oMath>
      <w:r w:rsidR="00F41263" w:rsidRPr="006E6390">
        <w:t xml:space="preserve">= Precio de venta en </w:t>
      </w:r>
      <w:r w:rsidR="00135E3D">
        <w:t>terminales de ventas, del c</w:t>
      </w:r>
      <w:r w:rsidR="00F41263" w:rsidRPr="006E6390">
        <w:t xml:space="preserve">ombustible </w:t>
      </w:r>
      <w:r w:rsidR="00F41263" w:rsidRPr="006E6390">
        <w:rPr>
          <w:i/>
        </w:rPr>
        <w:t>i</w:t>
      </w:r>
      <w:r w:rsidR="00135E3D">
        <w:t xml:space="preserve"> que se comercializa en volumen, en el ajuste tarifario “</w:t>
      </w:r>
      <w:r w:rsidR="00135E3D" w:rsidRPr="008E2266">
        <w:rPr>
          <w:i/>
          <w:iCs/>
        </w:rPr>
        <w:t>t</w:t>
      </w:r>
      <w:r w:rsidR="00135E3D">
        <w:t>”.</w:t>
      </w:r>
    </w:p>
    <w:p w14:paraId="60EEFA67" w14:textId="2A52207A" w:rsidR="00F41263" w:rsidRDefault="00000000" w:rsidP="00ED35E4">
      <w:pPr>
        <w:rPr>
          <w:i/>
        </w:rPr>
      </w:pPr>
      <m:oMath>
        <m:sSub>
          <m:sSubPr>
            <m:ctrlPr>
              <w:rPr>
                <w:rFonts w:ascii="Cambria Math" w:hAnsi="Cambria Math"/>
              </w:rPr>
            </m:ctrlPr>
          </m:sSubPr>
          <m:e>
            <m:r>
              <m:rPr>
                <m:sty m:val="p"/>
              </m:rPr>
              <w:rPr>
                <w:rFonts w:ascii="Cambria Math" w:hAnsi="Cambria Math"/>
              </w:rPr>
              <m:t>COA</m:t>
            </m:r>
          </m:e>
          <m:sub>
            <m:r>
              <m:rPr>
                <m:sty m:val="p"/>
              </m:rPr>
              <w:rPr>
                <w:rFonts w:ascii="Cambria Math" w:hAnsi="Cambria Math"/>
              </w:rPr>
              <m:t>i,t</m:t>
            </m:r>
          </m:sub>
        </m:sSub>
      </m:oMath>
      <w:r w:rsidR="00F41263" w:rsidRPr="006E6390">
        <w:t xml:space="preserve"> = </w:t>
      </w:r>
      <w:r w:rsidR="001567EB">
        <w:t xml:space="preserve">Costo de adquisición </w:t>
      </w:r>
      <w:r w:rsidR="00F41263" w:rsidRPr="006E6390">
        <w:t xml:space="preserve">por litro del combustible </w:t>
      </w:r>
      <w:r w:rsidR="00F41263" w:rsidRPr="006E6390">
        <w:rPr>
          <w:i/>
        </w:rPr>
        <w:t>i</w:t>
      </w:r>
      <w:r w:rsidR="001567EB">
        <w:rPr>
          <w:i/>
        </w:rPr>
        <w:t xml:space="preserve">, </w:t>
      </w:r>
      <w:r w:rsidR="001567EB" w:rsidRPr="008E2266">
        <w:rPr>
          <w:iCs/>
        </w:rPr>
        <w:t xml:space="preserve">en </w:t>
      </w:r>
      <w:r w:rsidR="00F41263" w:rsidRPr="006E6390">
        <w:t xml:space="preserve">el ajuste extraordinario </w:t>
      </w:r>
      <w:r w:rsidR="00BD23F5">
        <w:t>“</w:t>
      </w:r>
      <w:r w:rsidR="001567EB">
        <w:rPr>
          <w:i/>
        </w:rPr>
        <w:t>t</w:t>
      </w:r>
      <w:r w:rsidR="00BD23F5">
        <w:rPr>
          <w:i/>
        </w:rPr>
        <w:t>”</w:t>
      </w:r>
      <w:r w:rsidR="001567EB">
        <w:rPr>
          <w:i/>
        </w:rPr>
        <w:t>.</w:t>
      </w:r>
    </w:p>
    <w:p w14:paraId="4B093E06" w14:textId="77777777" w:rsidR="000950F3" w:rsidRDefault="00000000" w:rsidP="000950F3">
      <w:pPr>
        <w:rPr>
          <w:iCs/>
        </w:rPr>
      </w:pPr>
      <m:oMath>
        <m:sSub>
          <m:sSubPr>
            <m:ctrlPr>
              <w:rPr>
                <w:rFonts w:ascii="Cambria Math" w:hAnsi="Cambria Math"/>
              </w:rPr>
            </m:ctrlPr>
          </m:sSubPr>
          <m:e>
            <m:r>
              <m:rPr>
                <m:sty m:val="p"/>
              </m:rPr>
              <w:rPr>
                <w:rFonts w:ascii="Cambria Math" w:hAnsi="Cambria Math"/>
              </w:rPr>
              <m:t>AS</m:t>
            </m:r>
          </m:e>
          <m:sub>
            <m:r>
              <m:rPr>
                <m:sty m:val="p"/>
              </m:rPr>
              <w:rPr>
                <w:rFonts w:ascii="Cambria Math" w:hAnsi="Cambria Math"/>
              </w:rPr>
              <m:t>i,t</m:t>
            </m:r>
          </m:sub>
        </m:sSub>
      </m:oMath>
      <w:r w:rsidR="000950F3" w:rsidRPr="006E6390">
        <w:t xml:space="preserve"> = </w:t>
      </w:r>
      <w:r w:rsidR="000950F3">
        <w:t>Asignación del subsidio</w:t>
      </w:r>
      <w:r w:rsidR="000950F3" w:rsidRPr="006E6390">
        <w:t xml:space="preserve"> del combustible </w:t>
      </w:r>
      <w:r w:rsidR="000950F3" w:rsidRPr="006E6390">
        <w:rPr>
          <w:i/>
        </w:rPr>
        <w:t>i</w:t>
      </w:r>
      <w:r w:rsidR="000950F3">
        <w:rPr>
          <w:i/>
        </w:rPr>
        <w:t xml:space="preserve">, </w:t>
      </w:r>
      <w:r w:rsidR="000950F3">
        <w:rPr>
          <w:iCs/>
        </w:rPr>
        <w:t>para</w:t>
      </w:r>
      <w:r w:rsidR="000950F3" w:rsidRPr="00A85205">
        <w:rPr>
          <w:iCs/>
        </w:rPr>
        <w:t xml:space="preserve"> </w:t>
      </w:r>
      <w:r w:rsidR="000950F3" w:rsidRPr="006E6390">
        <w:t xml:space="preserve">el ajuste extraordinario </w:t>
      </w:r>
      <w:r w:rsidR="000950F3">
        <w:t>“</w:t>
      </w:r>
      <w:r w:rsidR="000950F3">
        <w:rPr>
          <w:i/>
        </w:rPr>
        <w:t xml:space="preserve">t”. </w:t>
      </w:r>
      <w:r w:rsidR="000950F3" w:rsidRPr="008E2266">
        <w:rPr>
          <w:iCs/>
        </w:rPr>
        <w:t>Únicamente participan los combustibles</w:t>
      </w:r>
      <w:r w:rsidR="000950F3">
        <w:rPr>
          <w:i/>
        </w:rPr>
        <w:t xml:space="preserve"> i </w:t>
      </w:r>
      <w:r w:rsidR="000950F3" w:rsidRPr="008E2266">
        <w:rPr>
          <w:iCs/>
        </w:rPr>
        <w:t>subsidiadores.</w:t>
      </w:r>
    </w:p>
    <w:p w14:paraId="3C9D48A4" w14:textId="77777777" w:rsidR="000950F3" w:rsidRDefault="00000000" w:rsidP="000950F3">
      <w:pPr>
        <w:rPr>
          <w:iCs/>
        </w:rPr>
      </w:pPr>
      <m:oMath>
        <m:sSub>
          <m:sSubPr>
            <m:ctrlPr>
              <w:rPr>
                <w:rFonts w:ascii="Cambria Math" w:hAnsi="Cambria Math"/>
              </w:rPr>
            </m:ctrlPr>
          </m:sSubPr>
          <m:e>
            <m:r>
              <m:rPr>
                <m:sty m:val="p"/>
              </m:rPr>
              <w:rPr>
                <w:rFonts w:ascii="Cambria Math" w:hAnsi="Cambria Math"/>
              </w:rPr>
              <m:t>SE</m:t>
            </m:r>
          </m:e>
          <m:sub>
            <m:r>
              <m:rPr>
                <m:sty m:val="p"/>
              </m:rPr>
              <w:rPr>
                <w:rFonts w:ascii="Cambria Math" w:hAnsi="Cambria Math"/>
              </w:rPr>
              <m:t>i,t</m:t>
            </m:r>
          </m:sub>
        </m:sSub>
      </m:oMath>
      <w:r w:rsidR="000950F3" w:rsidRPr="006E6390">
        <w:t xml:space="preserve"> = </w:t>
      </w:r>
      <w:r w:rsidR="000950F3">
        <w:t>Subsidio</w:t>
      </w:r>
      <w:r w:rsidR="000950F3" w:rsidRPr="006E6390">
        <w:t xml:space="preserve"> </w:t>
      </w:r>
      <w:r w:rsidR="000950F3">
        <w:t>específico por tipo de c</w:t>
      </w:r>
      <w:r w:rsidR="000950F3" w:rsidRPr="006E6390">
        <w:t xml:space="preserve">ombustible </w:t>
      </w:r>
      <w:r w:rsidR="000950F3" w:rsidRPr="006E6390">
        <w:rPr>
          <w:i/>
        </w:rPr>
        <w:t>i</w:t>
      </w:r>
      <w:r w:rsidR="000950F3">
        <w:rPr>
          <w:i/>
        </w:rPr>
        <w:t xml:space="preserve">, </w:t>
      </w:r>
      <w:r w:rsidR="00785019">
        <w:rPr>
          <w:iCs/>
        </w:rPr>
        <w:t xml:space="preserve">otorgado por el Estado mediante transferencia directa a Recope, para el ajuste tarifario </w:t>
      </w:r>
      <w:r w:rsidR="000950F3">
        <w:t>“</w:t>
      </w:r>
      <w:r w:rsidR="000950F3">
        <w:rPr>
          <w:i/>
        </w:rPr>
        <w:t xml:space="preserve">t”. </w:t>
      </w:r>
    </w:p>
    <w:p w14:paraId="78F89AF5" w14:textId="77777777" w:rsidR="00427707" w:rsidRDefault="00000000" w:rsidP="00427707">
      <w:pPr>
        <w:rPr>
          <w:iCs/>
        </w:rPr>
      </w:pP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i,t</m:t>
            </m:r>
          </m:sub>
        </m:sSub>
      </m:oMath>
      <w:r w:rsidR="00427707" w:rsidRPr="006E6390">
        <w:t xml:space="preserve"> = </w:t>
      </w:r>
      <w:r w:rsidR="00427707">
        <w:t>Subsidio</w:t>
      </w:r>
      <w:r w:rsidR="00427707" w:rsidRPr="006E6390">
        <w:t xml:space="preserve"> </w:t>
      </w:r>
      <w:r w:rsidR="00427707">
        <w:t>cruzado por tipo de c</w:t>
      </w:r>
      <w:r w:rsidR="00427707" w:rsidRPr="006E6390">
        <w:t xml:space="preserve">ombustible </w:t>
      </w:r>
      <w:r w:rsidR="00427707" w:rsidRPr="006E6390">
        <w:rPr>
          <w:i/>
        </w:rPr>
        <w:t>i</w:t>
      </w:r>
      <w:r w:rsidR="00427707">
        <w:rPr>
          <w:i/>
        </w:rPr>
        <w:t xml:space="preserve">, </w:t>
      </w:r>
      <w:r w:rsidR="00427707" w:rsidRPr="008E2266">
        <w:rPr>
          <w:iCs/>
        </w:rPr>
        <w:t>para el ajuste</w:t>
      </w:r>
      <w:r w:rsidR="00427707">
        <w:rPr>
          <w:iCs/>
        </w:rPr>
        <w:t xml:space="preserve"> tarifario </w:t>
      </w:r>
      <w:r w:rsidR="00427707">
        <w:t>“</w:t>
      </w:r>
      <w:r w:rsidR="00427707">
        <w:rPr>
          <w:i/>
        </w:rPr>
        <w:t xml:space="preserve">t”. </w:t>
      </w:r>
    </w:p>
    <w:p w14:paraId="745DB1F8" w14:textId="77777777" w:rsidR="00427707" w:rsidRDefault="00000000" w:rsidP="00427707">
      <w:pPr>
        <w:rPr>
          <w:iCs/>
        </w:rPr>
      </w:pPr>
      <m:oMath>
        <m:sSub>
          <m:sSubPr>
            <m:ctrlPr>
              <w:rPr>
                <w:rFonts w:ascii="Cambria Math" w:hAnsi="Cambria Math"/>
              </w:rPr>
            </m:ctrlPr>
          </m:sSubPr>
          <m:e>
            <m:r>
              <m:rPr>
                <m:sty m:val="p"/>
              </m:rPr>
              <w:rPr>
                <w:rFonts w:ascii="Cambria Math" w:hAnsi="Cambria Math"/>
              </w:rPr>
              <m:t>DA</m:t>
            </m:r>
          </m:e>
          <m:sub>
            <m:r>
              <m:rPr>
                <m:sty m:val="p"/>
              </m:rPr>
              <w:rPr>
                <w:rFonts w:ascii="Cambria Math" w:hAnsi="Cambria Math"/>
              </w:rPr>
              <m:t>i,t</m:t>
            </m:r>
          </m:sub>
        </m:sSub>
      </m:oMath>
      <w:r w:rsidR="00427707" w:rsidRPr="006E6390">
        <w:t xml:space="preserve"> = </w:t>
      </w:r>
      <w:r w:rsidR="00427707">
        <w:t>Diferencial de precio del c</w:t>
      </w:r>
      <w:r w:rsidR="00427707" w:rsidRPr="006E6390">
        <w:t xml:space="preserve">ombustible </w:t>
      </w:r>
      <w:r w:rsidR="00427707" w:rsidRPr="006E6390">
        <w:rPr>
          <w:i/>
        </w:rPr>
        <w:t>i</w:t>
      </w:r>
      <w:r w:rsidR="00427707">
        <w:rPr>
          <w:i/>
        </w:rPr>
        <w:t xml:space="preserve">, </w:t>
      </w:r>
      <w:r w:rsidR="00427707" w:rsidRPr="00A85205">
        <w:rPr>
          <w:iCs/>
        </w:rPr>
        <w:t>para el ajuste</w:t>
      </w:r>
      <w:r w:rsidR="00427707">
        <w:rPr>
          <w:iCs/>
        </w:rPr>
        <w:t xml:space="preserve"> tarifario </w:t>
      </w:r>
      <w:r w:rsidR="00427707">
        <w:t>“</w:t>
      </w:r>
      <w:r w:rsidR="00427707">
        <w:rPr>
          <w:i/>
        </w:rPr>
        <w:t xml:space="preserve">t”. </w:t>
      </w:r>
    </w:p>
    <w:p w14:paraId="498178CB" w14:textId="77777777" w:rsidR="005943AE" w:rsidRDefault="00000000" w:rsidP="005943AE">
      <w:pPr>
        <w:rPr>
          <w:iCs/>
        </w:rPr>
      </w:pPr>
      <m:oMath>
        <m:sSub>
          <m:sSubPr>
            <m:ctrlPr>
              <w:rPr>
                <w:rFonts w:ascii="Cambria Math" w:hAnsi="Cambria Math"/>
              </w:rPr>
            </m:ctrlPr>
          </m:sSubPr>
          <m:e>
            <m:r>
              <w:rPr>
                <w:rFonts w:ascii="Cambria Math" w:hAnsi="Cambria Math"/>
              </w:rPr>
              <m:t>ALE</m:t>
            </m:r>
          </m:e>
          <m:sub>
            <m:r>
              <m:rPr>
                <m:sty m:val="p"/>
              </m:rPr>
              <w:rPr>
                <w:rFonts w:ascii="Cambria Math" w:hAnsi="Cambria Math"/>
              </w:rPr>
              <m:t>i,t</m:t>
            </m:r>
          </m:sub>
        </m:sSub>
      </m:oMath>
      <w:r w:rsidR="005943AE" w:rsidRPr="006E6390">
        <w:t xml:space="preserve"> = </w:t>
      </w:r>
      <w:r w:rsidR="005943AE">
        <w:t>Ajuste por liquidación extraordinaria del c</w:t>
      </w:r>
      <w:r w:rsidR="005943AE" w:rsidRPr="006E6390">
        <w:t xml:space="preserve">ombustible </w:t>
      </w:r>
      <w:r w:rsidR="005943AE" w:rsidRPr="006E6390">
        <w:rPr>
          <w:i/>
        </w:rPr>
        <w:t>i</w:t>
      </w:r>
      <w:r w:rsidR="005943AE">
        <w:rPr>
          <w:i/>
        </w:rPr>
        <w:t xml:space="preserve">, </w:t>
      </w:r>
      <w:r w:rsidR="005943AE" w:rsidRPr="00A85205">
        <w:rPr>
          <w:iCs/>
        </w:rPr>
        <w:t>para el ajuste</w:t>
      </w:r>
      <w:r w:rsidR="005943AE">
        <w:rPr>
          <w:iCs/>
        </w:rPr>
        <w:t xml:space="preserve"> tarifario </w:t>
      </w:r>
      <w:r w:rsidR="005943AE">
        <w:t>“</w:t>
      </w:r>
      <w:r w:rsidR="005943AE">
        <w:rPr>
          <w:i/>
        </w:rPr>
        <w:t xml:space="preserve">t”. </w:t>
      </w:r>
    </w:p>
    <w:p w14:paraId="0703EDC6" w14:textId="77777777" w:rsidR="009F5936" w:rsidRDefault="00000000" w:rsidP="009F5936">
      <w:pPr>
        <w:rPr>
          <w:iCs/>
        </w:rPr>
      </w:pPr>
      <m:oMath>
        <m:sSub>
          <m:sSubPr>
            <m:ctrlPr>
              <w:rPr>
                <w:rFonts w:ascii="Cambria Math" w:hAnsi="Cambria Math"/>
              </w:rPr>
            </m:ctrlPr>
          </m:sSubPr>
          <m:e>
            <m:r>
              <w:rPr>
                <w:rFonts w:ascii="Cambria Math" w:hAnsi="Cambria Math"/>
              </w:rPr>
              <m:t>IU</m:t>
            </m:r>
          </m:e>
          <m:sub>
            <m:r>
              <m:rPr>
                <m:sty m:val="p"/>
              </m:rPr>
              <w:rPr>
                <w:rFonts w:ascii="Cambria Math" w:hAnsi="Cambria Math"/>
              </w:rPr>
              <m:t>i,t</m:t>
            </m:r>
          </m:sub>
        </m:sSub>
      </m:oMath>
      <w:r w:rsidR="009F5936" w:rsidRPr="006E6390">
        <w:t xml:space="preserve"> = </w:t>
      </w:r>
      <w:r w:rsidR="009F5936">
        <w:t>Impuesto único por tipo de c</w:t>
      </w:r>
      <w:r w:rsidR="009F5936" w:rsidRPr="006E6390">
        <w:t xml:space="preserve">ombustible </w:t>
      </w:r>
      <w:r w:rsidR="009F5936" w:rsidRPr="006E6390">
        <w:rPr>
          <w:i/>
        </w:rPr>
        <w:t>i</w:t>
      </w:r>
      <w:r w:rsidR="009F5936">
        <w:rPr>
          <w:i/>
        </w:rPr>
        <w:t xml:space="preserve">, </w:t>
      </w:r>
      <w:r w:rsidR="009F5936" w:rsidRPr="00A85205">
        <w:rPr>
          <w:iCs/>
        </w:rPr>
        <w:t>para el ajuste</w:t>
      </w:r>
      <w:r w:rsidR="009F5936">
        <w:rPr>
          <w:iCs/>
        </w:rPr>
        <w:t xml:space="preserve"> tarifario </w:t>
      </w:r>
      <w:r w:rsidR="009F5936">
        <w:t>“</w:t>
      </w:r>
      <w:r w:rsidR="009F5936">
        <w:rPr>
          <w:i/>
        </w:rPr>
        <w:t xml:space="preserve">t”. </w:t>
      </w:r>
    </w:p>
    <w:p w14:paraId="3CC5793B" w14:textId="77777777" w:rsidR="003174C9" w:rsidRDefault="00000000" w:rsidP="003174C9">
      <w:pPr>
        <w:rPr>
          <w:iCs/>
        </w:rPr>
      </w:pPr>
      <m:oMath>
        <m:sSub>
          <m:sSubPr>
            <m:ctrlPr>
              <w:rPr>
                <w:rFonts w:ascii="Cambria Math" w:hAnsi="Cambria Math"/>
              </w:rPr>
            </m:ctrlPr>
          </m:sSubPr>
          <m:e>
            <m:r>
              <w:rPr>
                <w:rFonts w:ascii="Cambria Math" w:hAnsi="Cambria Math"/>
              </w:rPr>
              <m:t>CA</m:t>
            </m:r>
          </m:e>
          <m:sub>
            <m:r>
              <m:rPr>
                <m:sty m:val="p"/>
              </m:rPr>
              <w:rPr>
                <w:rFonts w:ascii="Cambria Math" w:hAnsi="Cambria Math"/>
              </w:rPr>
              <m:t>i,t</m:t>
            </m:r>
          </m:sub>
        </m:sSub>
      </m:oMath>
      <w:r w:rsidR="003174C9" w:rsidRPr="006E6390">
        <w:t xml:space="preserve"> = </w:t>
      </w:r>
      <w:r w:rsidR="003174C9">
        <w:t>Canon de regulación de la actividad de suministro del c</w:t>
      </w:r>
      <w:r w:rsidR="003174C9" w:rsidRPr="006E6390">
        <w:t xml:space="preserve">ombustible </w:t>
      </w:r>
      <w:r w:rsidR="003174C9" w:rsidRPr="006E6390">
        <w:rPr>
          <w:i/>
        </w:rPr>
        <w:t>i</w:t>
      </w:r>
      <w:r w:rsidR="003174C9">
        <w:rPr>
          <w:i/>
        </w:rPr>
        <w:t xml:space="preserve">, </w:t>
      </w:r>
      <w:r w:rsidR="003174C9" w:rsidRPr="00A85205">
        <w:rPr>
          <w:iCs/>
        </w:rPr>
        <w:t>para el ajuste</w:t>
      </w:r>
      <w:r w:rsidR="003174C9">
        <w:rPr>
          <w:iCs/>
        </w:rPr>
        <w:t xml:space="preserve"> tarifario </w:t>
      </w:r>
      <w:r w:rsidR="003174C9">
        <w:t>“</w:t>
      </w:r>
      <w:r w:rsidR="003174C9">
        <w:rPr>
          <w:i/>
        </w:rPr>
        <w:t xml:space="preserve">t”. </w:t>
      </w:r>
    </w:p>
    <w:p w14:paraId="7EC89E07" w14:textId="77777777" w:rsidR="00044373" w:rsidRDefault="00000000" w:rsidP="00044373">
      <w:pPr>
        <w:rPr>
          <w:iCs/>
        </w:rPr>
      </w:pPr>
      <m:oMath>
        <m:sSub>
          <m:sSubPr>
            <m:ctrlPr>
              <w:rPr>
                <w:rFonts w:ascii="Cambria Math" w:hAnsi="Cambria Math"/>
              </w:rPr>
            </m:ctrlPr>
          </m:sSubPr>
          <m:e>
            <m:r>
              <w:rPr>
                <w:rFonts w:ascii="Cambria Math" w:hAnsi="Cambria Math"/>
              </w:rPr>
              <m:t>MO</m:t>
            </m:r>
          </m:e>
          <m:sub>
            <m:r>
              <m:rPr>
                <m:sty m:val="p"/>
              </m:rPr>
              <w:rPr>
                <w:rFonts w:ascii="Cambria Math" w:hAnsi="Cambria Math"/>
              </w:rPr>
              <m:t>i,t</m:t>
            </m:r>
          </m:sub>
        </m:sSub>
      </m:oMath>
      <w:r w:rsidR="00044373" w:rsidRPr="006E6390">
        <w:t xml:space="preserve"> = </w:t>
      </w:r>
      <w:r w:rsidR="00044373">
        <w:t>Margen de operación de Recope por litro del c</w:t>
      </w:r>
      <w:r w:rsidR="00044373" w:rsidRPr="006E6390">
        <w:t xml:space="preserve">ombustible </w:t>
      </w:r>
      <w:r w:rsidR="00044373" w:rsidRPr="006E6390">
        <w:rPr>
          <w:i/>
        </w:rPr>
        <w:t>i</w:t>
      </w:r>
      <w:r w:rsidR="00044373">
        <w:rPr>
          <w:i/>
        </w:rPr>
        <w:t xml:space="preserve">, </w:t>
      </w:r>
      <w:r w:rsidR="00044373">
        <w:rPr>
          <w:iCs/>
        </w:rPr>
        <w:t>en</w:t>
      </w:r>
      <w:r w:rsidR="00044373" w:rsidRPr="00A85205">
        <w:rPr>
          <w:iCs/>
        </w:rPr>
        <w:t xml:space="preserve"> el ajuste</w:t>
      </w:r>
      <w:r w:rsidR="00044373">
        <w:rPr>
          <w:iCs/>
        </w:rPr>
        <w:t xml:space="preserve"> tarifario </w:t>
      </w:r>
      <w:r w:rsidR="00044373">
        <w:t>“</w:t>
      </w:r>
      <w:r w:rsidR="00044373">
        <w:rPr>
          <w:i/>
        </w:rPr>
        <w:t xml:space="preserve">t”. </w:t>
      </w:r>
    </w:p>
    <w:p w14:paraId="4B83F7A8" w14:textId="5E473B26" w:rsidR="00BD6603" w:rsidRPr="006E6390" w:rsidRDefault="00000000" w:rsidP="00BD6603">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i,t</m:t>
            </m:r>
          </m:sub>
        </m:sSub>
      </m:oMath>
      <w:r w:rsidR="00BD6603" w:rsidRPr="006E6390">
        <w:t xml:space="preserve"> = Rendimiento sobre base tarifaria para el combustible </w:t>
      </w:r>
      <w:r w:rsidR="00BD6603" w:rsidRPr="006E6390">
        <w:rPr>
          <w:i/>
        </w:rPr>
        <w:t>i</w:t>
      </w:r>
      <w:r w:rsidR="00BD6603" w:rsidRPr="006E6390">
        <w:t xml:space="preserve">, en el </w:t>
      </w:r>
      <w:r w:rsidR="00BD6603">
        <w:t>ajuste tarifario</w:t>
      </w:r>
      <w:r w:rsidR="00BD6603" w:rsidRPr="006E6390">
        <w:t xml:space="preserve"> </w:t>
      </w:r>
      <w:r w:rsidR="00BD6603">
        <w:t>"</w:t>
      </w:r>
      <w:r w:rsidR="00BD6603">
        <w:rPr>
          <w:i/>
        </w:rPr>
        <w:t>“t”</w:t>
      </w:r>
      <w:r w:rsidR="00BD6603" w:rsidRPr="006E6390">
        <w:t>.</w:t>
      </w:r>
    </w:p>
    <w:p w14:paraId="20C0BAFB" w14:textId="77777777" w:rsidR="00BD6603" w:rsidRPr="006E6390" w:rsidRDefault="00000000" w:rsidP="00BD6603">
      <m:oMath>
        <m:sSub>
          <m:sSubPr>
            <m:ctrlPr>
              <w:rPr>
                <w:rFonts w:ascii="Cambria Math" w:hAnsi="Cambria Math"/>
              </w:rPr>
            </m:ctrlPr>
          </m:sSubPr>
          <m:e>
            <m:r>
              <m:rPr>
                <m:sty m:val="p"/>
              </m:rPr>
              <w:rPr>
                <w:rFonts w:ascii="Cambria Math" w:hAnsi="Cambria Math"/>
              </w:rPr>
              <m:t>ALO</m:t>
            </m:r>
          </m:e>
          <m:sub>
            <m:r>
              <m:rPr>
                <m:sty m:val="p"/>
              </m:rPr>
              <w:rPr>
                <w:rFonts w:ascii="Cambria Math" w:hAnsi="Cambria Math"/>
              </w:rPr>
              <m:t>i,t</m:t>
            </m:r>
          </m:sub>
        </m:sSub>
      </m:oMath>
      <w:r w:rsidR="00BD6603" w:rsidRPr="006E6390">
        <w:t xml:space="preserve">= Ajuste por </w:t>
      </w:r>
      <w:r w:rsidR="00F6373C">
        <w:t>liquidación ordinaria d</w:t>
      </w:r>
      <w:r w:rsidR="00BD6603" w:rsidRPr="006E6390">
        <w:t xml:space="preserve">el combustible </w:t>
      </w:r>
      <w:r w:rsidR="00BD6603" w:rsidRPr="006E6390">
        <w:rPr>
          <w:i/>
        </w:rPr>
        <w:t>i</w:t>
      </w:r>
      <w:r w:rsidR="00BD6603" w:rsidRPr="006E6390">
        <w:t xml:space="preserve">, </w:t>
      </w:r>
      <w:r w:rsidR="00F6373C" w:rsidRPr="006E6390">
        <w:t xml:space="preserve">en el </w:t>
      </w:r>
      <w:r w:rsidR="00F6373C">
        <w:t>ajuste tarifario</w:t>
      </w:r>
      <w:r w:rsidR="00F6373C" w:rsidRPr="006E6390">
        <w:t xml:space="preserve"> </w:t>
      </w:r>
      <w:r w:rsidR="00F6373C">
        <w:t>"</w:t>
      </w:r>
      <w:r w:rsidR="00F6373C">
        <w:rPr>
          <w:i/>
        </w:rPr>
        <w:t>“t”</w:t>
      </w:r>
      <w:r w:rsidR="00F6373C" w:rsidRPr="006E6390">
        <w:t>.</w:t>
      </w:r>
    </w:p>
    <w:p w14:paraId="1CD1E596" w14:textId="77777777" w:rsidR="00427707" w:rsidRDefault="00F6373C" w:rsidP="00ED35E4">
      <w:r w:rsidRPr="00AB0737">
        <w:rPr>
          <w:i/>
          <w:iCs/>
        </w:rPr>
        <w:t>i</w:t>
      </w:r>
      <w:r>
        <w:t xml:space="preserve"> = Tipo de combustible.</w:t>
      </w:r>
    </w:p>
    <w:p w14:paraId="3B615A06" w14:textId="77777777" w:rsidR="00F6373C" w:rsidRDefault="00F6373C" w:rsidP="00ED35E4">
      <w:r w:rsidRPr="00AB0737">
        <w:rPr>
          <w:i/>
          <w:iCs/>
        </w:rPr>
        <w:t>j</w:t>
      </w:r>
      <w:r>
        <w:t xml:space="preserve"> = Subíndice que representa cada fijación tarifaria.</w:t>
      </w:r>
    </w:p>
    <w:p w14:paraId="39852F1B" w14:textId="2EA053DF" w:rsidR="00F41263" w:rsidRDefault="005111F1" w:rsidP="008E2266">
      <w:pPr>
        <w:spacing w:after="0"/>
      </w:pPr>
      <w:r>
        <w:t>La actual metodología se encuentra en un proceso de implementación</w:t>
      </w:r>
      <w:r w:rsidR="00535AAA">
        <w:t>, rige desde el 17 de junio de 2022 (resolución RE-0036-IE-2022)</w:t>
      </w:r>
      <w:r w:rsidR="006A679E">
        <w:t xml:space="preserve">, los principales cambios que presenta frente a </w:t>
      </w:r>
      <w:r w:rsidR="00F41263" w:rsidRPr="006E6390">
        <w:t>la metodología RJD-230-2015</w:t>
      </w:r>
      <w:r w:rsidR="00F27881">
        <w:t xml:space="preserve">, se resumen en que la variable relacionada con el precio internacional ya no se fija según las referencias de precio internacionales por producto, sino por el costo real de la factura que incluye el flete, el seguro y los costos portuarios (costo CIF), adicionalmente, el diferencial de precios pasa de fijarse bimensualmente a semestralmente. </w:t>
      </w:r>
    </w:p>
    <w:p w14:paraId="2EFE59E9" w14:textId="77777777" w:rsidR="004F2EDB" w:rsidRPr="006E6390" w:rsidRDefault="004F2EDB" w:rsidP="008E2266">
      <w:pPr>
        <w:spacing w:after="0"/>
      </w:pPr>
    </w:p>
    <w:p w14:paraId="7E41645B" w14:textId="1E204681" w:rsidR="00F41263" w:rsidRDefault="000E3BC1" w:rsidP="008E2266">
      <w:pPr>
        <w:spacing w:after="0"/>
      </w:pPr>
      <w:r>
        <w:t xml:space="preserve">También se </w:t>
      </w:r>
      <w:r w:rsidR="00F41263" w:rsidRPr="006E6390">
        <w:t>incorpora</w:t>
      </w:r>
      <w:r>
        <w:t>n</w:t>
      </w:r>
      <w:r w:rsidR="00F41263" w:rsidRPr="006E6390">
        <w:t xml:space="preserve"> una serie de modificaciones importantes, con respecto a la metodología previa; dentro de las cuales se encuentran:</w:t>
      </w:r>
    </w:p>
    <w:p w14:paraId="604391DC" w14:textId="77777777" w:rsidR="004F2EDB" w:rsidRPr="006E6390" w:rsidRDefault="004F2EDB" w:rsidP="00ED35E4"/>
    <w:p w14:paraId="2DB3F384" w14:textId="573D7969" w:rsidR="000E3BC1" w:rsidRDefault="00F41263" w:rsidP="00F275AD">
      <w:pPr>
        <w:pStyle w:val="Prrafodelista"/>
        <w:numPr>
          <w:ilvl w:val="0"/>
          <w:numId w:val="25"/>
        </w:numPr>
        <w:ind w:left="714" w:hanging="357"/>
        <w:contextualSpacing w:val="0"/>
      </w:pPr>
      <w:r w:rsidRPr="006E6390">
        <w:t xml:space="preserve">El margen de operación de RECOPE </w:t>
      </w:r>
      <w:r w:rsidR="000E3BC1">
        <w:t>(</w:t>
      </w:r>
      <m:oMath>
        <m:sSub>
          <m:sSubPr>
            <m:ctrlPr>
              <w:rPr>
                <w:rFonts w:ascii="Cambria Math" w:hAnsi="Cambria Math"/>
              </w:rPr>
            </m:ctrlPr>
          </m:sSubPr>
          <m:e>
            <m:r>
              <w:rPr>
                <w:rFonts w:ascii="Cambria Math" w:hAnsi="Cambria Math"/>
              </w:rPr>
              <m:t>MO</m:t>
            </m:r>
          </m:e>
          <m:sub>
            <m:r>
              <m:rPr>
                <m:sty m:val="p"/>
              </m:rPr>
              <w:rPr>
                <w:rFonts w:ascii="Cambria Math" w:hAnsi="Cambria Math"/>
              </w:rPr>
              <m:t>i,t</m:t>
            </m:r>
          </m:sub>
        </m:sSub>
        <m:r>
          <w:rPr>
            <w:rFonts w:ascii="Cambria Math" w:hAnsi="Cambria Math"/>
          </w:rPr>
          <m:t>)</m:t>
        </m:r>
      </m:oMath>
      <w:r w:rsidR="000E3BC1">
        <w:t xml:space="preserve"> sustituye a la </w:t>
      </w: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oMath>
      <w:r w:rsidR="00571714">
        <w:t xml:space="preserve">, la fijación de la RE-0036-IE-2022 </w:t>
      </w:r>
      <w:r w:rsidR="00CC3A15">
        <w:t xml:space="preserve">extrajo algunas de las variables como el flete, el seguro, el margen del trader que se incorporan al costo de adquisición </w:t>
      </w:r>
      <m:oMath>
        <m:r>
          <w:rPr>
            <w:rFonts w:ascii="Cambria Math" w:hAnsi="Cambria Math"/>
          </w:rPr>
          <m:t>(</m:t>
        </m:r>
        <m:sSub>
          <m:sSubPr>
            <m:ctrlPr>
              <w:rPr>
                <w:rFonts w:ascii="Cambria Math" w:hAnsi="Cambria Math"/>
              </w:rPr>
            </m:ctrlPr>
          </m:sSubPr>
          <m:e>
            <m:r>
              <w:rPr>
                <w:rFonts w:ascii="Cambria Math" w:hAnsi="Cambria Math"/>
              </w:rPr>
              <m:t>COA</m:t>
            </m:r>
          </m:e>
          <m:sub>
            <m:r>
              <m:rPr>
                <m:sty m:val="p"/>
              </m:rPr>
              <w:rPr>
                <w:rFonts w:ascii="Cambria Math" w:hAnsi="Cambria Math"/>
              </w:rPr>
              <m:t>i,t</m:t>
            </m:r>
          </m:sub>
        </m:sSub>
      </m:oMath>
      <w:r w:rsidR="00CC3A15">
        <w:t>)</w:t>
      </w:r>
      <w:r w:rsidR="00A72BC6">
        <w:t>, sin darse una revisión de las variables que permanecen (a la espera de una nueva fijación ordinaria).</w:t>
      </w:r>
    </w:p>
    <w:p w14:paraId="627F6126" w14:textId="2F7CF76D" w:rsidR="00A72BC6" w:rsidRDefault="00F41263" w:rsidP="00F275AD">
      <w:pPr>
        <w:pStyle w:val="Prrafodelista"/>
        <w:numPr>
          <w:ilvl w:val="0"/>
          <w:numId w:val="25"/>
        </w:numPr>
        <w:ind w:left="714" w:hanging="357"/>
        <w:contextualSpacing w:val="0"/>
      </w:pPr>
      <w:r w:rsidRPr="006E6390">
        <w:t xml:space="preserve">La ecuación de precios </w:t>
      </w:r>
      <w:r w:rsidR="00A72BC6">
        <w:t xml:space="preserve">introduce </w:t>
      </w:r>
      <w:r w:rsidRPr="006E6390">
        <w:t xml:space="preserve">variables </w:t>
      </w:r>
      <w:r w:rsidR="00A72BC6">
        <w:t xml:space="preserve">de </w:t>
      </w:r>
      <w:r w:rsidRPr="006E6390">
        <w:t xml:space="preserve">ajuste por concepto de gastos de operación </w:t>
      </w:r>
      <w:r w:rsidR="00A72BC6">
        <w:t xml:space="preserve">tales como el Ajuste de Liquidación Extraordinaria </w:t>
      </w:r>
      <w:r w:rsidRPr="006E6390">
        <w:t>(</w:t>
      </w:r>
      <m:oMath>
        <m:sSub>
          <m:sSubPr>
            <m:ctrlPr>
              <w:rPr>
                <w:rFonts w:ascii="Cambria Math" w:hAnsi="Cambria Math"/>
              </w:rPr>
            </m:ctrlPr>
          </m:sSubPr>
          <m:e>
            <m:r>
              <m:rPr>
                <m:sty m:val="p"/>
              </m:rPr>
              <w:rPr>
                <w:rFonts w:ascii="Cambria Math" w:hAnsi="Cambria Math"/>
              </w:rPr>
              <m:t>ALE</m:t>
            </m:r>
          </m:e>
          <m:sub>
            <m:r>
              <m:rPr>
                <m:sty m:val="p"/>
              </m:rPr>
              <w:rPr>
                <w:rFonts w:ascii="Cambria Math" w:hAnsi="Cambria Math"/>
              </w:rPr>
              <m:t>i,t</m:t>
            </m:r>
          </m:sub>
        </m:sSub>
      </m:oMath>
      <w:r w:rsidRPr="006E6390">
        <w:t xml:space="preserve">) </w:t>
      </w:r>
      <w:r w:rsidR="00A72BC6">
        <w:t xml:space="preserve">que parte del cierre entre ingresos y gastos de variables como subsidios, y el Ajuste de Liquidación Ordinaria </w:t>
      </w:r>
      <m:oMath>
        <m:sSub>
          <m:sSubPr>
            <m:ctrlPr>
              <w:rPr>
                <w:rFonts w:ascii="Cambria Math" w:hAnsi="Cambria Math"/>
              </w:rPr>
            </m:ctrlPr>
          </m:sSubPr>
          <m:e>
            <m:r>
              <m:rPr>
                <m:sty m:val="p"/>
              </m:rPr>
              <w:rPr>
                <w:rFonts w:ascii="Cambria Math" w:hAnsi="Cambria Math"/>
              </w:rPr>
              <m:t>(ALO</m:t>
            </m:r>
          </m:e>
          <m:sub>
            <m:r>
              <m:rPr>
                <m:sty m:val="p"/>
              </m:rPr>
              <w:rPr>
                <w:rFonts w:ascii="Cambria Math" w:hAnsi="Cambria Math"/>
              </w:rPr>
              <m:t>i,t</m:t>
            </m:r>
          </m:sub>
        </m:sSub>
      </m:oMath>
      <w:r w:rsidR="00A72BC6">
        <w:t>) que realiza una acción similar, pero con variables de carácter ordinaria.</w:t>
      </w:r>
    </w:p>
    <w:p w14:paraId="737458F8" w14:textId="475E1830" w:rsidR="00F41263" w:rsidRPr="006E6390" w:rsidRDefault="00F41263" w:rsidP="00F275AD">
      <w:pPr>
        <w:pStyle w:val="Prrafodelista"/>
        <w:numPr>
          <w:ilvl w:val="0"/>
          <w:numId w:val="25"/>
        </w:numPr>
        <w:ind w:left="714" w:hanging="357"/>
        <w:contextualSpacing w:val="0"/>
      </w:pPr>
      <w:r w:rsidRPr="006E6390">
        <w:t xml:space="preserve">El tipo de cambio a utilizar para colonizar el </w:t>
      </w:r>
      <w:r w:rsidR="00A72BC6">
        <w:t xml:space="preserve">costo de adquisición </w:t>
      </w:r>
      <w:r w:rsidRPr="006E6390">
        <w:t xml:space="preserve">del combustible se calcularía como la media aritmética de datos disponibles en los últimos 15 días naturales al segundo viernes de cada mes, </w:t>
      </w:r>
      <w:r w:rsidR="00A72BC6">
        <w:t xml:space="preserve">mientras que en el caso del </w:t>
      </w:r>
      <m:oMath>
        <m:r>
          <w:rPr>
            <w:rFonts w:ascii="Cambria Math" w:hAnsi="Cambria Math"/>
          </w:rPr>
          <m:t>(</m:t>
        </m:r>
        <m:sSub>
          <m:sSubPr>
            <m:ctrlPr>
              <w:rPr>
                <w:rFonts w:ascii="Cambria Math" w:hAnsi="Cambria Math"/>
              </w:rPr>
            </m:ctrlPr>
          </m:sSubPr>
          <m:e>
            <m:r>
              <w:rPr>
                <w:rFonts w:ascii="Cambria Math" w:hAnsi="Cambria Math"/>
              </w:rPr>
              <m:t>COA</m:t>
            </m:r>
          </m:e>
          <m:sub>
            <m:r>
              <m:rPr>
                <m:sty m:val="p"/>
              </m:rPr>
              <w:rPr>
                <w:rFonts w:ascii="Cambria Math" w:hAnsi="Cambria Math"/>
              </w:rPr>
              <m:t>i,t</m:t>
            </m:r>
          </m:sub>
        </m:sSub>
      </m:oMath>
      <w:r w:rsidR="00A72BC6">
        <w:t>) la estimación se basa en el costo promedio de los embarques entre el segundo viernes del mes anterior y el segundo jueves del mes de la fijación.</w:t>
      </w:r>
    </w:p>
    <w:p w14:paraId="51861CE7" w14:textId="738BE6D3" w:rsidR="00F41263" w:rsidRDefault="00F41263" w:rsidP="00F275AD">
      <w:pPr>
        <w:pStyle w:val="Prrafodelista"/>
        <w:numPr>
          <w:ilvl w:val="0"/>
          <w:numId w:val="25"/>
        </w:numPr>
        <w:ind w:left="714" w:hanging="357"/>
        <w:contextualSpacing w:val="0"/>
      </w:pPr>
      <w:r w:rsidRPr="006E6390">
        <w:t xml:space="preserve">El costo de capital se </w:t>
      </w:r>
      <w:r w:rsidR="00A72BC6">
        <w:t>continúa</w:t>
      </w:r>
      <w:r w:rsidR="00A72BC6" w:rsidRPr="006E6390">
        <w:t xml:space="preserve"> </w:t>
      </w:r>
      <w:r w:rsidRPr="006E6390">
        <w:t>a partir del rendimiento sobre la base tarifaria (</w:t>
      </w:r>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i,t</m:t>
            </m:r>
          </m:sub>
        </m:sSub>
      </m:oMath>
      <w:r w:rsidRPr="006E6390">
        <w:t>) y esta última se calcula como la suma del activo fijo neto de operación revaluado (</w:t>
      </w:r>
      <m:oMath>
        <m:sSub>
          <m:sSubPr>
            <m:ctrlPr>
              <w:rPr>
                <w:rFonts w:ascii="Cambria Math" w:hAnsi="Cambria Math"/>
              </w:rPr>
            </m:ctrlPr>
          </m:sSubPr>
          <m:e>
            <m:r>
              <m:rPr>
                <m:sty m:val="p"/>
              </m:rPr>
              <w:rPr>
                <w:rFonts w:ascii="Cambria Math" w:hAnsi="Cambria Math"/>
              </w:rPr>
              <m:t>AFNOR</m:t>
            </m:r>
          </m:e>
          <m:sub>
            <m:r>
              <m:rPr>
                <m:sty m:val="p"/>
              </m:rPr>
              <w:rPr>
                <w:rFonts w:ascii="Cambria Math" w:hAnsi="Cambria Math"/>
              </w:rPr>
              <m:t>i,t</m:t>
            </m:r>
          </m:sub>
        </m:sSub>
      </m:oMath>
      <w:r w:rsidRPr="006E6390">
        <w:t>) y el capital de trabajo (</w:t>
      </w:r>
      <m:oMath>
        <m:sSub>
          <m:sSubPr>
            <m:ctrlPr>
              <w:rPr>
                <w:rFonts w:ascii="Cambria Math" w:hAnsi="Cambria Math"/>
              </w:rPr>
            </m:ctrlPr>
          </m:sSubPr>
          <m:e>
            <m:r>
              <m:rPr>
                <m:sty m:val="p"/>
              </m:rPr>
              <w:rPr>
                <w:rFonts w:ascii="Cambria Math" w:hAnsi="Cambria Math"/>
              </w:rPr>
              <m:t>CT</m:t>
            </m:r>
          </m:e>
          <m:sub>
            <m:r>
              <m:rPr>
                <m:sty m:val="p"/>
              </m:rPr>
              <w:rPr>
                <w:rFonts w:ascii="Cambria Math" w:hAnsi="Cambria Math"/>
              </w:rPr>
              <m:t>i,t</m:t>
            </m:r>
          </m:sub>
        </m:sSub>
      </m:oMath>
      <w:r w:rsidRPr="006E6390">
        <w:t>).</w:t>
      </w:r>
      <w:r w:rsidR="00801D12">
        <w:t xml:space="preserve">  La novedad consiste en que para estimar el costo del capital propio se sustituyen tasas pasivas publicadas por el Banco Central de Costa Rica por información de fuentes internacionales en variables como tasa libre de riesgo, beta desapalancada del sector.</w:t>
      </w:r>
    </w:p>
    <w:p w14:paraId="210F98AB" w14:textId="77777777" w:rsidR="00F343AC" w:rsidRDefault="00F343AC" w:rsidP="00F275AD">
      <w:pPr>
        <w:pStyle w:val="Prrafodelista"/>
        <w:numPr>
          <w:ilvl w:val="0"/>
          <w:numId w:val="25"/>
        </w:numPr>
        <w:ind w:left="714" w:hanging="357"/>
        <w:contextualSpacing w:val="0"/>
      </w:pPr>
      <w:r>
        <w:lastRenderedPageBreak/>
        <w:t>Se incorpora la posibilidad de fijar precios no solo por volumen (por litro), sino que una vez cumplidas las condiciones para ello, se implementará la venta por masa (por kilogramo) en el caso del Gas Licuado de Petróleo (GLP), por ejemplo.</w:t>
      </w:r>
    </w:p>
    <w:p w14:paraId="6E60AE49" w14:textId="18077D9D" w:rsidR="00FB1BD5" w:rsidRDefault="30554478" w:rsidP="30554478">
      <w:pPr>
        <w:pStyle w:val="Prrafodelista"/>
        <w:numPr>
          <w:ilvl w:val="0"/>
          <w:numId w:val="25"/>
        </w:numPr>
        <w:ind w:left="714" w:hanging="357"/>
      </w:pPr>
      <w:r>
        <w:t>La actual metodología introduce factores de eficiencia como el factor X, es decir, con el objeto de limitar el crecimiento futuro de los gastos operativos.</w:t>
      </w:r>
    </w:p>
    <w:p w14:paraId="0E0B2261" w14:textId="77777777" w:rsidR="00F343AC" w:rsidRPr="006E6390" w:rsidRDefault="00F343AC" w:rsidP="00953B2B">
      <w:pPr>
        <w:spacing w:after="0"/>
      </w:pPr>
    </w:p>
    <w:p w14:paraId="181CC359" w14:textId="7819CA31" w:rsidR="00A85076" w:rsidRDefault="00801D12" w:rsidP="00DE4C92">
      <w:pPr>
        <w:spacing w:after="0"/>
      </w:pPr>
      <w:r>
        <w:t xml:space="preserve">Las fijaciones </w:t>
      </w:r>
      <w:r w:rsidR="00A85076" w:rsidRPr="006E6390">
        <w:t>extraordinaria</w:t>
      </w:r>
      <w:r>
        <w:t>s</w:t>
      </w:r>
      <w:r w:rsidR="00A85076" w:rsidRPr="006E6390">
        <w:t xml:space="preserve"> se </w:t>
      </w:r>
      <w:r w:rsidR="00112F3E">
        <w:t>actualizan</w:t>
      </w:r>
      <w:r w:rsidR="00A85076" w:rsidRPr="006E6390">
        <w:t xml:space="preserve"> las siguientes variables: </w:t>
      </w:r>
      <w:r>
        <w:t>costo de adquisición</w:t>
      </w:r>
      <w:r w:rsidR="00A85076" w:rsidRPr="006E6390">
        <w:t xml:space="preserve"> (</w:t>
      </w:r>
      <m:oMath>
        <m:sSub>
          <m:sSubPr>
            <m:ctrlPr>
              <w:rPr>
                <w:rFonts w:ascii="Cambria Math" w:hAnsi="Cambria Math"/>
              </w:rPr>
            </m:ctrlPr>
          </m:sSubPr>
          <m:e>
            <m:r>
              <m:rPr>
                <m:sty m:val="p"/>
              </m:rPr>
              <w:rPr>
                <w:rFonts w:ascii="Cambria Math" w:hAnsi="Cambria Math"/>
              </w:rPr>
              <m:t>COA</m:t>
            </m:r>
          </m:e>
          <m:sub>
            <m:r>
              <m:rPr>
                <m:sty m:val="p"/>
              </m:rPr>
              <w:rPr>
                <w:rFonts w:ascii="Cambria Math" w:hAnsi="Cambria Math"/>
              </w:rPr>
              <m:t>it</m:t>
            </m:r>
          </m:sub>
        </m:sSub>
      </m:oMath>
      <w:r w:rsidR="00A85076" w:rsidRPr="006E6390">
        <w:t>),</w:t>
      </w:r>
      <w:r>
        <w:t xml:space="preserve"> </w:t>
      </w:r>
      <w:r w:rsidR="00A85076" w:rsidRPr="006E6390">
        <w:t>subsidio cruzado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i,j</m:t>
            </m:r>
          </m:sub>
        </m:sSub>
      </m:oMath>
      <w:r w:rsidR="00A85076" w:rsidRPr="006E6390">
        <w:t>), asignación del subsidio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i,j</m:t>
            </m:r>
          </m:sub>
        </m:sSub>
      </m:oMath>
      <w:r w:rsidR="00A85076" w:rsidRPr="006E6390">
        <w:t>), diferencial de precios (</w:t>
      </w:r>
      <m:oMath>
        <m:sSub>
          <m:sSubPr>
            <m:ctrlPr>
              <w:rPr>
                <w:rFonts w:ascii="Cambria Math" w:hAnsi="Cambria Math"/>
              </w:rPr>
            </m:ctrlPr>
          </m:sSubPr>
          <m:e>
            <m:r>
              <m:rPr>
                <m:sty m:val="p"/>
              </m:rPr>
              <w:rPr>
                <w:rFonts w:ascii="Cambria Math" w:hAnsi="Cambria Math"/>
              </w:rPr>
              <m:t>DA</m:t>
            </m:r>
          </m:e>
          <m:sub>
            <m:r>
              <m:rPr>
                <m:sty m:val="p"/>
              </m:rPr>
              <w:rPr>
                <w:rFonts w:ascii="Cambria Math" w:hAnsi="Cambria Math"/>
              </w:rPr>
              <m:t>i,t</m:t>
            </m:r>
          </m:sub>
        </m:sSub>
      </m:oMath>
      <w:r w:rsidR="00A85076" w:rsidRPr="006E6390">
        <w:t>)</w:t>
      </w:r>
      <w:r>
        <w:t xml:space="preserve"> dos veces por año</w:t>
      </w:r>
      <w:r w:rsidR="00A85076" w:rsidRPr="006E6390">
        <w:t>, el canon de regulación (</w:t>
      </w:r>
      <m:oMath>
        <m:sSub>
          <m:sSubPr>
            <m:ctrlPr>
              <w:rPr>
                <w:rFonts w:ascii="Cambria Math" w:hAnsi="Cambria Math"/>
              </w:rPr>
            </m:ctrlPr>
          </m:sSubPr>
          <m:e>
            <m:r>
              <m:rPr>
                <m:sty m:val="p"/>
              </m:rPr>
              <w:rPr>
                <w:rFonts w:ascii="Cambria Math" w:hAnsi="Cambria Math"/>
              </w:rPr>
              <m:t>CA</m:t>
            </m:r>
          </m:e>
          <m:sub>
            <m:r>
              <m:rPr>
                <m:sty m:val="p"/>
              </m:rPr>
              <w:rPr>
                <w:rFonts w:ascii="Cambria Math" w:hAnsi="Cambria Math"/>
              </w:rPr>
              <m:t>i,t</m:t>
            </m:r>
          </m:sub>
        </m:sSub>
      </m:oMath>
      <w:r w:rsidR="00A85076" w:rsidRPr="006E6390">
        <w:t>)</w:t>
      </w:r>
      <w:r>
        <w:t xml:space="preserve"> una vez al año</w:t>
      </w:r>
      <w:r w:rsidR="00A85076" w:rsidRPr="006E6390">
        <w:t>, el impuesto a los combustibles (</w:t>
      </w:r>
      <m:oMath>
        <m:sSub>
          <m:sSubPr>
            <m:ctrlPr>
              <w:rPr>
                <w:rFonts w:ascii="Cambria Math" w:hAnsi="Cambria Math"/>
              </w:rPr>
            </m:ctrlPr>
          </m:sSubPr>
          <m:e>
            <m:r>
              <m:rPr>
                <m:sty m:val="p"/>
              </m:rPr>
              <w:rPr>
                <w:rFonts w:ascii="Cambria Math" w:hAnsi="Cambria Math"/>
              </w:rPr>
              <m:t>IU</m:t>
            </m:r>
          </m:e>
          <m:sub>
            <m:r>
              <m:rPr>
                <m:sty m:val="p"/>
              </m:rPr>
              <w:rPr>
                <w:rFonts w:ascii="Cambria Math" w:hAnsi="Cambria Math"/>
              </w:rPr>
              <m:t>i</m:t>
            </m:r>
          </m:sub>
        </m:sSub>
        <m:r>
          <w:rPr>
            <w:rFonts w:ascii="Cambria Math" w:hAnsi="Cambria Math"/>
          </w:rPr>
          <m:t>,t</m:t>
        </m:r>
      </m:oMath>
      <w:r w:rsidR="00A85076" w:rsidRPr="006E6390">
        <w:t xml:space="preserve">) </w:t>
      </w:r>
      <w:r>
        <w:t>cada vez que varíe mediante Decreto Ejecutivo, así como l</w:t>
      </w:r>
      <w:r w:rsidR="00A85076" w:rsidRPr="006E6390">
        <w:t xml:space="preserve">a banda de precios para los productos </w:t>
      </w:r>
      <w:r w:rsidR="007127D7">
        <w:t>IFO</w:t>
      </w:r>
      <w:r w:rsidR="00A85076" w:rsidRPr="006E6390">
        <w:t xml:space="preserve">, </w:t>
      </w:r>
      <w:r>
        <w:t>J</w:t>
      </w:r>
      <w:r w:rsidR="00A85076" w:rsidRPr="006E6390">
        <w:t xml:space="preserve">et fuel y </w:t>
      </w:r>
      <w:r w:rsidR="00721B41" w:rsidRPr="006E6390">
        <w:t>Av</w:t>
      </w:r>
      <w:r w:rsidR="007127D7">
        <w:t>-</w:t>
      </w:r>
      <w:r w:rsidR="00721B41" w:rsidRPr="006E6390">
        <w:t>gas</w:t>
      </w:r>
      <w:r w:rsidR="00A85076" w:rsidRPr="006E6390">
        <w:t>, lo que corresponde con la determinación de la desviación estándar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oMath>
      <w:r w:rsidR="00A85076" w:rsidRPr="006E6390">
        <w:t>)</w:t>
      </w:r>
      <w:r>
        <w:t xml:space="preserve"> de un período de 24 meses.  También se incorpora la novedad de que el regulado puede solicitar un cambio en el monto aprobado por </w:t>
      </w:r>
      <m:oMath>
        <m:sSub>
          <m:sSubPr>
            <m:ctrlPr>
              <w:rPr>
                <w:rFonts w:ascii="Cambria Math" w:hAnsi="Cambria Math"/>
              </w:rPr>
            </m:ctrlPr>
          </m:sSubPr>
          <m:e>
            <m:r>
              <m:rPr>
                <m:sty m:val="p"/>
              </m:rPr>
              <w:rPr>
                <w:rFonts w:ascii="Cambria Math" w:hAnsi="Cambria Math"/>
              </w:rPr>
              <m:t>RSBT</m:t>
            </m:r>
          </m:e>
          <m:sub>
            <m:r>
              <m:rPr>
                <m:sty m:val="p"/>
              </m:rPr>
              <w:rPr>
                <w:rFonts w:ascii="Cambria Math" w:hAnsi="Cambria Math"/>
              </w:rPr>
              <m:t>i,t</m:t>
            </m:r>
          </m:sub>
        </m:sSub>
      </m:oMath>
      <w:r>
        <w:t xml:space="preserve"> de manera extraordinaria con base en una serie de condiciones.</w:t>
      </w:r>
    </w:p>
    <w:p w14:paraId="6CAD0FA7" w14:textId="77777777" w:rsidR="00D641A8" w:rsidRPr="006E6390" w:rsidRDefault="00D641A8" w:rsidP="00953B2B">
      <w:pPr>
        <w:spacing w:after="0"/>
      </w:pPr>
    </w:p>
    <w:p w14:paraId="0A2FDA43" w14:textId="4123001A" w:rsidR="00A85076" w:rsidRDefault="001F7831" w:rsidP="00953B2B">
      <w:pPr>
        <w:spacing w:after="0"/>
        <w:rPr>
          <w:rFonts w:cs="Arial"/>
        </w:rPr>
      </w:pPr>
      <w:r>
        <w:rPr>
          <w:rFonts w:cs="Arial"/>
        </w:rPr>
        <w:t>L</w:t>
      </w:r>
      <w:r w:rsidR="00A85076" w:rsidRPr="00431C38">
        <w:rPr>
          <w:rFonts w:cs="Arial"/>
        </w:rPr>
        <w:t xml:space="preserve">os gráficos </w:t>
      </w:r>
      <w:r w:rsidR="00D27F28" w:rsidRPr="00431C38">
        <w:rPr>
          <w:rFonts w:cs="Arial"/>
        </w:rPr>
        <w:t>N°</w:t>
      </w:r>
      <w:r w:rsidR="00A85076" w:rsidRPr="00431C38">
        <w:rPr>
          <w:rFonts w:cs="Arial"/>
        </w:rPr>
        <w:t xml:space="preserve">3 a </w:t>
      </w:r>
      <w:r w:rsidR="00D27F28" w:rsidRPr="00431C38">
        <w:rPr>
          <w:rFonts w:cs="Arial"/>
        </w:rPr>
        <w:t>N°</w:t>
      </w:r>
      <w:r w:rsidR="00A85076" w:rsidRPr="00431C38">
        <w:rPr>
          <w:rFonts w:cs="Arial"/>
        </w:rPr>
        <w:t>8 presenta</w:t>
      </w:r>
      <w:r>
        <w:rPr>
          <w:rFonts w:cs="Arial"/>
        </w:rPr>
        <w:t>n la</w:t>
      </w:r>
      <w:r w:rsidR="00A85076" w:rsidRPr="00431C38">
        <w:rPr>
          <w:rFonts w:cs="Arial"/>
        </w:rPr>
        <w:t xml:space="preserve"> estructura de precios de los principales productos de venta de RECOPE. </w:t>
      </w:r>
      <w:r w:rsidR="007127D7" w:rsidRPr="00431C38">
        <w:rPr>
          <w:rFonts w:cs="Arial"/>
        </w:rPr>
        <w:t xml:space="preserve"> </w:t>
      </w:r>
      <w:r w:rsidR="00A85076" w:rsidRPr="00431C38">
        <w:rPr>
          <w:rFonts w:cs="Arial"/>
        </w:rPr>
        <w:t xml:space="preserve">En el caso de las gasolinas y el diésel la estructura corresponde con el precio al consumidor final y en el caso del </w:t>
      </w:r>
      <w:r w:rsidR="00D824DC" w:rsidRPr="00431C38">
        <w:rPr>
          <w:rFonts w:cs="Arial"/>
        </w:rPr>
        <w:t>GLP</w:t>
      </w:r>
      <w:r w:rsidR="00A85076" w:rsidRPr="00431C38">
        <w:rPr>
          <w:rFonts w:cs="Arial"/>
        </w:rPr>
        <w:t xml:space="preserve">, </w:t>
      </w:r>
      <w:r w:rsidR="007127D7" w:rsidRPr="00431C38">
        <w:rPr>
          <w:rFonts w:cs="Arial"/>
        </w:rPr>
        <w:t>J</w:t>
      </w:r>
      <w:r w:rsidR="00A85076" w:rsidRPr="00431C38">
        <w:rPr>
          <w:rFonts w:cs="Arial"/>
        </w:rPr>
        <w:t xml:space="preserve">et fuel y búnker con el precio </w:t>
      </w:r>
      <w:r w:rsidR="00B26DD0">
        <w:rPr>
          <w:rFonts w:cs="Arial"/>
        </w:rPr>
        <w:t>termina</w:t>
      </w:r>
      <w:r w:rsidR="00B26DD0" w:rsidRPr="00431C38">
        <w:rPr>
          <w:rFonts w:cs="Arial"/>
        </w:rPr>
        <w:t>l</w:t>
      </w:r>
      <w:r w:rsidR="00A85076" w:rsidRPr="00431C38">
        <w:rPr>
          <w:rFonts w:cs="Arial"/>
        </w:rPr>
        <w:t>.</w:t>
      </w:r>
    </w:p>
    <w:p w14:paraId="2102EA61" w14:textId="77777777" w:rsidR="00D641A8" w:rsidRPr="00431C38" w:rsidRDefault="00D641A8" w:rsidP="0064568E">
      <w:pPr>
        <w:spacing w:after="0"/>
        <w:rPr>
          <w:rFonts w:cs="Arial"/>
        </w:rPr>
      </w:pPr>
    </w:p>
    <w:p w14:paraId="68D50432" w14:textId="164A9E97" w:rsidR="00A85076" w:rsidRDefault="00A85076" w:rsidP="0064568E">
      <w:pPr>
        <w:spacing w:after="0"/>
        <w:rPr>
          <w:rFonts w:cs="Arial"/>
        </w:rPr>
      </w:pPr>
      <w:r w:rsidRPr="00431C38">
        <w:rPr>
          <w:rFonts w:cs="Arial"/>
        </w:rPr>
        <w:t xml:space="preserve">El peso de los componentes se determina calculando el promedio </w:t>
      </w:r>
      <w:r w:rsidR="00686E33">
        <w:rPr>
          <w:rFonts w:cs="Arial"/>
        </w:rPr>
        <w:t>ponderado</w:t>
      </w:r>
      <w:r w:rsidR="00686E33" w:rsidRPr="00431C38">
        <w:rPr>
          <w:rFonts w:cs="Arial"/>
        </w:rPr>
        <w:t xml:space="preserve"> </w:t>
      </w:r>
      <w:r w:rsidRPr="00431C38">
        <w:rPr>
          <w:rFonts w:cs="Arial"/>
        </w:rPr>
        <w:t>de los precios fijados por ARESEP en cada uno de los años del periodo de análisis</w:t>
      </w:r>
      <w:r w:rsidR="00350B3E" w:rsidRPr="00431C38">
        <w:rPr>
          <w:rFonts w:cs="Arial"/>
        </w:rPr>
        <w:t xml:space="preserve"> (</w:t>
      </w:r>
      <w:r w:rsidR="00686E33" w:rsidRPr="00431C38">
        <w:rPr>
          <w:rFonts w:cs="Arial"/>
        </w:rPr>
        <w:t>20</w:t>
      </w:r>
      <w:r w:rsidR="00686E33">
        <w:rPr>
          <w:rFonts w:cs="Arial"/>
        </w:rPr>
        <w:t>20</w:t>
      </w:r>
      <w:r w:rsidR="00350B3E" w:rsidRPr="00431C38">
        <w:rPr>
          <w:rFonts w:cs="Arial"/>
        </w:rPr>
        <w:t>-</w:t>
      </w:r>
      <w:r w:rsidR="00686E33" w:rsidRPr="00431C38">
        <w:rPr>
          <w:rFonts w:cs="Arial"/>
        </w:rPr>
        <w:t>202</w:t>
      </w:r>
      <w:r w:rsidR="00686E33">
        <w:rPr>
          <w:rFonts w:cs="Arial"/>
        </w:rPr>
        <w:t>2</w:t>
      </w:r>
      <w:r w:rsidR="00350B3E" w:rsidRPr="00431C38">
        <w:rPr>
          <w:rFonts w:cs="Arial"/>
        </w:rPr>
        <w:t>)</w:t>
      </w:r>
      <w:r w:rsidR="00686E33">
        <w:rPr>
          <w:rFonts w:cs="Arial"/>
        </w:rPr>
        <w:t>, con la salvedad de que las variables como la de precio internacional incorporan el cambio metodológico antes comentado, así como en el margen de RECOPE.  Los precios y sus componentes se ponderan por los días que mantuvo vigente la respectiva resolución de precios.</w:t>
      </w:r>
    </w:p>
    <w:p w14:paraId="06D1A73C" w14:textId="2E3757F5" w:rsidR="00A12E06" w:rsidRPr="008D5700" w:rsidRDefault="00A12E06" w:rsidP="001F7831">
      <w:pPr>
        <w:tabs>
          <w:tab w:val="left" w:pos="9270"/>
        </w:tabs>
        <w:spacing w:after="0"/>
        <w:rPr>
          <w:rFonts w:cs="Arial"/>
        </w:rPr>
      </w:pPr>
    </w:p>
    <w:p w14:paraId="340969D6" w14:textId="1C362E78" w:rsidR="00A12E06" w:rsidRDefault="00A12E06" w:rsidP="001F7831">
      <w:pPr>
        <w:tabs>
          <w:tab w:val="left" w:pos="9270"/>
        </w:tabs>
        <w:spacing w:after="0"/>
        <w:rPr>
          <w:rFonts w:cs="Arial"/>
        </w:rPr>
      </w:pPr>
      <w:r w:rsidRPr="008D5700">
        <w:rPr>
          <w:rFonts w:cs="Arial"/>
        </w:rPr>
        <w:t>Los precios de las gasolinas muestran una tendencia al alza, impulsada por la subida en los precios internacionales</w:t>
      </w:r>
      <w:r>
        <w:rPr>
          <w:rFonts w:cs="Arial"/>
        </w:rPr>
        <w:t>, primero como efecto rebote de lo sucedido en 2020</w:t>
      </w:r>
      <w:r w:rsidR="0064568E">
        <w:rPr>
          <w:rFonts w:cs="Arial"/>
        </w:rPr>
        <w:t>,</w:t>
      </w:r>
      <w:r>
        <w:rPr>
          <w:rFonts w:cs="Arial"/>
        </w:rPr>
        <w:t xml:space="preserve"> cuando los precios en el segundo trimestre de ese año mostraron niveles históricamente bajos ante las medidas para contener la pandemia de Covid-19 a escala mundial.  En el 2021 se dio una combinación de un rebote en la demanda impulsado por la reactivación de las economías como de problemas de tipo operativo en los mercados energéticos a raíz de la caída de mantenimientos en 2020 y de recortes de producción acordados por el cartel de la OPEP.</w:t>
      </w:r>
    </w:p>
    <w:p w14:paraId="3C3F837C" w14:textId="77777777" w:rsidR="00C01FF9" w:rsidRDefault="00C01FF9" w:rsidP="001F7831">
      <w:pPr>
        <w:tabs>
          <w:tab w:val="left" w:pos="9270"/>
        </w:tabs>
        <w:spacing w:after="0"/>
        <w:rPr>
          <w:rFonts w:cs="Arial"/>
        </w:rPr>
      </w:pPr>
    </w:p>
    <w:p w14:paraId="6C64CFEB" w14:textId="1C83ABF2" w:rsidR="00C01FF9" w:rsidRDefault="00C01FF9" w:rsidP="00C01FF9">
      <w:pPr>
        <w:tabs>
          <w:tab w:val="left" w:pos="9270"/>
        </w:tabs>
        <w:spacing w:after="0"/>
        <w:rPr>
          <w:rFonts w:cs="Arial"/>
        </w:rPr>
      </w:pPr>
      <w:r w:rsidRPr="00CF223C">
        <w:rPr>
          <w:rFonts w:cs="Arial"/>
        </w:rPr>
        <w:t>En 2022</w:t>
      </w:r>
      <w:r w:rsidR="001A3696">
        <w:rPr>
          <w:rFonts w:cs="Arial"/>
        </w:rPr>
        <w:t xml:space="preserve">, producto </w:t>
      </w:r>
      <w:r w:rsidRPr="00CF223C">
        <w:rPr>
          <w:rFonts w:cs="Arial"/>
        </w:rPr>
        <w:t>del conflicto entre Rusia y Ucrania, los precios empezaron a subir y alcanzaron su cima a mediados de junio, de ahí en adelante, se da una baja, primero impulsada por las acciones de Estados Unidos con el objeto de suplir parte de lo que aportaba Rusia en el mercado europeo, como por los temores a una recesión mundial, la desaceleración de la economía china, las alzas de tasas de interés, entre otros.</w:t>
      </w:r>
    </w:p>
    <w:p w14:paraId="026811E6" w14:textId="1462F4B5" w:rsidR="00A4594C" w:rsidRDefault="00A4594C" w:rsidP="00C01FF9">
      <w:pPr>
        <w:tabs>
          <w:tab w:val="left" w:pos="9270"/>
        </w:tabs>
        <w:spacing w:after="0"/>
        <w:rPr>
          <w:rFonts w:cs="Arial"/>
        </w:rPr>
      </w:pPr>
    </w:p>
    <w:p w14:paraId="3352755C" w14:textId="77777777" w:rsidR="00A4594C" w:rsidRPr="00CF223C" w:rsidRDefault="00A4594C" w:rsidP="00C01FF9">
      <w:pPr>
        <w:tabs>
          <w:tab w:val="left" w:pos="9270"/>
        </w:tabs>
        <w:spacing w:after="0"/>
        <w:rPr>
          <w:rFonts w:cs="Arial"/>
        </w:rPr>
      </w:pPr>
    </w:p>
    <w:p w14:paraId="7289633A" w14:textId="77777777" w:rsidR="00C01FF9" w:rsidRPr="00431C38" w:rsidRDefault="00C01FF9" w:rsidP="00C01FF9">
      <w:pPr>
        <w:spacing w:after="0"/>
        <w:rPr>
          <w:rFonts w:cs="Arial"/>
        </w:rPr>
      </w:pPr>
    </w:p>
    <w:p w14:paraId="19BFC70A" w14:textId="77777777" w:rsidR="00A85076" w:rsidRPr="006E6390" w:rsidRDefault="00A85076" w:rsidP="00A03F7A">
      <w:pPr>
        <w:contextualSpacing/>
        <w:jc w:val="center"/>
        <w:rPr>
          <w:b/>
        </w:rPr>
      </w:pPr>
      <w:r w:rsidRPr="006E6390">
        <w:rPr>
          <w:b/>
        </w:rPr>
        <w:lastRenderedPageBreak/>
        <w:t>Gráfico N°3. Estructura del precio de venta en estación de servicio</w:t>
      </w:r>
    </w:p>
    <w:p w14:paraId="6D439C3A" w14:textId="33CDE827" w:rsidR="00A85076" w:rsidRPr="006E6390" w:rsidRDefault="00A85076" w:rsidP="00A03F7A">
      <w:pPr>
        <w:contextualSpacing/>
        <w:jc w:val="center"/>
        <w:rPr>
          <w:b/>
        </w:rPr>
      </w:pPr>
      <w:r w:rsidRPr="006E6390">
        <w:rPr>
          <w:b/>
        </w:rPr>
        <w:t xml:space="preserve">de la gasolina </w:t>
      </w:r>
      <w:r w:rsidR="009D044B">
        <w:rPr>
          <w:b/>
        </w:rPr>
        <w:t>S</w:t>
      </w:r>
      <w:r w:rsidRPr="006E6390">
        <w:rPr>
          <w:b/>
        </w:rPr>
        <w:t xml:space="preserve">úper, según componente por año (período </w:t>
      </w:r>
      <w:r w:rsidR="001F7831" w:rsidRPr="006E6390">
        <w:rPr>
          <w:b/>
        </w:rPr>
        <w:t>20</w:t>
      </w:r>
      <w:r w:rsidR="001F7831">
        <w:rPr>
          <w:b/>
        </w:rPr>
        <w:t>20</w:t>
      </w:r>
      <w:r w:rsidRPr="006E6390">
        <w:rPr>
          <w:b/>
        </w:rPr>
        <w:t>-</w:t>
      </w:r>
      <w:r w:rsidR="001F7831" w:rsidRPr="006E6390">
        <w:rPr>
          <w:b/>
        </w:rPr>
        <w:t>202</w:t>
      </w:r>
      <w:r w:rsidR="001F7831">
        <w:rPr>
          <w:b/>
        </w:rPr>
        <w:t>2</w:t>
      </w:r>
      <w:r w:rsidRPr="006E6390">
        <w:rPr>
          <w:b/>
        </w:rPr>
        <w:t>)</w:t>
      </w:r>
    </w:p>
    <w:p w14:paraId="55CD55DB" w14:textId="7D4FEA6B" w:rsidR="007B24D0" w:rsidRPr="006E6390" w:rsidRDefault="009D044B" w:rsidP="00A85076">
      <w:pPr>
        <w:tabs>
          <w:tab w:val="left" w:pos="9270"/>
        </w:tabs>
        <w:spacing w:after="0"/>
        <w:jc w:val="center"/>
        <w:rPr>
          <w:rFonts w:cs="Arial"/>
          <w:b/>
        </w:rPr>
      </w:pPr>
      <w:r>
        <w:rPr>
          <w:noProof/>
        </w:rPr>
        <w:drawing>
          <wp:inline distT="0" distB="0" distL="0" distR="0" wp14:anchorId="3D0350EB" wp14:editId="43441047">
            <wp:extent cx="5400000" cy="2968560"/>
            <wp:effectExtent l="0" t="0" r="0" b="3810"/>
            <wp:docPr id="37" name="Gráfico 37">
              <a:extLst xmlns:a="http://schemas.openxmlformats.org/drawingml/2006/main">
                <a:ext uri="{FF2B5EF4-FFF2-40B4-BE49-F238E27FC236}">
                  <a16:creationId xmlns:a16="http://schemas.microsoft.com/office/drawing/2014/main" id="{D8C68A85-4F4B-4B48-B2BA-49B235C1A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DA62D8" w14:textId="77777777" w:rsidR="00CF223C" w:rsidRPr="001A3696" w:rsidRDefault="00CF223C">
      <w:pPr>
        <w:spacing w:after="0" w:line="240" w:lineRule="auto"/>
        <w:jc w:val="left"/>
        <w:rPr>
          <w:rFonts w:cs="Arial"/>
        </w:rPr>
      </w:pPr>
    </w:p>
    <w:p w14:paraId="3058653D" w14:textId="77777777" w:rsidR="003854FE" w:rsidRPr="006E6390" w:rsidRDefault="003854FE" w:rsidP="001A3696">
      <w:pPr>
        <w:tabs>
          <w:tab w:val="left" w:pos="9270"/>
        </w:tabs>
        <w:spacing w:after="0"/>
        <w:rPr>
          <w:rFonts w:cs="Arial"/>
          <w:b/>
        </w:rPr>
      </w:pPr>
    </w:p>
    <w:p w14:paraId="21EE83A9" w14:textId="77777777" w:rsidR="003854FE" w:rsidRPr="006E6390" w:rsidRDefault="003854FE" w:rsidP="003854FE">
      <w:pPr>
        <w:contextualSpacing/>
        <w:jc w:val="center"/>
        <w:rPr>
          <w:b/>
        </w:rPr>
      </w:pPr>
      <w:r w:rsidRPr="006E6390">
        <w:rPr>
          <w:b/>
        </w:rPr>
        <w:t xml:space="preserve">Gráfico N°4. Estructura del precio de venta en estación de servicio </w:t>
      </w:r>
    </w:p>
    <w:p w14:paraId="563DB9E4" w14:textId="1C484CCB" w:rsidR="003854FE" w:rsidRPr="006E6390" w:rsidRDefault="003854FE" w:rsidP="003854FE">
      <w:pPr>
        <w:contextualSpacing/>
        <w:jc w:val="center"/>
        <w:rPr>
          <w:b/>
        </w:rPr>
      </w:pPr>
      <w:r w:rsidRPr="006E6390">
        <w:rPr>
          <w:b/>
        </w:rPr>
        <w:t xml:space="preserve">de la gasolina </w:t>
      </w:r>
      <w:r w:rsidR="00F259A5">
        <w:rPr>
          <w:b/>
        </w:rPr>
        <w:t>P</w:t>
      </w:r>
      <w:r w:rsidRPr="006E6390">
        <w:rPr>
          <w:b/>
        </w:rPr>
        <w:t xml:space="preserve">lus 91, según componente por año (período </w:t>
      </w:r>
      <w:r w:rsidR="00F259A5" w:rsidRPr="006E6390">
        <w:rPr>
          <w:b/>
        </w:rPr>
        <w:t>20</w:t>
      </w:r>
      <w:r w:rsidR="00F259A5">
        <w:rPr>
          <w:b/>
        </w:rPr>
        <w:t>20</w:t>
      </w:r>
      <w:r w:rsidRPr="006E6390">
        <w:rPr>
          <w:b/>
        </w:rPr>
        <w:t>-</w:t>
      </w:r>
      <w:r w:rsidR="00F259A5" w:rsidRPr="006E6390">
        <w:rPr>
          <w:b/>
        </w:rPr>
        <w:t>202</w:t>
      </w:r>
      <w:r w:rsidR="00F259A5">
        <w:rPr>
          <w:b/>
        </w:rPr>
        <w:t>2</w:t>
      </w:r>
      <w:r w:rsidRPr="006E6390">
        <w:rPr>
          <w:b/>
        </w:rPr>
        <w:t>)</w:t>
      </w:r>
    </w:p>
    <w:p w14:paraId="19115552" w14:textId="77777777" w:rsidR="003854FE" w:rsidRPr="006E6390" w:rsidRDefault="003854FE" w:rsidP="00A85076">
      <w:pPr>
        <w:tabs>
          <w:tab w:val="left" w:pos="9270"/>
        </w:tabs>
        <w:spacing w:after="0"/>
        <w:jc w:val="center"/>
        <w:rPr>
          <w:rFonts w:cs="Arial"/>
          <w:b/>
        </w:rPr>
      </w:pPr>
    </w:p>
    <w:p w14:paraId="4902D712" w14:textId="1CB6B8AD" w:rsidR="00CA53B6" w:rsidRPr="006E6390" w:rsidRDefault="00E640DC">
      <w:pPr>
        <w:spacing w:after="0" w:line="240" w:lineRule="auto"/>
        <w:jc w:val="left"/>
        <w:rPr>
          <w:rFonts w:cs="Arial"/>
          <w:b/>
        </w:rPr>
      </w:pPr>
      <w:r>
        <w:rPr>
          <w:noProof/>
        </w:rPr>
        <w:drawing>
          <wp:inline distT="0" distB="0" distL="0" distR="0" wp14:anchorId="5E9743D4" wp14:editId="6C12048A">
            <wp:extent cx="5400000" cy="3349560"/>
            <wp:effectExtent l="0" t="0" r="0" b="3810"/>
            <wp:docPr id="38" name="Gráfico 38">
              <a:extLst xmlns:a="http://schemas.openxmlformats.org/drawingml/2006/main">
                <a:ext uri="{FF2B5EF4-FFF2-40B4-BE49-F238E27FC236}">
                  <a16:creationId xmlns:a16="http://schemas.microsoft.com/office/drawing/2014/main" id="{6C35FBC3-3606-4E6C-BB30-689A2619C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01B4CB" w14:textId="1E003017" w:rsidR="00E640DC" w:rsidRDefault="00E640DC">
      <w:pPr>
        <w:spacing w:after="0"/>
      </w:pPr>
    </w:p>
    <w:p w14:paraId="2F7F86C3" w14:textId="77777777" w:rsidR="00C01FF9" w:rsidRPr="008D5700" w:rsidRDefault="00C01FF9" w:rsidP="00C01FF9">
      <w:pPr>
        <w:tabs>
          <w:tab w:val="left" w:pos="9270"/>
        </w:tabs>
        <w:spacing w:after="0"/>
        <w:rPr>
          <w:rFonts w:cs="Arial"/>
        </w:rPr>
      </w:pPr>
      <w:r w:rsidRPr="00431C38">
        <w:rPr>
          <w:rFonts w:cs="Arial"/>
        </w:rPr>
        <w:t xml:space="preserve">En los gráficos 3 y 4 se presenta la estructura del precio promedio de las gasolinas. </w:t>
      </w:r>
      <w:r>
        <w:rPr>
          <w:rFonts w:cs="Arial"/>
        </w:rPr>
        <w:t xml:space="preserve"> </w:t>
      </w:r>
      <w:r w:rsidRPr="00431C38">
        <w:rPr>
          <w:rFonts w:cs="Arial"/>
        </w:rPr>
        <w:t xml:space="preserve">Se observa que, salvo el precio internacional, los restantes componentes tienen un </w:t>
      </w:r>
      <w:r w:rsidRPr="008D5700">
        <w:rPr>
          <w:rFonts w:cs="Arial"/>
        </w:rPr>
        <w:lastRenderedPageBreak/>
        <w:t xml:space="preserve">comportamiento relativamente estable en el tiempo.  El promedio 2020-2022 del precio internacional como componente del precio de venta es del </w:t>
      </w:r>
      <w:r w:rsidRPr="00943F67">
        <w:rPr>
          <w:rFonts w:cs="Arial"/>
        </w:rPr>
        <w:t>46,0</w:t>
      </w:r>
      <w:r w:rsidRPr="008D5700">
        <w:rPr>
          <w:rFonts w:cs="Arial"/>
        </w:rPr>
        <w:t xml:space="preserve">%, el impuesto con </w:t>
      </w:r>
      <w:r w:rsidRPr="00943F67">
        <w:rPr>
          <w:rFonts w:cs="Arial"/>
        </w:rPr>
        <w:t>36,9</w:t>
      </w:r>
      <w:r w:rsidRPr="008D5700">
        <w:rPr>
          <w:rFonts w:cs="Arial"/>
        </w:rPr>
        <w:t xml:space="preserve">%, Flete y Estaciones de Servicio con </w:t>
      </w:r>
      <w:r w:rsidRPr="00943F67">
        <w:rPr>
          <w:rFonts w:cs="Arial"/>
        </w:rPr>
        <w:t>9,4</w:t>
      </w:r>
      <w:r w:rsidRPr="008D5700">
        <w:rPr>
          <w:rFonts w:cs="Arial"/>
        </w:rPr>
        <w:t xml:space="preserve">%, Margen de RECOPE con </w:t>
      </w:r>
      <w:r w:rsidRPr="00943F67">
        <w:rPr>
          <w:rFonts w:cs="Arial"/>
        </w:rPr>
        <w:t>6,4</w:t>
      </w:r>
      <w:r w:rsidRPr="008D5700">
        <w:rPr>
          <w:rFonts w:cs="Arial"/>
        </w:rPr>
        <w:t>% y subsidios con 1,</w:t>
      </w:r>
      <w:r w:rsidRPr="00943F67">
        <w:rPr>
          <w:rFonts w:cs="Arial"/>
        </w:rPr>
        <w:t>3</w:t>
      </w:r>
      <w:r w:rsidRPr="008D5700">
        <w:rPr>
          <w:rFonts w:cs="Arial"/>
        </w:rPr>
        <w:t xml:space="preserve">%. </w:t>
      </w:r>
    </w:p>
    <w:p w14:paraId="4A61AC99" w14:textId="77777777" w:rsidR="00C01FF9" w:rsidRPr="00943F67" w:rsidRDefault="00C01FF9" w:rsidP="00C01FF9">
      <w:pPr>
        <w:spacing w:after="0" w:line="240" w:lineRule="auto"/>
        <w:jc w:val="left"/>
        <w:rPr>
          <w:rFonts w:cs="Arial"/>
        </w:rPr>
      </w:pPr>
    </w:p>
    <w:p w14:paraId="15818EC4" w14:textId="3F53EF53" w:rsidR="00CA53B6" w:rsidRDefault="00CA53B6">
      <w:pPr>
        <w:spacing w:after="0"/>
      </w:pPr>
      <w:r w:rsidRPr="006E6390">
        <w:t xml:space="preserve">En el caso del </w:t>
      </w:r>
      <w:r w:rsidRPr="002F4DA0">
        <w:t xml:space="preserve">diésel 50, el principal componente del precio de venta es el precio internacional </w:t>
      </w:r>
      <w:r w:rsidR="002F4DA0" w:rsidRPr="00371C9F">
        <w:t>56,1</w:t>
      </w:r>
      <w:r w:rsidRPr="002F4DA0">
        <w:t>%, seguido del impuesto único</w:t>
      </w:r>
      <w:r w:rsidR="00634C3B" w:rsidRPr="002F4DA0">
        <w:t xml:space="preserve"> </w:t>
      </w:r>
      <w:r w:rsidR="002F4DA0" w:rsidRPr="002F4DA0">
        <w:t>2</w:t>
      </w:r>
      <w:r w:rsidR="002F4DA0" w:rsidRPr="00371C9F">
        <w:t>3</w:t>
      </w:r>
      <w:r w:rsidR="00634C3B" w:rsidRPr="002F4DA0">
        <w:t>,</w:t>
      </w:r>
      <w:r w:rsidR="002F4DA0" w:rsidRPr="00371C9F">
        <w:t>9</w:t>
      </w:r>
      <w:r w:rsidR="00634C3B" w:rsidRPr="002F4DA0">
        <w:t>%</w:t>
      </w:r>
      <w:r w:rsidRPr="002F4DA0">
        <w:t>, el flete y margen de las estaciones de servicio</w:t>
      </w:r>
      <w:r w:rsidR="00634C3B" w:rsidRPr="002F4DA0">
        <w:t xml:space="preserve"> </w:t>
      </w:r>
      <w:r w:rsidR="002F4DA0" w:rsidRPr="00371C9F">
        <w:t>10,5</w:t>
      </w:r>
      <w:r w:rsidR="00634C3B" w:rsidRPr="002F4DA0">
        <w:t>%</w:t>
      </w:r>
      <w:r w:rsidRPr="002F4DA0">
        <w:t xml:space="preserve">, el margen RECOPE </w:t>
      </w:r>
      <w:r w:rsidR="002F4DA0" w:rsidRPr="00371C9F">
        <w:t>7,6</w:t>
      </w:r>
      <w:r w:rsidR="00634C3B" w:rsidRPr="002F4DA0">
        <w:t xml:space="preserve">% </w:t>
      </w:r>
      <w:r w:rsidRPr="002F4DA0">
        <w:t xml:space="preserve">y </w:t>
      </w:r>
      <w:r w:rsidR="002F4DA0" w:rsidRPr="00371C9F">
        <w:t>los</w:t>
      </w:r>
      <w:r w:rsidR="002F4DA0" w:rsidRPr="002F4DA0">
        <w:t xml:space="preserve"> </w:t>
      </w:r>
      <w:r w:rsidRPr="002F4DA0">
        <w:t>subsidio</w:t>
      </w:r>
      <w:r w:rsidR="002F4DA0" w:rsidRPr="00371C9F">
        <w:t>s más canon</w:t>
      </w:r>
      <w:r w:rsidR="00634C3B" w:rsidRPr="002F4DA0">
        <w:t xml:space="preserve"> </w:t>
      </w:r>
      <w:r w:rsidR="002F4DA0" w:rsidRPr="00371C9F">
        <w:t>1,4</w:t>
      </w:r>
      <w:r w:rsidR="00634C3B" w:rsidRPr="002F4DA0">
        <w:t>%</w:t>
      </w:r>
      <w:r w:rsidRPr="002F4DA0">
        <w:t>.  A diferencia de las gasolinas, el impuesto es más bajo, dadas consideraciones sociales y económicas.</w:t>
      </w:r>
    </w:p>
    <w:p w14:paraId="24402638" w14:textId="77777777" w:rsidR="00C01FF9" w:rsidRPr="000756F1" w:rsidRDefault="00C01FF9" w:rsidP="00371C9F">
      <w:pPr>
        <w:spacing w:after="0"/>
      </w:pPr>
    </w:p>
    <w:p w14:paraId="0B8910AC" w14:textId="77777777" w:rsidR="00D27F28" w:rsidRPr="00371C9F" w:rsidRDefault="00D27F28">
      <w:pPr>
        <w:spacing w:after="0" w:line="240" w:lineRule="auto"/>
        <w:jc w:val="left"/>
        <w:rPr>
          <w:rFonts w:cs="Arial"/>
        </w:rPr>
      </w:pPr>
    </w:p>
    <w:p w14:paraId="31485CCB" w14:textId="77777777" w:rsidR="00A85076" w:rsidRPr="006E6390" w:rsidRDefault="00A85076" w:rsidP="00F629B3">
      <w:pPr>
        <w:contextualSpacing/>
        <w:jc w:val="center"/>
        <w:rPr>
          <w:b/>
        </w:rPr>
      </w:pPr>
      <w:r w:rsidRPr="006E6390">
        <w:rPr>
          <w:b/>
        </w:rPr>
        <w:t xml:space="preserve">Gráfico N°5. Estructura del precio de venta en estación de servicio </w:t>
      </w:r>
    </w:p>
    <w:p w14:paraId="401C92F1" w14:textId="4AF07465" w:rsidR="00A85076" w:rsidRPr="006E6390" w:rsidRDefault="00A85076" w:rsidP="00F629B3">
      <w:pPr>
        <w:contextualSpacing/>
        <w:jc w:val="center"/>
        <w:rPr>
          <w:b/>
        </w:rPr>
      </w:pPr>
      <w:r w:rsidRPr="006E6390">
        <w:rPr>
          <w:b/>
        </w:rPr>
        <w:t xml:space="preserve">del diésel 50, según componente por año (período </w:t>
      </w:r>
      <w:r w:rsidR="008D5700" w:rsidRPr="006E6390">
        <w:rPr>
          <w:b/>
        </w:rPr>
        <w:t>20</w:t>
      </w:r>
      <w:r w:rsidR="008D5700">
        <w:rPr>
          <w:b/>
        </w:rPr>
        <w:t>20</w:t>
      </w:r>
      <w:r w:rsidRPr="006E6390">
        <w:rPr>
          <w:b/>
        </w:rPr>
        <w:t>-</w:t>
      </w:r>
      <w:r w:rsidR="008D5700" w:rsidRPr="006E6390">
        <w:rPr>
          <w:b/>
        </w:rPr>
        <w:t>202</w:t>
      </w:r>
      <w:r w:rsidR="008D5700">
        <w:rPr>
          <w:b/>
        </w:rPr>
        <w:t>2</w:t>
      </w:r>
      <w:r w:rsidRPr="006E6390">
        <w:rPr>
          <w:b/>
        </w:rPr>
        <w:t>)</w:t>
      </w:r>
    </w:p>
    <w:p w14:paraId="233DEE0F" w14:textId="05AE22EF" w:rsidR="00634C3B" w:rsidRPr="006E6390" w:rsidRDefault="00E02ECA" w:rsidP="00F629B3">
      <w:pPr>
        <w:contextualSpacing/>
        <w:jc w:val="center"/>
        <w:rPr>
          <w:b/>
        </w:rPr>
      </w:pPr>
      <w:r>
        <w:rPr>
          <w:noProof/>
        </w:rPr>
        <w:drawing>
          <wp:inline distT="0" distB="0" distL="0" distR="0" wp14:anchorId="688E485C" wp14:editId="357ADB99">
            <wp:extent cx="5400000" cy="3060000"/>
            <wp:effectExtent l="0" t="0" r="0" b="7620"/>
            <wp:docPr id="39" name="Gráfico 39">
              <a:extLst xmlns:a="http://schemas.openxmlformats.org/drawingml/2006/main">
                <a:ext uri="{FF2B5EF4-FFF2-40B4-BE49-F238E27FC236}">
                  <a16:creationId xmlns:a16="http://schemas.microsoft.com/office/drawing/2014/main" id="{EDCC659E-2875-4B75-8154-5D2004BDA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E28C5E" w14:textId="77777777" w:rsidR="00A85076" w:rsidRPr="006E6390" w:rsidRDefault="00A85076" w:rsidP="00A85076">
      <w:pPr>
        <w:spacing w:after="0" w:line="240" w:lineRule="auto"/>
        <w:jc w:val="left"/>
        <w:rPr>
          <w:rFonts w:ascii="Helvetica" w:hAnsi="Helvetica" w:cs="Helvetica"/>
        </w:rPr>
      </w:pPr>
    </w:p>
    <w:p w14:paraId="232FC09A" w14:textId="348FB30D" w:rsidR="000A62B8" w:rsidRDefault="000A62B8" w:rsidP="00371C9F">
      <w:pPr>
        <w:spacing w:after="0"/>
      </w:pPr>
      <w:r w:rsidRPr="006E6390">
        <w:t xml:space="preserve">En el </w:t>
      </w:r>
      <w:r w:rsidRPr="00B47930">
        <w:t xml:space="preserve">caso del Jet </w:t>
      </w:r>
      <w:r w:rsidR="00D50718" w:rsidRPr="00B47930">
        <w:t>fuel</w:t>
      </w:r>
      <w:r w:rsidRPr="00B47930">
        <w:t>, el componente principal es el precio internacional (50,</w:t>
      </w:r>
      <w:r w:rsidR="00B47930" w:rsidRPr="00371C9F">
        <w:t>7</w:t>
      </w:r>
      <w:r w:rsidRPr="00B47930">
        <w:t>%), seguido del impuesto único (2</w:t>
      </w:r>
      <w:r w:rsidR="00C044EC" w:rsidRPr="00B47930">
        <w:t>9</w:t>
      </w:r>
      <w:r w:rsidRPr="00B47930">
        <w:t>,</w:t>
      </w:r>
      <w:r w:rsidR="00B47930" w:rsidRPr="00371C9F">
        <w:t>7</w:t>
      </w:r>
      <w:r w:rsidRPr="00B47930">
        <w:t>%).  El margen de operación de RECOPE representa 15,</w:t>
      </w:r>
      <w:r w:rsidR="00B47930" w:rsidRPr="00371C9F">
        <w:t>2</w:t>
      </w:r>
      <w:r w:rsidRPr="00B47930">
        <w:t>% y tuvo un crecimiento a partir de 2016, debido al reconocimiento de las inversiones realizadas en el Aeropuerto Internacional Juan Santamaría</w:t>
      </w:r>
      <w:r w:rsidRPr="006E6390">
        <w:t xml:space="preserve"> y el Aeropuerto Internacional Daniel Oduber.  Por otro lado, se vio afectado con el subsidio según la política sectorial, ya que es similar al de las gasolinas y diésel, esto hasta el primer semestre de 2020, cuando dicho producto fue excluido de esa carga</w:t>
      </w:r>
      <w:r w:rsidR="002F5092" w:rsidRPr="006E6390">
        <w:t xml:space="preserve"> por medio del Decreto Ejecutivo N°42 352-MINAE de 20 de mayo de 2020</w:t>
      </w:r>
      <w:r w:rsidR="00C044EC" w:rsidRPr="006E6390">
        <w:t>, por lo tanto, el subsidio 1,5%.</w:t>
      </w:r>
    </w:p>
    <w:p w14:paraId="33B3C78B" w14:textId="77777777" w:rsidR="00D641A8" w:rsidRPr="006E6390" w:rsidRDefault="00D641A8" w:rsidP="000A62B8"/>
    <w:p w14:paraId="79FC8E3C" w14:textId="77777777" w:rsidR="00C044EC" w:rsidRPr="006E6390" w:rsidRDefault="00C044EC">
      <w:pPr>
        <w:spacing w:after="0" w:line="240" w:lineRule="auto"/>
        <w:jc w:val="left"/>
        <w:rPr>
          <w:b/>
        </w:rPr>
      </w:pPr>
      <w:r w:rsidRPr="006E6390">
        <w:rPr>
          <w:b/>
        </w:rPr>
        <w:br w:type="page"/>
      </w:r>
    </w:p>
    <w:p w14:paraId="68E9A023" w14:textId="77777777" w:rsidR="00A85076" w:rsidRPr="006E6390" w:rsidRDefault="00A85076" w:rsidP="00F629B3">
      <w:pPr>
        <w:contextualSpacing/>
        <w:jc w:val="center"/>
        <w:rPr>
          <w:b/>
        </w:rPr>
      </w:pPr>
      <w:r w:rsidRPr="006E6390">
        <w:rPr>
          <w:b/>
        </w:rPr>
        <w:lastRenderedPageBreak/>
        <w:t xml:space="preserve">Gráfico N°6. Estructura del precio aeropuerto del </w:t>
      </w:r>
      <w:r w:rsidR="009B4FD8">
        <w:rPr>
          <w:b/>
        </w:rPr>
        <w:t>J</w:t>
      </w:r>
      <w:r w:rsidRPr="006E6390">
        <w:rPr>
          <w:b/>
        </w:rPr>
        <w:t xml:space="preserve">et fuel, </w:t>
      </w:r>
    </w:p>
    <w:p w14:paraId="65B140CB" w14:textId="236683F6" w:rsidR="00A85076" w:rsidRPr="006E6390" w:rsidRDefault="00A85076" w:rsidP="00F629B3">
      <w:pPr>
        <w:contextualSpacing/>
        <w:jc w:val="center"/>
        <w:rPr>
          <w:b/>
        </w:rPr>
      </w:pPr>
      <w:r w:rsidRPr="006E6390">
        <w:rPr>
          <w:b/>
        </w:rPr>
        <w:t xml:space="preserve">según componente por año (período </w:t>
      </w:r>
      <w:r w:rsidR="00FE7EA0" w:rsidRPr="006E6390">
        <w:rPr>
          <w:b/>
        </w:rPr>
        <w:t>20</w:t>
      </w:r>
      <w:r w:rsidR="00B47930">
        <w:rPr>
          <w:b/>
        </w:rPr>
        <w:t>20</w:t>
      </w:r>
      <w:r w:rsidRPr="006E6390">
        <w:rPr>
          <w:b/>
        </w:rPr>
        <w:t>-</w:t>
      </w:r>
      <w:r w:rsidR="00B47930" w:rsidRPr="006E6390">
        <w:rPr>
          <w:b/>
        </w:rPr>
        <w:t>202</w:t>
      </w:r>
      <w:r w:rsidR="00B47930">
        <w:rPr>
          <w:b/>
        </w:rPr>
        <w:t>2</w:t>
      </w:r>
      <w:r w:rsidRPr="006E6390">
        <w:rPr>
          <w:b/>
        </w:rPr>
        <w:t>)</w:t>
      </w:r>
    </w:p>
    <w:p w14:paraId="5C0FA308" w14:textId="2EE1394D" w:rsidR="00A85076" w:rsidRPr="006E6390" w:rsidRDefault="00D82FA1" w:rsidP="00A85076">
      <w:pPr>
        <w:tabs>
          <w:tab w:val="left" w:pos="9270"/>
        </w:tabs>
        <w:jc w:val="center"/>
        <w:rPr>
          <w:rFonts w:ascii="Helvetica" w:hAnsi="Helvetica" w:cs="Helvetica"/>
          <w:b/>
          <w:lang w:val="es-ES"/>
        </w:rPr>
      </w:pPr>
      <w:r>
        <w:rPr>
          <w:noProof/>
        </w:rPr>
        <w:drawing>
          <wp:inline distT="0" distB="0" distL="0" distR="0" wp14:anchorId="4B94D81D" wp14:editId="28339BD7">
            <wp:extent cx="5400000" cy="3060000"/>
            <wp:effectExtent l="0" t="0" r="0" b="7620"/>
            <wp:docPr id="40" name="Gráfico 40">
              <a:extLst xmlns:a="http://schemas.openxmlformats.org/drawingml/2006/main">
                <a:ext uri="{FF2B5EF4-FFF2-40B4-BE49-F238E27FC236}">
                  <a16:creationId xmlns:a16="http://schemas.microsoft.com/office/drawing/2014/main" id="{F89A6770-4DFB-4B64-AE68-7D7040CAB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EE4A56" w14:textId="7198F7B2" w:rsidR="000A62B8" w:rsidRDefault="000A62B8" w:rsidP="007A62EF">
      <w:pPr>
        <w:spacing w:after="0"/>
      </w:pPr>
      <w:r w:rsidRPr="006E6390">
        <w:t xml:space="preserve">El precio de venta </w:t>
      </w:r>
      <w:r w:rsidR="00465C19">
        <w:t>terminal</w:t>
      </w:r>
      <w:r w:rsidRPr="006E6390">
        <w:t xml:space="preserve"> del </w:t>
      </w:r>
      <w:r w:rsidR="009B4FD8">
        <w:t>G</w:t>
      </w:r>
      <w:r w:rsidRPr="006E6390">
        <w:t xml:space="preserve">as </w:t>
      </w:r>
      <w:r w:rsidR="009B4FD8">
        <w:t>L</w:t>
      </w:r>
      <w:r w:rsidRPr="006E6390">
        <w:t xml:space="preserve">icuado de </w:t>
      </w:r>
      <w:r w:rsidR="009B4FD8">
        <w:t>P</w:t>
      </w:r>
      <w:r w:rsidRPr="006E6390">
        <w:t xml:space="preserve">etróleo (GLP) y el búnker está afectado por el subsidio establecido en la Política Sectorial. </w:t>
      </w:r>
      <w:r w:rsidR="009B4FD8">
        <w:t xml:space="preserve"> </w:t>
      </w:r>
      <w:r w:rsidRPr="006E6390">
        <w:t>Es preciso señalar que hasta 2015 el subsidio no era explícito, sino que estaba contenido en el valor del margen de operación. Con el cambio de la metodología (RJD-9233-2018) el subsidio aparece de manera separada en la ecuación de precios.</w:t>
      </w:r>
    </w:p>
    <w:p w14:paraId="376CD5F4" w14:textId="77777777" w:rsidR="00D641A8" w:rsidRPr="006E6390" w:rsidRDefault="00D641A8" w:rsidP="00D07CBE">
      <w:pPr>
        <w:spacing w:after="0"/>
      </w:pPr>
    </w:p>
    <w:p w14:paraId="76A6BCAD" w14:textId="7FF02E7A" w:rsidR="009277B4" w:rsidRDefault="009277B4" w:rsidP="00D07CBE">
      <w:pPr>
        <w:spacing w:after="0"/>
        <w:rPr>
          <w:rFonts w:cs="Arial"/>
        </w:rPr>
      </w:pPr>
      <w:r w:rsidRPr="006E6390">
        <w:rPr>
          <w:rFonts w:cs="Arial"/>
        </w:rPr>
        <w:t>El</w:t>
      </w:r>
      <w:r w:rsidR="002C48FC" w:rsidRPr="006E6390">
        <w:rPr>
          <w:rFonts w:cs="Arial"/>
        </w:rPr>
        <w:t xml:space="preserve"> precio</w:t>
      </w:r>
      <w:r w:rsidRPr="006E6390">
        <w:rPr>
          <w:rFonts w:cs="Arial"/>
        </w:rPr>
        <w:t xml:space="preserve"> del GLP</w:t>
      </w:r>
      <w:r w:rsidR="002C48FC" w:rsidRPr="006E6390">
        <w:rPr>
          <w:rFonts w:cs="Arial"/>
        </w:rPr>
        <w:t xml:space="preserve"> se compone principalmente </w:t>
      </w:r>
      <w:r w:rsidR="002C48FC" w:rsidRPr="00431C38">
        <w:rPr>
          <w:rFonts w:cs="Arial"/>
        </w:rPr>
        <w:t xml:space="preserve">del precio internacional </w:t>
      </w:r>
      <w:r w:rsidR="00FE0375">
        <w:rPr>
          <w:rFonts w:cs="Arial"/>
        </w:rPr>
        <w:t>67,4</w:t>
      </w:r>
      <w:r w:rsidR="002C48FC" w:rsidRPr="00431C38">
        <w:rPr>
          <w:rFonts w:cs="Arial"/>
        </w:rPr>
        <w:t xml:space="preserve">%, el impuesto único con </w:t>
      </w:r>
      <w:r w:rsidR="00FE0375" w:rsidRPr="00431C38">
        <w:rPr>
          <w:rFonts w:cs="Arial"/>
        </w:rPr>
        <w:t>2</w:t>
      </w:r>
      <w:r w:rsidR="00FE0375">
        <w:rPr>
          <w:rFonts w:cs="Arial"/>
        </w:rPr>
        <w:t>3</w:t>
      </w:r>
      <w:r w:rsidR="00A32431" w:rsidRPr="00431C38">
        <w:rPr>
          <w:rFonts w:cs="Arial"/>
        </w:rPr>
        <w:t>,</w:t>
      </w:r>
      <w:r w:rsidR="00E55601" w:rsidRPr="00431C38">
        <w:rPr>
          <w:rFonts w:cs="Arial"/>
        </w:rPr>
        <w:t>3</w:t>
      </w:r>
      <w:r w:rsidR="002C48FC" w:rsidRPr="00431C38">
        <w:rPr>
          <w:rFonts w:cs="Arial"/>
        </w:rPr>
        <w:t xml:space="preserve">% y el margen de operación de RECOPE </w:t>
      </w:r>
      <w:r w:rsidR="0083497A" w:rsidRPr="00431C38">
        <w:rPr>
          <w:rFonts w:cs="Arial"/>
        </w:rPr>
        <w:t xml:space="preserve">de </w:t>
      </w:r>
      <w:r w:rsidR="00FE0375">
        <w:rPr>
          <w:rFonts w:cs="Arial"/>
        </w:rPr>
        <w:t>30,0</w:t>
      </w:r>
      <w:r w:rsidR="002C48FC" w:rsidRPr="00431C38">
        <w:rPr>
          <w:rFonts w:cs="Arial"/>
        </w:rPr>
        <w:t>%.  Los porcentajes anteriores fueron ajustados debido a que el subsidio de la política sectorial es equivalente</w:t>
      </w:r>
      <w:r w:rsidR="002C48FC" w:rsidRPr="006E6390">
        <w:rPr>
          <w:rFonts w:cs="Arial"/>
        </w:rPr>
        <w:t xml:space="preserve"> a un </w:t>
      </w:r>
      <w:r w:rsidR="00FE0375" w:rsidRPr="006E6390">
        <w:rPr>
          <w:rFonts w:cs="Arial"/>
        </w:rPr>
        <w:t>2</w:t>
      </w:r>
      <w:r w:rsidR="00FE0375">
        <w:rPr>
          <w:rFonts w:cs="Arial"/>
        </w:rPr>
        <w:t>0</w:t>
      </w:r>
      <w:r w:rsidR="00A35202" w:rsidRPr="006E6390">
        <w:rPr>
          <w:rFonts w:cs="Arial"/>
        </w:rPr>
        <w:t>,</w:t>
      </w:r>
      <w:r w:rsidR="00FE0375">
        <w:rPr>
          <w:rFonts w:cs="Arial"/>
        </w:rPr>
        <w:t>7</w:t>
      </w:r>
      <w:r w:rsidR="002C48FC" w:rsidRPr="006E6390">
        <w:rPr>
          <w:rFonts w:cs="Arial"/>
        </w:rPr>
        <w:t>% en el precio al consumidor</w:t>
      </w:r>
      <w:r w:rsidR="00FE0375">
        <w:rPr>
          <w:rFonts w:cs="Arial"/>
        </w:rPr>
        <w:t xml:space="preserve"> (pero en forma de ahorro)</w:t>
      </w:r>
      <w:r w:rsidR="002C48FC" w:rsidRPr="006E6390">
        <w:rPr>
          <w:rFonts w:cs="Arial"/>
        </w:rPr>
        <w:t xml:space="preserve">. </w:t>
      </w:r>
      <w:r w:rsidR="00A35202" w:rsidRPr="006E6390">
        <w:rPr>
          <w:rFonts w:cs="Arial"/>
        </w:rPr>
        <w:t xml:space="preserve"> </w:t>
      </w:r>
      <w:r w:rsidRPr="006E6390">
        <w:rPr>
          <w:rFonts w:cs="Arial"/>
        </w:rPr>
        <w:t xml:space="preserve">Durante los años </w:t>
      </w:r>
      <w:r w:rsidR="00FE0375" w:rsidRPr="006E6390">
        <w:rPr>
          <w:rFonts w:cs="Arial"/>
        </w:rPr>
        <w:t>20</w:t>
      </w:r>
      <w:r w:rsidR="00FE0375">
        <w:rPr>
          <w:rFonts w:cs="Arial"/>
        </w:rPr>
        <w:t>20</w:t>
      </w:r>
      <w:r w:rsidRPr="006E6390">
        <w:rPr>
          <w:rFonts w:cs="Arial"/>
        </w:rPr>
        <w:t>-</w:t>
      </w:r>
      <w:r w:rsidR="00C35A1D" w:rsidRPr="006E6390">
        <w:rPr>
          <w:rFonts w:cs="Arial"/>
        </w:rPr>
        <w:t>202</w:t>
      </w:r>
      <w:r w:rsidR="00FE0375">
        <w:rPr>
          <w:rFonts w:cs="Arial"/>
        </w:rPr>
        <w:t>2</w:t>
      </w:r>
      <w:r w:rsidR="00C35A1D" w:rsidRPr="006E6390">
        <w:rPr>
          <w:rFonts w:cs="Arial"/>
        </w:rPr>
        <w:t xml:space="preserve"> </w:t>
      </w:r>
      <w:r w:rsidRPr="006E6390">
        <w:rPr>
          <w:rFonts w:cs="Arial"/>
        </w:rPr>
        <w:t>el subsidio promedio fue de ₡</w:t>
      </w:r>
      <w:r w:rsidR="00FE0375" w:rsidRPr="006E6390">
        <w:rPr>
          <w:rFonts w:cs="Arial"/>
        </w:rPr>
        <w:t>4</w:t>
      </w:r>
      <w:r w:rsidR="00FE0375">
        <w:rPr>
          <w:rFonts w:cs="Arial"/>
        </w:rPr>
        <w:t>2</w:t>
      </w:r>
      <w:r w:rsidR="001F1D38" w:rsidRPr="006E6390">
        <w:rPr>
          <w:rFonts w:cs="Arial"/>
        </w:rPr>
        <w:t>,</w:t>
      </w:r>
      <w:r w:rsidR="00FE0375">
        <w:rPr>
          <w:rFonts w:cs="Arial"/>
        </w:rPr>
        <w:t>35</w:t>
      </w:r>
      <w:r w:rsidRPr="006E6390">
        <w:rPr>
          <w:rFonts w:cs="Arial"/>
        </w:rPr>
        <w:t xml:space="preserve"> por litro. </w:t>
      </w:r>
      <w:r w:rsidR="009B4FD8">
        <w:rPr>
          <w:rFonts w:cs="Arial"/>
        </w:rPr>
        <w:t xml:space="preserve"> </w:t>
      </w:r>
      <w:r w:rsidR="00FE0375">
        <w:rPr>
          <w:rFonts w:cs="Arial"/>
        </w:rPr>
        <w:t xml:space="preserve">La Ley 10110 fija el impuesto del GLP en </w:t>
      </w:r>
      <w:r w:rsidR="00FE0375" w:rsidRPr="006E6390">
        <w:rPr>
          <w:rFonts w:cs="Arial"/>
        </w:rPr>
        <w:t>₡</w:t>
      </w:r>
      <w:r w:rsidR="00FE0375">
        <w:rPr>
          <w:rFonts w:cs="Arial"/>
        </w:rPr>
        <w:t>24 por litro a partir de 2022 y por seis años.</w:t>
      </w:r>
    </w:p>
    <w:p w14:paraId="42D03723" w14:textId="77777777" w:rsidR="00D641A8" w:rsidRPr="006E6390" w:rsidRDefault="00D641A8" w:rsidP="002C48FC">
      <w:pPr>
        <w:rPr>
          <w:rFonts w:cs="Arial"/>
        </w:rPr>
      </w:pPr>
    </w:p>
    <w:p w14:paraId="75A12737" w14:textId="77777777" w:rsidR="00250F6B" w:rsidRPr="006E6390" w:rsidRDefault="00250F6B">
      <w:pPr>
        <w:spacing w:after="0" w:line="240" w:lineRule="auto"/>
        <w:jc w:val="left"/>
        <w:rPr>
          <w:b/>
        </w:rPr>
      </w:pPr>
      <w:r w:rsidRPr="006E6390">
        <w:rPr>
          <w:b/>
        </w:rPr>
        <w:br w:type="page"/>
      </w:r>
    </w:p>
    <w:p w14:paraId="426A5840" w14:textId="3C33F5FB" w:rsidR="00E55601" w:rsidRPr="006E6390" w:rsidRDefault="00E55601" w:rsidP="00E55601">
      <w:pPr>
        <w:contextualSpacing/>
        <w:jc w:val="center"/>
        <w:rPr>
          <w:b/>
        </w:rPr>
      </w:pPr>
      <w:r w:rsidRPr="006E6390">
        <w:rPr>
          <w:b/>
        </w:rPr>
        <w:lastRenderedPageBreak/>
        <w:t xml:space="preserve">Gráfico N°7. Estructura del precio </w:t>
      </w:r>
      <w:r w:rsidR="00465C19">
        <w:rPr>
          <w:b/>
        </w:rPr>
        <w:t>terminal</w:t>
      </w:r>
      <w:r w:rsidRPr="006E6390">
        <w:rPr>
          <w:b/>
        </w:rPr>
        <w:t xml:space="preserve"> del GLP, </w:t>
      </w:r>
    </w:p>
    <w:p w14:paraId="04C85F0D" w14:textId="66320A6B" w:rsidR="00E55601" w:rsidRPr="006E6390" w:rsidRDefault="00E55601" w:rsidP="00E55601">
      <w:pPr>
        <w:contextualSpacing/>
        <w:jc w:val="center"/>
        <w:rPr>
          <w:b/>
        </w:rPr>
      </w:pPr>
      <w:r w:rsidRPr="006E6390">
        <w:rPr>
          <w:b/>
        </w:rPr>
        <w:t xml:space="preserve">según componente por año (período </w:t>
      </w:r>
      <w:r w:rsidR="007734B5" w:rsidRPr="006E6390">
        <w:rPr>
          <w:b/>
        </w:rPr>
        <w:t>20</w:t>
      </w:r>
      <w:r w:rsidR="007734B5">
        <w:rPr>
          <w:b/>
        </w:rPr>
        <w:t>20</w:t>
      </w:r>
      <w:r w:rsidRPr="006E6390">
        <w:rPr>
          <w:b/>
        </w:rPr>
        <w:t>-</w:t>
      </w:r>
      <w:r w:rsidR="007734B5" w:rsidRPr="006E6390">
        <w:rPr>
          <w:b/>
        </w:rPr>
        <w:t>202</w:t>
      </w:r>
      <w:r w:rsidR="007734B5">
        <w:rPr>
          <w:b/>
        </w:rPr>
        <w:t>2</w:t>
      </w:r>
      <w:r w:rsidRPr="006E6390">
        <w:rPr>
          <w:b/>
        </w:rPr>
        <w:t>)</w:t>
      </w:r>
    </w:p>
    <w:p w14:paraId="15F33A5C" w14:textId="28C696FF" w:rsidR="00E55601" w:rsidRPr="006E6390" w:rsidRDefault="007734B5" w:rsidP="002C48FC">
      <w:pPr>
        <w:rPr>
          <w:rFonts w:cs="Arial"/>
        </w:rPr>
      </w:pPr>
      <w:r>
        <w:rPr>
          <w:noProof/>
        </w:rPr>
        <w:drawing>
          <wp:inline distT="0" distB="0" distL="0" distR="0" wp14:anchorId="6995C823" wp14:editId="322BD1A4">
            <wp:extent cx="5400000" cy="3060000"/>
            <wp:effectExtent l="0" t="0" r="0" b="7620"/>
            <wp:docPr id="41" name="Gráfico 41">
              <a:extLst xmlns:a="http://schemas.openxmlformats.org/drawingml/2006/main">
                <a:ext uri="{FF2B5EF4-FFF2-40B4-BE49-F238E27FC236}">
                  <a16:creationId xmlns:a16="http://schemas.microsoft.com/office/drawing/2014/main" id="{24BE7E7D-CAFB-4DC6-9586-9632F9FDC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129D96" w14:textId="3D492228" w:rsidR="009277B4" w:rsidRPr="006E6390" w:rsidRDefault="009277B4" w:rsidP="009277B4">
      <w:pPr>
        <w:tabs>
          <w:tab w:val="left" w:pos="9270"/>
        </w:tabs>
        <w:rPr>
          <w:rFonts w:cs="Arial"/>
        </w:rPr>
      </w:pPr>
      <w:r w:rsidRPr="00727507">
        <w:rPr>
          <w:rFonts w:cs="Arial"/>
        </w:rPr>
        <w:t>En el caso del búnker, el principal componente es el precio internacional (</w:t>
      </w:r>
      <w:r w:rsidR="00B00D1B" w:rsidRPr="00727507">
        <w:rPr>
          <w:rFonts w:cs="Arial"/>
        </w:rPr>
        <w:t>78</w:t>
      </w:r>
      <w:r w:rsidRPr="00727507">
        <w:rPr>
          <w:rFonts w:cs="Arial"/>
        </w:rPr>
        <w:t>,</w:t>
      </w:r>
      <w:r w:rsidR="00377CA8">
        <w:rPr>
          <w:rFonts w:cs="Arial"/>
        </w:rPr>
        <w:t>0</w:t>
      </w:r>
      <w:r w:rsidRPr="00727507">
        <w:rPr>
          <w:rFonts w:cs="Arial"/>
        </w:rPr>
        <w:t>%), seguido por el margen RECOPE (</w:t>
      </w:r>
      <w:r w:rsidR="00377CA8" w:rsidRPr="00727507">
        <w:rPr>
          <w:rFonts w:cs="Arial"/>
        </w:rPr>
        <w:t>3</w:t>
      </w:r>
      <w:r w:rsidR="00E41CC4">
        <w:rPr>
          <w:rFonts w:cs="Arial"/>
        </w:rPr>
        <w:t>1</w:t>
      </w:r>
      <w:r w:rsidRPr="00727507">
        <w:rPr>
          <w:rFonts w:cs="Arial"/>
        </w:rPr>
        <w:t>,</w:t>
      </w:r>
      <w:r w:rsidR="00377CA8">
        <w:rPr>
          <w:rFonts w:cs="Arial"/>
        </w:rPr>
        <w:t>3</w:t>
      </w:r>
      <w:r w:rsidRPr="00727507">
        <w:rPr>
          <w:rFonts w:cs="Arial"/>
        </w:rPr>
        <w:t>%)</w:t>
      </w:r>
      <w:r w:rsidR="006A75E4">
        <w:rPr>
          <w:rFonts w:cs="Arial"/>
        </w:rPr>
        <w:t>, el subsidio que recibe el producto es equivalente al 19,2%, mientras que el impuesto que soporta promedia apenas el 9,9%</w:t>
      </w:r>
      <w:r w:rsidRPr="00727507">
        <w:rPr>
          <w:rFonts w:cs="Arial"/>
        </w:rPr>
        <w:t xml:space="preserve">. </w:t>
      </w:r>
      <w:r w:rsidR="00727507">
        <w:rPr>
          <w:rFonts w:cs="Arial"/>
        </w:rPr>
        <w:t xml:space="preserve"> </w:t>
      </w:r>
    </w:p>
    <w:p w14:paraId="783445E0" w14:textId="39B01BF8" w:rsidR="00A85076" w:rsidRPr="006E6390" w:rsidRDefault="00A85076" w:rsidP="009277B4">
      <w:pPr>
        <w:contextualSpacing/>
        <w:jc w:val="center"/>
        <w:rPr>
          <w:b/>
        </w:rPr>
      </w:pPr>
      <w:r w:rsidRPr="006E6390">
        <w:rPr>
          <w:b/>
        </w:rPr>
        <w:t xml:space="preserve">Gráfico N°8. Estructura del precio </w:t>
      </w:r>
      <w:r w:rsidR="00465C19">
        <w:rPr>
          <w:b/>
        </w:rPr>
        <w:t>terminal</w:t>
      </w:r>
      <w:r w:rsidRPr="006E6390">
        <w:rPr>
          <w:b/>
        </w:rPr>
        <w:t xml:space="preserve"> del búnker, </w:t>
      </w:r>
    </w:p>
    <w:p w14:paraId="0869A009" w14:textId="42F61BED" w:rsidR="00A85076" w:rsidRPr="006E6390" w:rsidRDefault="00A85076" w:rsidP="009277B4">
      <w:pPr>
        <w:contextualSpacing/>
        <w:jc w:val="center"/>
        <w:rPr>
          <w:b/>
        </w:rPr>
      </w:pPr>
      <w:r w:rsidRPr="006E6390">
        <w:rPr>
          <w:b/>
        </w:rPr>
        <w:t xml:space="preserve">según componente por año (período </w:t>
      </w:r>
      <w:r w:rsidR="006A75E4" w:rsidRPr="006E6390">
        <w:rPr>
          <w:b/>
        </w:rPr>
        <w:t>20</w:t>
      </w:r>
      <w:r w:rsidR="006A75E4">
        <w:rPr>
          <w:b/>
        </w:rPr>
        <w:t>20</w:t>
      </w:r>
      <w:r w:rsidRPr="006E6390">
        <w:rPr>
          <w:b/>
        </w:rPr>
        <w:t>-</w:t>
      </w:r>
      <w:r w:rsidR="006A75E4" w:rsidRPr="006E6390">
        <w:rPr>
          <w:b/>
        </w:rPr>
        <w:t>202</w:t>
      </w:r>
      <w:r w:rsidR="006A75E4">
        <w:rPr>
          <w:b/>
        </w:rPr>
        <w:t>2</w:t>
      </w:r>
      <w:r w:rsidRPr="006E6390">
        <w:rPr>
          <w:b/>
        </w:rPr>
        <w:t>)</w:t>
      </w:r>
    </w:p>
    <w:p w14:paraId="572D1DE9" w14:textId="769A35ED" w:rsidR="00A85076" w:rsidRPr="006E6390" w:rsidRDefault="00DD3B9C" w:rsidP="00A85076">
      <w:pPr>
        <w:tabs>
          <w:tab w:val="left" w:pos="9270"/>
        </w:tabs>
        <w:jc w:val="center"/>
        <w:rPr>
          <w:rFonts w:ascii="Helvetica" w:hAnsi="Helvetica" w:cs="Helvetica"/>
          <w:b/>
        </w:rPr>
      </w:pPr>
      <w:r>
        <w:rPr>
          <w:noProof/>
        </w:rPr>
        <w:drawing>
          <wp:inline distT="0" distB="0" distL="0" distR="0" wp14:anchorId="4C785C9B" wp14:editId="408574C2">
            <wp:extent cx="5400000" cy="3060000"/>
            <wp:effectExtent l="0" t="0" r="0" b="7620"/>
            <wp:docPr id="42" name="Gráfico 42">
              <a:extLst xmlns:a="http://schemas.openxmlformats.org/drawingml/2006/main">
                <a:ext uri="{FF2B5EF4-FFF2-40B4-BE49-F238E27FC236}">
                  <a16:creationId xmlns:a16="http://schemas.microsoft.com/office/drawing/2014/main" id="{000D88E6-0C5F-4EC7-9D91-1A2885ED3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E146A9" w14:textId="202CD021" w:rsidR="00A85076" w:rsidRDefault="00A85076" w:rsidP="00D07CBE">
      <w:pPr>
        <w:tabs>
          <w:tab w:val="left" w:pos="9270"/>
        </w:tabs>
        <w:spacing w:after="0"/>
        <w:rPr>
          <w:rFonts w:cs="Arial"/>
        </w:rPr>
      </w:pPr>
      <w:r w:rsidRPr="006E6390">
        <w:rPr>
          <w:rFonts w:cs="Arial"/>
        </w:rPr>
        <w:lastRenderedPageBreak/>
        <w:t>Debe observarse que tanto el GLP y el búnker están subsidiados por la Política Sectorial, pero a su vez deben pagar el impuesto único de los combustibles, situación que requiere ser tratada de manera integral, con el inconveniente que el subsidio es pagado por los consumidores de gasolina y diésel.</w:t>
      </w:r>
    </w:p>
    <w:p w14:paraId="7738C0EF" w14:textId="77777777" w:rsidR="000E7BA2" w:rsidRPr="006E6390" w:rsidRDefault="000E7BA2" w:rsidP="00D07CBE">
      <w:pPr>
        <w:tabs>
          <w:tab w:val="left" w:pos="9270"/>
        </w:tabs>
        <w:spacing w:after="0"/>
        <w:rPr>
          <w:rFonts w:cs="Arial"/>
        </w:rPr>
      </w:pPr>
    </w:p>
    <w:p w14:paraId="7560CB7C" w14:textId="52BB05B8" w:rsidR="00A85076" w:rsidRDefault="00A85076" w:rsidP="00D07CBE">
      <w:pPr>
        <w:tabs>
          <w:tab w:val="left" w:pos="9270"/>
        </w:tabs>
        <w:spacing w:after="0"/>
        <w:rPr>
          <w:rFonts w:cs="Arial"/>
        </w:rPr>
      </w:pPr>
      <w:r w:rsidRPr="006E6390">
        <w:rPr>
          <w:rFonts w:cs="Arial"/>
        </w:rPr>
        <w:t>En otro orden de cosas</w:t>
      </w:r>
      <w:r w:rsidRPr="004164BA">
        <w:rPr>
          <w:rFonts w:cs="Arial"/>
        </w:rPr>
        <w:t xml:space="preserve">, los Estados Financieros auditados </w:t>
      </w:r>
      <w:r w:rsidR="004164BA" w:rsidRPr="004164BA">
        <w:rPr>
          <w:rFonts w:cs="Arial"/>
        </w:rPr>
        <w:t>menciona</w:t>
      </w:r>
      <w:r w:rsidRPr="004164BA">
        <w:rPr>
          <w:rFonts w:cs="Arial"/>
        </w:rPr>
        <w:t xml:space="preserve"> los mecanismos de ajuste de precios</w:t>
      </w:r>
      <w:r w:rsidR="004164BA" w:rsidRPr="004164BA">
        <w:rPr>
          <w:rFonts w:cs="Arial"/>
        </w:rPr>
        <w:t xml:space="preserve"> en las</w:t>
      </w:r>
      <w:r w:rsidRPr="004164BA">
        <w:rPr>
          <w:rFonts w:cs="Arial"/>
        </w:rPr>
        <w:t xml:space="preserve"> páginas </w:t>
      </w:r>
      <w:r w:rsidR="004164BA" w:rsidRPr="004164BA">
        <w:rPr>
          <w:rFonts w:cs="Arial"/>
        </w:rPr>
        <w:t>2</w:t>
      </w:r>
      <w:r w:rsidR="004164BA" w:rsidRPr="00D07CBE">
        <w:rPr>
          <w:rFonts w:cs="Arial"/>
        </w:rPr>
        <w:t>3</w:t>
      </w:r>
      <w:r w:rsidR="009F5090" w:rsidRPr="004164BA">
        <w:rPr>
          <w:rFonts w:cs="Arial"/>
        </w:rPr>
        <w:t>-</w:t>
      </w:r>
      <w:r w:rsidR="004164BA" w:rsidRPr="004164BA">
        <w:rPr>
          <w:rFonts w:cs="Arial"/>
        </w:rPr>
        <w:t xml:space="preserve">24 </w:t>
      </w:r>
      <w:r w:rsidRPr="004164BA">
        <w:rPr>
          <w:rFonts w:cs="Arial"/>
        </w:rPr>
        <w:t xml:space="preserve">de los Estados Financieros Auditados al cierre fiscal </w:t>
      </w:r>
      <w:r w:rsidR="00EF3236" w:rsidRPr="004164BA">
        <w:rPr>
          <w:rFonts w:cs="Arial"/>
        </w:rPr>
        <w:t>2022</w:t>
      </w:r>
      <w:r w:rsidRPr="004164BA">
        <w:rPr>
          <w:rFonts w:cs="Arial"/>
        </w:rPr>
        <w:t>.</w:t>
      </w:r>
    </w:p>
    <w:p w14:paraId="1FE3E63A" w14:textId="77777777" w:rsidR="000E7BA2" w:rsidRPr="006E6390" w:rsidRDefault="000E7BA2" w:rsidP="00A85076">
      <w:pPr>
        <w:tabs>
          <w:tab w:val="left" w:pos="9270"/>
        </w:tabs>
        <w:rPr>
          <w:rFonts w:cs="Arial"/>
        </w:rPr>
      </w:pPr>
    </w:p>
    <w:p w14:paraId="1D6B4B43" w14:textId="77777777" w:rsidR="009277B4" w:rsidRPr="006E6390" w:rsidRDefault="009277B4">
      <w:pPr>
        <w:spacing w:after="0" w:line="240" w:lineRule="auto"/>
        <w:jc w:val="left"/>
      </w:pPr>
      <w:r w:rsidRPr="006E6390">
        <w:br w:type="page"/>
      </w:r>
    </w:p>
    <w:p w14:paraId="3832FC84" w14:textId="77777777" w:rsidR="009277B4" w:rsidRPr="006E6390" w:rsidRDefault="009277B4" w:rsidP="00514A16">
      <w:pPr>
        <w:pStyle w:val="Ttulo1"/>
      </w:pPr>
      <w:bookmarkStart w:id="124" w:name="_Toc38630828"/>
      <w:r w:rsidRPr="006E6390">
        <w:lastRenderedPageBreak/>
        <w:t>4. Visión general de la empresa</w:t>
      </w:r>
      <w:bookmarkEnd w:id="124"/>
    </w:p>
    <w:p w14:paraId="170E301E" w14:textId="11CD6F4A" w:rsidR="009277B4" w:rsidRDefault="005F37FF" w:rsidP="008E2266">
      <w:pPr>
        <w:spacing w:after="0"/>
        <w:rPr>
          <w:lang w:eastAsia="es-MX"/>
        </w:rPr>
      </w:pPr>
      <w:r w:rsidRPr="006E6390">
        <w:rPr>
          <w:lang w:eastAsia="es-MX"/>
        </w:rPr>
        <w:t xml:space="preserve">En </w:t>
      </w:r>
      <w:r w:rsidR="00453D9D" w:rsidRPr="006E6390">
        <w:rPr>
          <w:lang w:eastAsia="es-MX"/>
        </w:rPr>
        <w:t>20</w:t>
      </w:r>
      <w:r w:rsidR="00453D9D">
        <w:rPr>
          <w:lang w:eastAsia="es-MX"/>
        </w:rPr>
        <w:t>23</w:t>
      </w:r>
      <w:r w:rsidR="009277B4" w:rsidRPr="006E6390">
        <w:rPr>
          <w:lang w:eastAsia="es-MX"/>
        </w:rPr>
        <w:t xml:space="preserve">, se </w:t>
      </w:r>
      <w:r w:rsidR="00453D9D">
        <w:rPr>
          <w:lang w:eastAsia="es-MX"/>
        </w:rPr>
        <w:t>ha venido desarrollando</w:t>
      </w:r>
      <w:r w:rsidR="00453D9D" w:rsidRPr="006E6390">
        <w:rPr>
          <w:lang w:eastAsia="es-MX"/>
        </w:rPr>
        <w:t xml:space="preserve"> </w:t>
      </w:r>
      <w:r w:rsidR="009277B4" w:rsidRPr="006E6390">
        <w:rPr>
          <w:lang w:eastAsia="es-MX"/>
        </w:rPr>
        <w:t>un proceso de actualización del marco estratégico de la empresa, que condujo a la revisión de la misión, visión y los objetivos estratégicos</w:t>
      </w:r>
      <w:r w:rsidRPr="006E6390">
        <w:rPr>
          <w:lang w:eastAsia="es-MX"/>
        </w:rPr>
        <w:t>;</w:t>
      </w:r>
      <w:r w:rsidR="009277B4" w:rsidRPr="006E6390">
        <w:rPr>
          <w:lang w:eastAsia="es-MX"/>
        </w:rPr>
        <w:t xml:space="preserve"> así como a la elaboración de un plan de acción, los </w:t>
      </w:r>
      <w:r w:rsidRPr="006E6390">
        <w:rPr>
          <w:lang w:eastAsia="es-MX"/>
        </w:rPr>
        <w:t>que</w:t>
      </w:r>
      <w:r w:rsidR="009277B4" w:rsidRPr="006E6390">
        <w:rPr>
          <w:lang w:eastAsia="es-MX"/>
        </w:rPr>
        <w:t xml:space="preserve"> fueron aprobados en el acuerdo que consta en Artículo #4 de la Sesión Ordinaria #</w:t>
      </w:r>
      <w:r w:rsidR="00A153EC" w:rsidRPr="006E6390">
        <w:rPr>
          <w:lang w:eastAsia="es-MX"/>
        </w:rPr>
        <w:t>5</w:t>
      </w:r>
      <w:r w:rsidR="00A153EC">
        <w:rPr>
          <w:lang w:eastAsia="es-MX"/>
        </w:rPr>
        <w:t>354</w:t>
      </w:r>
      <w:r w:rsidR="009277B4" w:rsidRPr="006E6390">
        <w:rPr>
          <w:lang w:eastAsia="es-MX"/>
        </w:rPr>
        <w:t>-</w:t>
      </w:r>
      <w:r w:rsidR="00A153EC">
        <w:rPr>
          <w:lang w:eastAsia="es-MX"/>
        </w:rPr>
        <w:t>52</w:t>
      </w:r>
      <w:r w:rsidR="00A153EC" w:rsidRPr="006E6390">
        <w:rPr>
          <w:lang w:eastAsia="es-MX"/>
        </w:rPr>
        <w:t xml:space="preserve"> </w:t>
      </w:r>
      <w:r w:rsidR="009277B4" w:rsidRPr="006E6390">
        <w:rPr>
          <w:lang w:eastAsia="es-MX"/>
        </w:rPr>
        <w:t xml:space="preserve">de la Junta Directiva, celebrada el </w:t>
      </w:r>
      <w:r w:rsidR="00A153EC">
        <w:rPr>
          <w:lang w:eastAsia="es-MX"/>
        </w:rPr>
        <w:t>marte</w:t>
      </w:r>
      <w:r w:rsidR="00A153EC" w:rsidRPr="006E6390">
        <w:rPr>
          <w:lang w:eastAsia="es-MX"/>
        </w:rPr>
        <w:t xml:space="preserve">s </w:t>
      </w:r>
      <w:r w:rsidR="00A153EC">
        <w:rPr>
          <w:lang w:eastAsia="es-MX"/>
        </w:rPr>
        <w:t>9</w:t>
      </w:r>
      <w:r w:rsidR="00A153EC" w:rsidRPr="006E6390">
        <w:rPr>
          <w:lang w:eastAsia="es-MX"/>
        </w:rPr>
        <w:t xml:space="preserve"> </w:t>
      </w:r>
      <w:r w:rsidR="009277B4" w:rsidRPr="006E6390">
        <w:rPr>
          <w:lang w:eastAsia="es-MX"/>
        </w:rPr>
        <w:t xml:space="preserve">de </w:t>
      </w:r>
      <w:r w:rsidR="00A153EC">
        <w:rPr>
          <w:lang w:eastAsia="es-MX"/>
        </w:rPr>
        <w:t>mayo</w:t>
      </w:r>
      <w:r w:rsidR="00A153EC" w:rsidRPr="006E6390">
        <w:rPr>
          <w:lang w:eastAsia="es-MX"/>
        </w:rPr>
        <w:t xml:space="preserve"> </w:t>
      </w:r>
      <w:r w:rsidR="009277B4" w:rsidRPr="006E6390">
        <w:rPr>
          <w:lang w:eastAsia="es-MX"/>
        </w:rPr>
        <w:t xml:space="preserve">de </w:t>
      </w:r>
      <w:r w:rsidR="00A153EC" w:rsidRPr="006E6390">
        <w:rPr>
          <w:lang w:eastAsia="es-MX"/>
        </w:rPr>
        <w:t>20</w:t>
      </w:r>
      <w:r w:rsidR="00A153EC">
        <w:rPr>
          <w:lang w:eastAsia="es-MX"/>
        </w:rPr>
        <w:t>23</w:t>
      </w:r>
      <w:r w:rsidR="009277B4" w:rsidRPr="006E6390">
        <w:rPr>
          <w:lang w:eastAsia="es-MX"/>
        </w:rPr>
        <w:t xml:space="preserve">, Aprobación del Plan Estratégico Empresarial </w:t>
      </w:r>
      <w:r w:rsidR="00A153EC" w:rsidRPr="006E6390">
        <w:rPr>
          <w:lang w:eastAsia="es-MX"/>
        </w:rPr>
        <w:t>202</w:t>
      </w:r>
      <w:r w:rsidR="00A153EC">
        <w:rPr>
          <w:lang w:eastAsia="es-MX"/>
        </w:rPr>
        <w:t>3</w:t>
      </w:r>
      <w:r w:rsidR="009277B4" w:rsidRPr="006E6390">
        <w:rPr>
          <w:lang w:eastAsia="es-MX"/>
        </w:rPr>
        <w:t>-</w:t>
      </w:r>
      <w:r w:rsidR="00A153EC" w:rsidRPr="006E6390">
        <w:rPr>
          <w:lang w:eastAsia="es-MX"/>
        </w:rPr>
        <w:t>20</w:t>
      </w:r>
      <w:r w:rsidR="00A153EC">
        <w:rPr>
          <w:lang w:eastAsia="es-MX"/>
        </w:rPr>
        <w:t>26</w:t>
      </w:r>
      <w:r w:rsidR="009277B4" w:rsidRPr="006E6390">
        <w:rPr>
          <w:lang w:eastAsia="es-MX"/>
        </w:rPr>
        <w:t>.</w:t>
      </w:r>
    </w:p>
    <w:p w14:paraId="1BCA3E8C" w14:textId="77777777" w:rsidR="00606572" w:rsidRPr="006E6390" w:rsidRDefault="00606572" w:rsidP="005F37FF">
      <w:pPr>
        <w:rPr>
          <w:lang w:eastAsia="es-MX"/>
        </w:rPr>
      </w:pPr>
    </w:p>
    <w:p w14:paraId="1658B269" w14:textId="77777777" w:rsidR="009277B4" w:rsidRPr="006E6390" w:rsidRDefault="009277B4" w:rsidP="005F37FF">
      <w:pPr>
        <w:pStyle w:val="Ttulo2"/>
      </w:pPr>
      <w:bookmarkStart w:id="125" w:name="_Toc38630829"/>
      <w:r w:rsidRPr="006E6390">
        <w:t>4.1. Misión de la empresa:</w:t>
      </w:r>
      <w:bookmarkEnd w:id="125"/>
    </w:p>
    <w:p w14:paraId="3E9B8EB6" w14:textId="77777777" w:rsidR="00453D9D" w:rsidRPr="00453D9D" w:rsidRDefault="00453D9D" w:rsidP="00EE7782">
      <w:pPr>
        <w:pStyle w:val="Ttulo3"/>
        <w:spacing w:after="0"/>
        <w:ind w:left="567"/>
        <w:rPr>
          <w:b w:val="0"/>
          <w:bCs w:val="0"/>
        </w:rPr>
      </w:pPr>
      <w:r w:rsidRPr="00453D9D">
        <w:rPr>
          <w:b w:val="0"/>
          <w:bCs w:val="0"/>
        </w:rPr>
        <w:t>“</w:t>
      </w:r>
      <w:r w:rsidRPr="00453D9D">
        <w:rPr>
          <w:b w:val="0"/>
          <w:bCs w:val="0"/>
          <w:i/>
          <w:iCs/>
        </w:rPr>
        <w:t>Garantizamos, con excelencia y responsabilidad ambiental, la seguridad energética de Costa Rica, mediante el abastecimiento oportuno y seguro de los combustibles necesarios para el desarrollo socioeconómico del país.”</w:t>
      </w:r>
    </w:p>
    <w:p w14:paraId="3E409DE4" w14:textId="77777777" w:rsidR="00606572" w:rsidRPr="006E6390" w:rsidRDefault="00606572" w:rsidP="005F37FF">
      <w:pPr>
        <w:ind w:left="567" w:right="616"/>
        <w:rPr>
          <w:i/>
          <w:lang w:eastAsia="es-MX"/>
        </w:rPr>
      </w:pPr>
    </w:p>
    <w:p w14:paraId="05C96EDB" w14:textId="77777777" w:rsidR="009277B4" w:rsidRPr="006E6390" w:rsidRDefault="009277B4" w:rsidP="009277B4">
      <w:pPr>
        <w:pStyle w:val="Ttulo2"/>
        <w:tabs>
          <w:tab w:val="left" w:pos="9270"/>
        </w:tabs>
        <w:rPr>
          <w:rFonts w:ascii="Helvetica" w:hAnsi="Helvetica" w:cs="Helvetica"/>
          <w:szCs w:val="22"/>
        </w:rPr>
      </w:pPr>
      <w:bookmarkStart w:id="126" w:name="_Toc38630830"/>
      <w:r w:rsidRPr="006E6390">
        <w:rPr>
          <w:rFonts w:ascii="Helvetica" w:hAnsi="Helvetica" w:cs="Helvetica"/>
          <w:szCs w:val="22"/>
        </w:rPr>
        <w:t>4.2. Visión de la empresa:</w:t>
      </w:r>
      <w:bookmarkEnd w:id="126"/>
    </w:p>
    <w:p w14:paraId="634CE83F" w14:textId="77777777" w:rsidR="002561CC" w:rsidRPr="002561CC" w:rsidRDefault="002561CC" w:rsidP="002561CC">
      <w:pPr>
        <w:spacing w:after="160"/>
        <w:ind w:left="567" w:right="333"/>
        <w:rPr>
          <w:rFonts w:asciiTheme="minorHAnsi" w:hAnsiTheme="minorHAnsi" w:cs="Arial"/>
          <w:i/>
          <w:iCs/>
          <w:kern w:val="2"/>
          <w:lang w:val="es-MX" w:eastAsia="en-US"/>
        </w:rPr>
      </w:pPr>
      <w:r w:rsidRPr="002561CC">
        <w:rPr>
          <w:rFonts w:cs="Arial"/>
          <w:i/>
          <w:iCs/>
          <w:kern w:val="2"/>
          <w:lang w:val="es-MX" w:eastAsia="en-US"/>
        </w:rPr>
        <w:t>“Ser una empresa referente en la competitividad del país, suministrando combustibles de alta calidad y trasladando todos los beneficios a la sociedad costarricense, para contribuir en la calidad de vida de nuestros habitantes.”</w:t>
      </w:r>
    </w:p>
    <w:p w14:paraId="0E79880B" w14:textId="77777777" w:rsidR="009277B4" w:rsidRPr="006E6390" w:rsidRDefault="009277B4" w:rsidP="009277B4">
      <w:pPr>
        <w:pStyle w:val="Ttulo2"/>
        <w:rPr>
          <w:rFonts w:ascii="Helvetica" w:hAnsi="Helvetica" w:cs="Helvetica"/>
          <w:szCs w:val="22"/>
        </w:rPr>
      </w:pPr>
      <w:bookmarkStart w:id="127" w:name="_Toc38630831"/>
      <w:r w:rsidRPr="006E6390">
        <w:rPr>
          <w:rFonts w:ascii="Helvetica" w:hAnsi="Helvetica" w:cs="Helvetica"/>
          <w:szCs w:val="22"/>
        </w:rPr>
        <w:t>4.3. Objetivos estratégicos</w:t>
      </w:r>
      <w:bookmarkEnd w:id="127"/>
    </w:p>
    <w:p w14:paraId="6764B5DB" w14:textId="2DACC9BD" w:rsidR="009277B4" w:rsidRDefault="009277B4" w:rsidP="009277B4">
      <w:pPr>
        <w:autoSpaceDE w:val="0"/>
        <w:autoSpaceDN w:val="0"/>
        <w:adjustRightInd w:val="0"/>
        <w:spacing w:after="0" w:line="240" w:lineRule="auto"/>
        <w:rPr>
          <w:rFonts w:ascii="Helvetica" w:eastAsia="Calibri" w:hAnsi="Helvetica" w:cs="Helvetica"/>
          <w:lang w:val="es-ES"/>
        </w:rPr>
      </w:pPr>
      <w:r w:rsidRPr="006E6390">
        <w:rPr>
          <w:rFonts w:ascii="Helvetica" w:eastAsia="Calibri" w:hAnsi="Helvetica" w:cs="Helvetica"/>
          <w:lang w:val="es-ES"/>
        </w:rPr>
        <w:t xml:space="preserve">Durante el proceso de concepción y aprobación del Plan Estratégico </w:t>
      </w:r>
      <w:r w:rsidR="002561CC" w:rsidRPr="006E6390">
        <w:rPr>
          <w:rFonts w:ascii="Helvetica" w:eastAsia="Calibri" w:hAnsi="Helvetica" w:cs="Helvetica"/>
          <w:lang w:val="es-ES"/>
        </w:rPr>
        <w:t>202</w:t>
      </w:r>
      <w:r w:rsidR="002561CC">
        <w:rPr>
          <w:rFonts w:ascii="Helvetica" w:eastAsia="Calibri" w:hAnsi="Helvetica" w:cs="Helvetica"/>
          <w:lang w:val="es-ES"/>
        </w:rPr>
        <w:t>3</w:t>
      </w:r>
      <w:r w:rsidRPr="006E6390">
        <w:rPr>
          <w:rFonts w:ascii="Helvetica" w:eastAsia="Calibri" w:hAnsi="Helvetica" w:cs="Helvetica"/>
          <w:lang w:val="es-ES"/>
        </w:rPr>
        <w:t>-</w:t>
      </w:r>
      <w:r w:rsidR="002561CC" w:rsidRPr="006E6390">
        <w:rPr>
          <w:rFonts w:ascii="Helvetica" w:eastAsia="Calibri" w:hAnsi="Helvetica" w:cs="Helvetica"/>
          <w:lang w:val="es-ES"/>
        </w:rPr>
        <w:t>20</w:t>
      </w:r>
      <w:r w:rsidR="002561CC">
        <w:rPr>
          <w:rFonts w:ascii="Helvetica" w:eastAsia="Calibri" w:hAnsi="Helvetica" w:cs="Helvetica"/>
          <w:lang w:val="es-ES"/>
        </w:rPr>
        <w:t>26</w:t>
      </w:r>
      <w:r w:rsidRPr="006E6390">
        <w:rPr>
          <w:rFonts w:ascii="Helvetica" w:eastAsia="Calibri" w:hAnsi="Helvetica" w:cs="Helvetica"/>
          <w:lang w:val="es-ES"/>
        </w:rPr>
        <w:t>, la Junta Directiva plasmó los siguientes objetivos estratégicos</w:t>
      </w:r>
      <w:r w:rsidR="00D45DF0">
        <w:rPr>
          <w:rFonts w:ascii="Helvetica" w:eastAsia="Calibri" w:hAnsi="Helvetica" w:cs="Helvetica"/>
          <w:lang w:val="es-ES"/>
        </w:rPr>
        <w:t>:</w:t>
      </w:r>
    </w:p>
    <w:p w14:paraId="1DA184AD" w14:textId="77777777" w:rsidR="009277B4" w:rsidRPr="006E6390" w:rsidRDefault="009277B4" w:rsidP="009277B4">
      <w:pPr>
        <w:autoSpaceDE w:val="0"/>
        <w:autoSpaceDN w:val="0"/>
        <w:adjustRightInd w:val="0"/>
        <w:spacing w:after="0" w:line="240" w:lineRule="auto"/>
        <w:rPr>
          <w:rFonts w:ascii="Helvetica" w:eastAsia="Calibri" w:hAnsi="Helvetica" w:cs="Helvetica"/>
          <w:lang w:val="es-ES"/>
        </w:rPr>
      </w:pPr>
    </w:p>
    <w:p w14:paraId="0D11177A" w14:textId="2AE2BB92" w:rsidR="005250D5" w:rsidRDefault="005250D5" w:rsidP="005250D5">
      <w:pPr>
        <w:pStyle w:val="Prrafodelista"/>
        <w:spacing w:after="160"/>
        <w:ind w:left="360"/>
        <w:rPr>
          <w:rFonts w:cs="Arial"/>
          <w:kern w:val="2"/>
          <w:lang w:val="es-MX" w:eastAsia="en-US"/>
        </w:rPr>
      </w:pPr>
      <w:r w:rsidRPr="005250D5">
        <w:rPr>
          <w:rFonts w:cs="Arial"/>
          <w:kern w:val="2"/>
          <w:lang w:val="es-MX" w:eastAsia="en-US"/>
        </w:rPr>
        <w:t>El Plan Estratégico define una serie de objetivos orientados por distintas áreas de RECOPE:</w:t>
      </w:r>
    </w:p>
    <w:p w14:paraId="5742A7EE" w14:textId="77777777" w:rsidR="005250D5" w:rsidRPr="005250D5" w:rsidRDefault="005250D5" w:rsidP="00EE7782">
      <w:pPr>
        <w:pStyle w:val="Prrafodelista"/>
        <w:spacing w:after="160"/>
        <w:ind w:left="360"/>
        <w:rPr>
          <w:rFonts w:asciiTheme="minorHAnsi" w:hAnsiTheme="minorHAnsi" w:cs="Arial"/>
          <w:kern w:val="2"/>
          <w:lang w:val="es-MX" w:eastAsia="en-US"/>
        </w:rPr>
      </w:pPr>
    </w:p>
    <w:p w14:paraId="63BE59A4" w14:textId="77777777" w:rsidR="005250D5" w:rsidRPr="005250D5" w:rsidRDefault="005250D5" w:rsidP="005250D5">
      <w:pPr>
        <w:pStyle w:val="Prrafodelista"/>
        <w:numPr>
          <w:ilvl w:val="0"/>
          <w:numId w:val="31"/>
        </w:numPr>
        <w:spacing w:after="160"/>
        <w:rPr>
          <w:rFonts w:asciiTheme="minorHAnsi" w:hAnsiTheme="minorHAnsi" w:cs="Arial"/>
          <w:kern w:val="2"/>
          <w:lang w:val="es-MX" w:eastAsia="en-US"/>
        </w:rPr>
      </w:pPr>
      <w:r w:rsidRPr="005250D5">
        <w:rPr>
          <w:rFonts w:cs="Arial"/>
          <w:kern w:val="2"/>
          <w:lang w:val="es-MX" w:eastAsia="en-US"/>
        </w:rPr>
        <w:t>i. Objetivo estratégico de Gobernanza:</w:t>
      </w:r>
    </w:p>
    <w:p w14:paraId="1881DCDF" w14:textId="77777777" w:rsidR="005250D5" w:rsidRPr="005250D5" w:rsidRDefault="005250D5" w:rsidP="00EE7782">
      <w:pPr>
        <w:pStyle w:val="Prrafodelista"/>
        <w:spacing w:after="160"/>
        <w:ind w:left="360"/>
        <w:rPr>
          <w:rFonts w:asciiTheme="minorHAnsi" w:hAnsiTheme="minorHAnsi" w:cs="Arial"/>
          <w:kern w:val="2"/>
          <w:lang w:val="es-MX" w:eastAsia="en-US"/>
        </w:rPr>
      </w:pPr>
      <w:r w:rsidRPr="005250D5">
        <w:rPr>
          <w:rFonts w:cs="Arial"/>
          <w:kern w:val="2"/>
          <w:lang w:val="es-MX" w:eastAsia="en-US"/>
        </w:rPr>
        <w:t xml:space="preserve"> </w:t>
      </w:r>
    </w:p>
    <w:p w14:paraId="490306E4"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Contar con un modelo de organización idóneo que garantice el abastecimiento oportuno y seguro de combustibles en el país, con excelencia y responsabilidad ambiental.</w:t>
      </w:r>
    </w:p>
    <w:p w14:paraId="142C354B"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 xml:space="preserve"> </w:t>
      </w:r>
    </w:p>
    <w:p w14:paraId="7F053743" w14:textId="77777777" w:rsidR="005250D5" w:rsidRPr="005250D5" w:rsidRDefault="005250D5" w:rsidP="005250D5">
      <w:pPr>
        <w:pStyle w:val="Prrafodelista"/>
        <w:numPr>
          <w:ilvl w:val="0"/>
          <w:numId w:val="31"/>
        </w:numPr>
        <w:spacing w:after="160"/>
        <w:rPr>
          <w:rFonts w:asciiTheme="minorHAnsi" w:hAnsiTheme="minorHAnsi" w:cs="Arial"/>
          <w:kern w:val="2"/>
          <w:lang w:val="es-MX" w:eastAsia="en-US"/>
        </w:rPr>
      </w:pPr>
      <w:r w:rsidRPr="005250D5">
        <w:rPr>
          <w:rFonts w:cs="Arial"/>
          <w:kern w:val="2"/>
          <w:lang w:val="es-MX" w:eastAsia="en-US"/>
        </w:rPr>
        <w:t>ii. Objetivos estratégicos de Procesos Internos</w:t>
      </w:r>
    </w:p>
    <w:p w14:paraId="06260E50"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Garantizar el suministro de combustibles en el país de manera eficiente, oportuna, segura y ambientalmente responsable.</w:t>
      </w:r>
    </w:p>
    <w:p w14:paraId="7CFFC809"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 xml:space="preserve"> </w:t>
      </w:r>
    </w:p>
    <w:p w14:paraId="7BA9EB37" w14:textId="77777777" w:rsidR="005250D5" w:rsidRPr="005250D5" w:rsidRDefault="005250D5" w:rsidP="005250D5">
      <w:pPr>
        <w:pStyle w:val="Prrafodelista"/>
        <w:numPr>
          <w:ilvl w:val="0"/>
          <w:numId w:val="31"/>
        </w:numPr>
        <w:spacing w:after="160"/>
        <w:rPr>
          <w:rFonts w:asciiTheme="minorHAnsi" w:hAnsiTheme="minorHAnsi" w:cs="Arial"/>
          <w:kern w:val="2"/>
          <w:lang w:val="es-MX" w:eastAsia="en-US"/>
        </w:rPr>
      </w:pPr>
      <w:r w:rsidRPr="005250D5">
        <w:rPr>
          <w:rFonts w:cs="Arial"/>
          <w:kern w:val="2"/>
          <w:lang w:val="es-MX" w:eastAsia="en-US"/>
        </w:rPr>
        <w:t>iii. Objetivo estratégico de Sostenibilidad financiera:</w:t>
      </w:r>
    </w:p>
    <w:p w14:paraId="40B19730"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 xml:space="preserve"> </w:t>
      </w:r>
    </w:p>
    <w:p w14:paraId="7801F02A" w14:textId="77777777" w:rsidR="005250D5" w:rsidRPr="005250D5" w:rsidRDefault="005250D5" w:rsidP="00EE7782">
      <w:pPr>
        <w:pStyle w:val="Prrafodelista"/>
        <w:spacing w:after="0"/>
        <w:ind w:left="360"/>
        <w:rPr>
          <w:rFonts w:asciiTheme="minorHAnsi" w:hAnsiTheme="minorHAnsi" w:cs="Arial"/>
          <w:kern w:val="2"/>
          <w:lang w:val="es-MX" w:eastAsia="en-US"/>
        </w:rPr>
      </w:pPr>
      <w:r w:rsidRPr="005250D5">
        <w:rPr>
          <w:rFonts w:cs="Arial"/>
          <w:kern w:val="2"/>
          <w:lang w:val="es-MX" w:eastAsia="en-US"/>
        </w:rPr>
        <w:t>Garantizar la sostenibilidad financiera que asegure el abastecimiento oportuno y seguro de combustibles en el país, con excelencia y responsabilidad ambiental.</w:t>
      </w:r>
    </w:p>
    <w:p w14:paraId="7D677264" w14:textId="2A52B993" w:rsidR="005250D5" w:rsidRPr="005250D5" w:rsidRDefault="005250D5" w:rsidP="00EE7782">
      <w:pPr>
        <w:pStyle w:val="Prrafodelista"/>
        <w:spacing w:after="0"/>
        <w:ind w:left="360"/>
        <w:rPr>
          <w:rFonts w:asciiTheme="minorHAnsi" w:hAnsiTheme="minorHAnsi" w:cs="Arial"/>
          <w:kern w:val="2"/>
          <w:lang w:val="es-MX" w:eastAsia="en-US"/>
        </w:rPr>
      </w:pPr>
    </w:p>
    <w:p w14:paraId="049C5F57" w14:textId="77777777" w:rsidR="005250D5" w:rsidRPr="005250D5" w:rsidRDefault="005250D5" w:rsidP="005250D5">
      <w:pPr>
        <w:pStyle w:val="Prrafodelista"/>
        <w:numPr>
          <w:ilvl w:val="0"/>
          <w:numId w:val="31"/>
        </w:numPr>
        <w:spacing w:after="0"/>
        <w:rPr>
          <w:rFonts w:asciiTheme="minorHAnsi" w:hAnsiTheme="minorHAnsi" w:cs="Arial"/>
          <w:kern w:val="2"/>
          <w:lang w:val="es-MX" w:eastAsia="en-US"/>
        </w:rPr>
      </w:pPr>
      <w:r w:rsidRPr="005250D5">
        <w:rPr>
          <w:rFonts w:cs="Arial"/>
          <w:kern w:val="2"/>
          <w:lang w:val="es-MX" w:eastAsia="en-US"/>
        </w:rPr>
        <w:t>iv. Objetivo estratégico de Clientes:</w:t>
      </w:r>
    </w:p>
    <w:p w14:paraId="7E024D91" w14:textId="77777777" w:rsidR="005250D5" w:rsidRPr="005250D5" w:rsidRDefault="005250D5" w:rsidP="00EE7782">
      <w:pPr>
        <w:pStyle w:val="Prrafodelista"/>
        <w:spacing w:after="0"/>
        <w:ind w:left="360"/>
        <w:rPr>
          <w:rFonts w:cs="Arial"/>
          <w:kern w:val="2"/>
          <w:lang w:val="es-MX" w:eastAsia="en-US"/>
        </w:rPr>
      </w:pPr>
    </w:p>
    <w:p w14:paraId="3966A006" w14:textId="799519B2" w:rsidR="005250D5" w:rsidRPr="005250D5" w:rsidRDefault="005250D5" w:rsidP="00EE7782">
      <w:pPr>
        <w:pStyle w:val="Prrafodelista"/>
        <w:spacing w:after="160"/>
        <w:ind w:left="360"/>
        <w:rPr>
          <w:rFonts w:asciiTheme="minorHAnsi" w:hAnsiTheme="minorHAnsi" w:cs="Arial"/>
          <w:kern w:val="2"/>
          <w:lang w:val="es-MX" w:eastAsia="en-US"/>
        </w:rPr>
      </w:pPr>
      <w:r w:rsidRPr="005250D5">
        <w:rPr>
          <w:rFonts w:cs="Arial"/>
          <w:kern w:val="2"/>
          <w:lang w:val="es-MX" w:eastAsia="en-US"/>
        </w:rPr>
        <w:lastRenderedPageBreak/>
        <w:t>Brindar a los clientes un servicio oportuno, seguro, eficiente y satisfactorio</w:t>
      </w:r>
      <w:r w:rsidR="00EE7782">
        <w:rPr>
          <w:rFonts w:cs="Arial"/>
          <w:kern w:val="2"/>
          <w:lang w:val="es-MX" w:eastAsia="en-US"/>
        </w:rPr>
        <w:t>.</w:t>
      </w:r>
    </w:p>
    <w:p w14:paraId="362325DE" w14:textId="77777777" w:rsidR="00606572" w:rsidRPr="008E2266" w:rsidRDefault="00606572" w:rsidP="008E2266">
      <w:pPr>
        <w:ind w:right="616"/>
        <w:rPr>
          <w:i/>
          <w:lang w:eastAsia="es-MX"/>
        </w:rPr>
      </w:pPr>
    </w:p>
    <w:p w14:paraId="19C687E5" w14:textId="77777777" w:rsidR="009277B4" w:rsidRPr="006E6390" w:rsidRDefault="009277B4" w:rsidP="005F37FF">
      <w:pPr>
        <w:pStyle w:val="Ttulo2"/>
      </w:pPr>
      <w:bookmarkStart w:id="128" w:name="_Toc38630832"/>
      <w:r w:rsidRPr="006E6390">
        <w:t>4.4. Organigrama</w:t>
      </w:r>
      <w:bookmarkEnd w:id="128"/>
    </w:p>
    <w:p w14:paraId="705808C5" w14:textId="1C8261B0" w:rsidR="009277B4" w:rsidRDefault="009277B4" w:rsidP="008E2266">
      <w:pPr>
        <w:spacing w:after="0"/>
        <w:rPr>
          <w:lang w:eastAsia="es-MX"/>
        </w:rPr>
      </w:pPr>
      <w:r w:rsidRPr="006E6390">
        <w:rPr>
          <w:lang w:eastAsia="es-MX"/>
        </w:rPr>
        <w:t>La estructura orgánica de RECOPE se divide en dos niveles.  Un nivel político-estratégico responsable de la alineación del quehacer empresarial al marco estratégico definido y al logro del plan de acción.  Este nivel se encuentra formado por dos niveles jerárquicos: la Junta Directiva que ejerce la dirección y supervisión global de la empresa y la Presidencia, responsable de formular estrategias y políticas y velar por el cumplimiento de las decisiones de la Junta Directiva, entre otras</w:t>
      </w:r>
      <w:r w:rsidR="00237EAE">
        <w:rPr>
          <w:lang w:eastAsia="es-MX"/>
        </w:rPr>
        <w:t>.</w:t>
      </w:r>
    </w:p>
    <w:p w14:paraId="50EA6D1C" w14:textId="77777777" w:rsidR="00237EAE" w:rsidRPr="006E6390" w:rsidRDefault="00237EAE" w:rsidP="008E2266">
      <w:pPr>
        <w:spacing w:after="0"/>
        <w:rPr>
          <w:lang w:eastAsia="es-MX"/>
        </w:rPr>
      </w:pPr>
    </w:p>
    <w:p w14:paraId="7C5570B0" w14:textId="7352AD4B" w:rsidR="009277B4" w:rsidRDefault="009277B4" w:rsidP="008E2266">
      <w:pPr>
        <w:spacing w:after="0"/>
        <w:rPr>
          <w:lang w:eastAsia="es-MX"/>
        </w:rPr>
      </w:pPr>
      <w:r w:rsidRPr="006E6390">
        <w:rPr>
          <w:lang w:eastAsia="es-MX"/>
        </w:rPr>
        <w:t xml:space="preserve">El segundo nivel es el operativo técnico y administrativo, responsable de ejecutan las actividades y las tareas programadas en forma rutinaria de acuerdo con los lineamientos dados por el nivel estratégico. </w:t>
      </w:r>
    </w:p>
    <w:p w14:paraId="505F5616" w14:textId="77777777" w:rsidR="00237EAE" w:rsidRPr="006E6390" w:rsidRDefault="00237EAE" w:rsidP="008E2266">
      <w:pPr>
        <w:spacing w:after="0"/>
        <w:rPr>
          <w:lang w:eastAsia="es-MX"/>
        </w:rPr>
      </w:pPr>
    </w:p>
    <w:p w14:paraId="74D10B57" w14:textId="7542EC8E" w:rsidR="009277B4" w:rsidRDefault="009277B4" w:rsidP="008E2266">
      <w:pPr>
        <w:spacing w:after="0"/>
        <w:rPr>
          <w:lang w:eastAsia="es-MX"/>
        </w:rPr>
      </w:pPr>
      <w:r w:rsidRPr="006E6390">
        <w:rPr>
          <w:lang w:eastAsia="es-MX"/>
        </w:rPr>
        <w:t xml:space="preserve">Como complemento a la implementación de un nuevo plan estratégico, la empresa ha iniciado un proceso de reorganización administrativa integral, </w:t>
      </w:r>
      <w:r w:rsidR="005F37FF" w:rsidRPr="006E6390">
        <w:rPr>
          <w:lang w:eastAsia="es-MX"/>
        </w:rPr>
        <w:t>que</w:t>
      </w:r>
      <w:r w:rsidRPr="006E6390">
        <w:rPr>
          <w:lang w:eastAsia="es-MX"/>
        </w:rPr>
        <w:t xml:space="preserve"> fue aprobado por el Ministerio de Planificación y Política Económica (MIDEPLAN) en oficio MIDEPLAN-DM-OF-0088-2020. El objetivo general de este proceso es realizar una transformación institucional para que se fortalezca la eficiencia, se mejore el aprovechamiento del recurso humano, la innovación y el énfasis en la operación de la empresa.</w:t>
      </w:r>
    </w:p>
    <w:p w14:paraId="2379EF1C" w14:textId="77777777" w:rsidR="00A25B4E" w:rsidRPr="006E6390" w:rsidRDefault="00A25B4E" w:rsidP="008E2266">
      <w:pPr>
        <w:spacing w:after="0"/>
        <w:rPr>
          <w:lang w:eastAsia="es-MX"/>
        </w:rPr>
      </w:pPr>
    </w:p>
    <w:p w14:paraId="12AD0F1B" w14:textId="30785B52" w:rsidR="003D0454" w:rsidRPr="006E6390" w:rsidRDefault="009277B4" w:rsidP="005F37FF">
      <w:pPr>
        <w:rPr>
          <w:lang w:eastAsia="es-MX"/>
        </w:rPr>
      </w:pPr>
      <w:r w:rsidRPr="006E6390">
        <w:rPr>
          <w:lang w:eastAsia="es-MX"/>
        </w:rPr>
        <w:t>A nivel interno, este proceso parte del acuerdo de Junta Directiva que consta en el Artículo 4 de la Sesión Extraordinaria N°5121-93 de 12 de noviembre de 2019</w:t>
      </w:r>
      <w:r w:rsidR="003D0454" w:rsidRPr="006E6390">
        <w:rPr>
          <w:lang w:eastAsia="es-MX"/>
        </w:rPr>
        <w:t xml:space="preserve">. </w:t>
      </w:r>
      <w:r w:rsidR="0044062B">
        <w:rPr>
          <w:lang w:eastAsia="es-MX"/>
        </w:rPr>
        <w:t xml:space="preserve"> </w:t>
      </w:r>
      <w:r w:rsidR="003D0454" w:rsidRPr="006E6390">
        <w:rPr>
          <w:lang w:eastAsia="es-MX"/>
        </w:rPr>
        <w:t xml:space="preserve">En la Figura </w:t>
      </w:r>
      <w:r w:rsidR="00A41B15" w:rsidRPr="006E6390">
        <w:rPr>
          <w:lang w:eastAsia="es-MX"/>
        </w:rPr>
        <w:t>N°</w:t>
      </w:r>
      <w:r w:rsidR="0044062B">
        <w:rPr>
          <w:lang w:eastAsia="es-MX"/>
        </w:rPr>
        <w:t>1</w:t>
      </w:r>
      <w:r w:rsidR="0044062B" w:rsidRPr="006E6390">
        <w:rPr>
          <w:lang w:eastAsia="es-MX"/>
        </w:rPr>
        <w:t xml:space="preserve"> </w:t>
      </w:r>
      <w:r w:rsidR="003D0454" w:rsidRPr="006E6390">
        <w:rPr>
          <w:lang w:eastAsia="es-MX"/>
        </w:rPr>
        <w:t>se observa la nueva estructura organizativa.</w:t>
      </w:r>
    </w:p>
    <w:p w14:paraId="14293416" w14:textId="14543242" w:rsidR="003D0454" w:rsidRPr="006E6390" w:rsidRDefault="003D0454" w:rsidP="003D0454">
      <w:pPr>
        <w:pStyle w:val="Ttuloscuadros"/>
        <w:tabs>
          <w:tab w:val="left" w:pos="9270"/>
        </w:tabs>
        <w:rPr>
          <w:rFonts w:ascii="Helvetica" w:hAnsi="Helvetica" w:cs="Helvetica"/>
          <w:lang w:eastAsia="es-MX"/>
        </w:rPr>
      </w:pPr>
      <w:r w:rsidRPr="006E6390">
        <w:rPr>
          <w:rFonts w:ascii="Helvetica" w:hAnsi="Helvetica" w:cs="Helvetica"/>
          <w:lang w:eastAsia="es-MX"/>
        </w:rPr>
        <w:t>Figura N°</w:t>
      </w:r>
      <w:r w:rsidR="0044062B">
        <w:rPr>
          <w:rFonts w:ascii="Helvetica" w:hAnsi="Helvetica" w:cs="Helvetica"/>
          <w:lang w:eastAsia="es-MX"/>
        </w:rPr>
        <w:t>1</w:t>
      </w:r>
    </w:p>
    <w:p w14:paraId="0BBFE917" w14:textId="77777777" w:rsidR="003D0454" w:rsidRPr="006E6390" w:rsidRDefault="003D0454" w:rsidP="003D0454">
      <w:pPr>
        <w:pStyle w:val="Ttuloscuadros"/>
        <w:tabs>
          <w:tab w:val="left" w:pos="9270"/>
        </w:tabs>
        <w:rPr>
          <w:rFonts w:ascii="Helvetica" w:hAnsi="Helvetica"/>
          <w:lang w:eastAsia="es-MX"/>
        </w:rPr>
      </w:pPr>
      <w:r w:rsidRPr="006E6390">
        <w:rPr>
          <w:rFonts w:ascii="Helvetica" w:hAnsi="Helvetica" w:cs="Helvetica"/>
          <w:lang w:eastAsia="es-MX"/>
        </w:rPr>
        <w:t>Estructura Org</w:t>
      </w:r>
      <w:r w:rsidR="00A41B15" w:rsidRPr="006E6390">
        <w:rPr>
          <w:rFonts w:ascii="Helvetica" w:hAnsi="Helvetica" w:cs="Helvetica"/>
          <w:lang w:eastAsia="es-MX"/>
        </w:rPr>
        <w:t>a</w:t>
      </w:r>
      <w:r w:rsidRPr="006E6390">
        <w:rPr>
          <w:rFonts w:ascii="Helvetica" w:hAnsi="Helvetica" w:cs="Helvetica"/>
          <w:lang w:eastAsia="es-MX"/>
        </w:rPr>
        <w:t>nizativa</w:t>
      </w:r>
    </w:p>
    <w:p w14:paraId="5C5DDA91" w14:textId="77777777" w:rsidR="003D0454" w:rsidRPr="006E6390" w:rsidRDefault="00ED04A0" w:rsidP="003D0454">
      <w:pPr>
        <w:pStyle w:val="Prrafodelista"/>
        <w:tabs>
          <w:tab w:val="left" w:pos="9270"/>
        </w:tabs>
        <w:ind w:left="0"/>
        <w:jc w:val="center"/>
        <w:rPr>
          <w:rFonts w:ascii="Helvetica" w:hAnsi="Helvetica"/>
          <w:lang w:eastAsia="es-MX"/>
        </w:rPr>
      </w:pPr>
      <w:r w:rsidRPr="006E6390">
        <w:rPr>
          <w:rFonts w:cs="Arial"/>
          <w:bCs/>
          <w:noProof/>
        </w:rPr>
        <w:lastRenderedPageBreak/>
        <w:drawing>
          <wp:inline distT="0" distB="0" distL="0" distR="0" wp14:anchorId="5ADD1722" wp14:editId="2D377E99">
            <wp:extent cx="5315585" cy="660794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6171" cy="6608668"/>
                    </a:xfrm>
                    <a:prstGeom prst="rect">
                      <a:avLst/>
                    </a:prstGeom>
                  </pic:spPr>
                </pic:pic>
              </a:graphicData>
            </a:graphic>
          </wp:inline>
        </w:drawing>
      </w:r>
    </w:p>
    <w:p w14:paraId="1796C3E5" w14:textId="1B51F373" w:rsidR="003D0454" w:rsidRDefault="009277B4" w:rsidP="008E2266">
      <w:pPr>
        <w:pStyle w:val="piedepgina0"/>
        <w:tabs>
          <w:tab w:val="left" w:pos="9270"/>
        </w:tabs>
        <w:spacing w:after="0"/>
        <w:rPr>
          <w:rFonts w:cs="Arial"/>
          <w:sz w:val="22"/>
          <w:shd w:val="clear" w:color="auto" w:fill="FFFFFF"/>
        </w:rPr>
      </w:pPr>
      <w:r w:rsidRPr="00C6786C">
        <w:rPr>
          <w:rFonts w:cs="Arial"/>
          <w:sz w:val="22"/>
          <w:shd w:val="clear" w:color="auto" w:fill="FFFFFF"/>
        </w:rPr>
        <w:t xml:space="preserve">RECOPE contaba al 31 de diciembre de </w:t>
      </w:r>
      <w:r w:rsidR="00D80D99" w:rsidRPr="00C6786C">
        <w:rPr>
          <w:rFonts w:cs="Arial"/>
          <w:sz w:val="22"/>
          <w:shd w:val="clear" w:color="auto" w:fill="FFFFFF"/>
        </w:rPr>
        <w:t>202</w:t>
      </w:r>
      <w:r w:rsidR="00ED04A0" w:rsidRPr="00C6786C">
        <w:rPr>
          <w:rFonts w:cs="Arial"/>
          <w:sz w:val="22"/>
          <w:shd w:val="clear" w:color="auto" w:fill="FFFFFF"/>
        </w:rPr>
        <w:t>1</w:t>
      </w:r>
      <w:r w:rsidR="00D80D99" w:rsidRPr="00C6786C">
        <w:rPr>
          <w:rFonts w:cs="Arial"/>
          <w:sz w:val="22"/>
          <w:shd w:val="clear" w:color="auto" w:fill="FFFFFF"/>
        </w:rPr>
        <w:t xml:space="preserve"> </w:t>
      </w:r>
      <w:r w:rsidRPr="00C6786C">
        <w:rPr>
          <w:rFonts w:cs="Arial"/>
          <w:sz w:val="22"/>
          <w:shd w:val="clear" w:color="auto" w:fill="FFFFFF"/>
        </w:rPr>
        <w:t>con 1</w:t>
      </w:r>
      <w:r w:rsidR="00250CFA" w:rsidRPr="00C6786C">
        <w:rPr>
          <w:rFonts w:cs="Arial"/>
          <w:sz w:val="22"/>
          <w:shd w:val="clear" w:color="auto" w:fill="FFFFFF"/>
        </w:rPr>
        <w:t xml:space="preserve"> </w:t>
      </w:r>
      <w:r w:rsidR="00C6786C" w:rsidRPr="00C6786C">
        <w:rPr>
          <w:rFonts w:cs="Arial"/>
          <w:sz w:val="22"/>
          <w:shd w:val="clear" w:color="auto" w:fill="FFFFFF"/>
        </w:rPr>
        <w:t>6</w:t>
      </w:r>
      <w:r w:rsidR="00C6786C" w:rsidRPr="008E2266">
        <w:rPr>
          <w:rFonts w:cs="Arial"/>
          <w:sz w:val="22"/>
          <w:shd w:val="clear" w:color="auto" w:fill="FFFFFF"/>
        </w:rPr>
        <w:t>9</w:t>
      </w:r>
      <w:r w:rsidR="00C6786C" w:rsidRPr="00C6786C">
        <w:rPr>
          <w:rFonts w:cs="Arial"/>
          <w:sz w:val="22"/>
          <w:shd w:val="clear" w:color="auto" w:fill="FFFFFF"/>
        </w:rPr>
        <w:t xml:space="preserve">8 </w:t>
      </w:r>
      <w:r w:rsidRPr="00C6786C">
        <w:rPr>
          <w:rFonts w:cs="Arial"/>
          <w:sz w:val="22"/>
          <w:shd w:val="clear" w:color="auto" w:fill="FFFFFF"/>
        </w:rPr>
        <w:t>funcionarios: 1</w:t>
      </w:r>
      <w:r w:rsidR="00250CFA" w:rsidRPr="00C6786C">
        <w:rPr>
          <w:rFonts w:cs="Arial"/>
          <w:sz w:val="22"/>
          <w:shd w:val="clear" w:color="auto" w:fill="FFFFFF"/>
        </w:rPr>
        <w:t xml:space="preserve"> </w:t>
      </w:r>
      <w:r w:rsidR="00C6786C" w:rsidRPr="00C6786C">
        <w:rPr>
          <w:rFonts w:cs="Arial"/>
          <w:sz w:val="22"/>
          <w:shd w:val="clear" w:color="auto" w:fill="FFFFFF"/>
        </w:rPr>
        <w:t>2</w:t>
      </w:r>
      <w:r w:rsidR="00C6786C" w:rsidRPr="008E2266">
        <w:rPr>
          <w:rFonts w:cs="Arial"/>
          <w:sz w:val="22"/>
          <w:shd w:val="clear" w:color="auto" w:fill="FFFFFF"/>
        </w:rPr>
        <w:t>83</w:t>
      </w:r>
      <w:r w:rsidR="00C6786C" w:rsidRPr="00C6786C">
        <w:rPr>
          <w:rFonts w:cs="Arial"/>
          <w:sz w:val="22"/>
          <w:shd w:val="clear" w:color="auto" w:fill="FFFFFF"/>
        </w:rPr>
        <w:t xml:space="preserve"> </w:t>
      </w:r>
      <w:r w:rsidRPr="00C6786C">
        <w:rPr>
          <w:rFonts w:cs="Arial"/>
          <w:sz w:val="22"/>
          <w:shd w:val="clear" w:color="auto" w:fill="FFFFFF"/>
        </w:rPr>
        <w:t xml:space="preserve">permanentes y </w:t>
      </w:r>
      <w:r w:rsidR="00C6786C" w:rsidRPr="00C6786C">
        <w:rPr>
          <w:rFonts w:cs="Arial"/>
          <w:sz w:val="22"/>
          <w:shd w:val="clear" w:color="auto" w:fill="FFFFFF"/>
        </w:rPr>
        <w:t>4</w:t>
      </w:r>
      <w:r w:rsidR="00C6786C" w:rsidRPr="008E2266">
        <w:rPr>
          <w:rFonts w:cs="Arial"/>
          <w:sz w:val="22"/>
          <w:shd w:val="clear" w:color="auto" w:fill="FFFFFF"/>
        </w:rPr>
        <w:t>1</w:t>
      </w:r>
      <w:r w:rsidR="00C6786C" w:rsidRPr="00C6786C">
        <w:rPr>
          <w:rFonts w:cs="Arial"/>
          <w:sz w:val="22"/>
          <w:shd w:val="clear" w:color="auto" w:fill="FFFFFF"/>
        </w:rPr>
        <w:t xml:space="preserve"> </w:t>
      </w:r>
      <w:r w:rsidRPr="00C6786C">
        <w:rPr>
          <w:rFonts w:cs="Arial"/>
          <w:sz w:val="22"/>
          <w:shd w:val="clear" w:color="auto" w:fill="FFFFFF"/>
        </w:rPr>
        <w:t>temporales.</w:t>
      </w:r>
      <w:r w:rsidR="00BA14E3" w:rsidRPr="00C6786C">
        <w:rPr>
          <w:rFonts w:cs="Arial"/>
          <w:sz w:val="22"/>
          <w:shd w:val="clear" w:color="auto" w:fill="FFFFFF"/>
        </w:rPr>
        <w:t xml:space="preserve"> </w:t>
      </w:r>
      <w:r w:rsidRPr="00C6786C">
        <w:rPr>
          <w:rFonts w:cs="Arial"/>
          <w:sz w:val="22"/>
          <w:shd w:val="clear" w:color="auto" w:fill="FFFFFF"/>
        </w:rPr>
        <w:t xml:space="preserve"> </w:t>
      </w:r>
      <w:r w:rsidR="003D0454" w:rsidRPr="00C6786C">
        <w:rPr>
          <w:rFonts w:cs="Arial"/>
          <w:sz w:val="22"/>
          <w:shd w:val="clear" w:color="auto" w:fill="FFFFFF"/>
        </w:rPr>
        <w:t>En 20</w:t>
      </w:r>
      <w:r w:rsidR="002C032F" w:rsidRPr="00C6786C">
        <w:rPr>
          <w:rFonts w:cs="Arial"/>
          <w:sz w:val="22"/>
          <w:shd w:val="clear" w:color="auto" w:fill="FFFFFF"/>
        </w:rPr>
        <w:t>20</w:t>
      </w:r>
      <w:r w:rsidRPr="00C6786C">
        <w:rPr>
          <w:rFonts w:cs="Arial"/>
          <w:sz w:val="22"/>
          <w:shd w:val="clear" w:color="auto" w:fill="FFFFFF"/>
        </w:rPr>
        <w:t xml:space="preserve"> eran</w:t>
      </w:r>
      <w:r w:rsidR="004B5878" w:rsidRPr="00C6786C">
        <w:rPr>
          <w:rFonts w:cs="Arial"/>
          <w:sz w:val="22"/>
          <w:shd w:val="clear" w:color="auto" w:fill="FFFFFF"/>
        </w:rPr>
        <w:t xml:space="preserve"> 1 </w:t>
      </w:r>
      <w:r w:rsidR="00C6786C" w:rsidRPr="00C6786C">
        <w:rPr>
          <w:rFonts w:cs="Arial"/>
          <w:sz w:val="22"/>
          <w:shd w:val="clear" w:color="auto" w:fill="FFFFFF"/>
        </w:rPr>
        <w:t>6</w:t>
      </w:r>
      <w:r w:rsidR="00C6786C" w:rsidRPr="008E2266">
        <w:rPr>
          <w:rFonts w:cs="Arial"/>
          <w:sz w:val="22"/>
          <w:shd w:val="clear" w:color="auto" w:fill="FFFFFF"/>
        </w:rPr>
        <w:t>6</w:t>
      </w:r>
      <w:r w:rsidR="00C6786C" w:rsidRPr="00C6786C">
        <w:rPr>
          <w:rFonts w:cs="Arial"/>
          <w:sz w:val="22"/>
          <w:shd w:val="clear" w:color="auto" w:fill="FFFFFF"/>
        </w:rPr>
        <w:t xml:space="preserve">8 </w:t>
      </w:r>
      <w:r w:rsidR="004B5878" w:rsidRPr="00C6786C">
        <w:rPr>
          <w:rFonts w:cs="Arial"/>
          <w:sz w:val="22"/>
          <w:shd w:val="clear" w:color="auto" w:fill="FFFFFF"/>
        </w:rPr>
        <w:t xml:space="preserve">funcionarios: 1 </w:t>
      </w:r>
      <w:r w:rsidR="00C6786C" w:rsidRPr="00C6786C">
        <w:rPr>
          <w:rFonts w:cs="Arial"/>
          <w:sz w:val="22"/>
          <w:shd w:val="clear" w:color="auto" w:fill="FFFFFF"/>
        </w:rPr>
        <w:t>2</w:t>
      </w:r>
      <w:r w:rsidR="00C6786C" w:rsidRPr="008E2266">
        <w:rPr>
          <w:rFonts w:cs="Arial"/>
          <w:sz w:val="22"/>
          <w:shd w:val="clear" w:color="auto" w:fill="FFFFFF"/>
        </w:rPr>
        <w:t>24</w:t>
      </w:r>
      <w:r w:rsidR="00C6786C" w:rsidRPr="00C6786C">
        <w:rPr>
          <w:rFonts w:cs="Arial"/>
          <w:sz w:val="22"/>
          <w:shd w:val="clear" w:color="auto" w:fill="FFFFFF"/>
        </w:rPr>
        <w:t xml:space="preserve"> </w:t>
      </w:r>
      <w:r w:rsidR="004B5878" w:rsidRPr="00C6786C">
        <w:rPr>
          <w:rFonts w:cs="Arial"/>
          <w:sz w:val="22"/>
          <w:shd w:val="clear" w:color="auto" w:fill="FFFFFF"/>
        </w:rPr>
        <w:t xml:space="preserve">permanentes y </w:t>
      </w:r>
      <w:r w:rsidR="00C6786C" w:rsidRPr="00C6786C">
        <w:rPr>
          <w:rFonts w:cs="Arial"/>
          <w:sz w:val="22"/>
          <w:shd w:val="clear" w:color="auto" w:fill="FFFFFF"/>
        </w:rPr>
        <w:t>4</w:t>
      </w:r>
      <w:r w:rsidR="00C6786C" w:rsidRPr="008E2266">
        <w:rPr>
          <w:rFonts w:cs="Arial"/>
          <w:sz w:val="22"/>
          <w:shd w:val="clear" w:color="auto" w:fill="FFFFFF"/>
        </w:rPr>
        <w:t>44</w:t>
      </w:r>
      <w:r w:rsidR="00C6786C" w:rsidRPr="00C6786C">
        <w:rPr>
          <w:rFonts w:cs="Arial"/>
          <w:sz w:val="22"/>
          <w:shd w:val="clear" w:color="auto" w:fill="FFFFFF"/>
        </w:rPr>
        <w:t xml:space="preserve"> </w:t>
      </w:r>
      <w:r w:rsidR="004B5878" w:rsidRPr="00C6786C">
        <w:rPr>
          <w:rFonts w:cs="Arial"/>
          <w:sz w:val="22"/>
          <w:shd w:val="clear" w:color="auto" w:fill="FFFFFF"/>
        </w:rPr>
        <w:t>temporales.</w:t>
      </w:r>
      <w:r w:rsidR="00C6786C" w:rsidRPr="00C6786C">
        <w:rPr>
          <w:rFonts w:cs="Arial"/>
          <w:sz w:val="22"/>
          <w:shd w:val="clear" w:color="auto" w:fill="FFFFFF"/>
        </w:rPr>
        <w:t xml:space="preserve"> En 2022, el total se reduce a 1</w:t>
      </w:r>
      <w:r w:rsidR="00D273EF">
        <w:rPr>
          <w:rFonts w:cs="Arial"/>
          <w:sz w:val="22"/>
          <w:shd w:val="clear" w:color="auto" w:fill="FFFFFF"/>
        </w:rPr>
        <w:t xml:space="preserve"> </w:t>
      </w:r>
      <w:r w:rsidR="00C6786C" w:rsidRPr="00C6786C">
        <w:rPr>
          <w:rFonts w:cs="Arial"/>
          <w:sz w:val="22"/>
          <w:shd w:val="clear" w:color="auto" w:fill="FFFFFF"/>
        </w:rPr>
        <w:t>642 con 1 373 permanentes y 269 temporales.</w:t>
      </w:r>
    </w:p>
    <w:p w14:paraId="0299C846" w14:textId="77777777" w:rsidR="00A25B4E" w:rsidRPr="00431C38" w:rsidRDefault="00A25B4E" w:rsidP="009277B4">
      <w:pPr>
        <w:pStyle w:val="piedepgina0"/>
        <w:tabs>
          <w:tab w:val="left" w:pos="9270"/>
        </w:tabs>
        <w:rPr>
          <w:rFonts w:cs="Arial"/>
          <w:sz w:val="22"/>
          <w:shd w:val="clear" w:color="auto" w:fill="FFFFFF"/>
        </w:rPr>
      </w:pPr>
    </w:p>
    <w:p w14:paraId="48A16457" w14:textId="77777777" w:rsidR="009277B4" w:rsidRPr="00431C38" w:rsidRDefault="009277B4" w:rsidP="004D1E32">
      <w:pPr>
        <w:pStyle w:val="Ttulo2"/>
        <w:rPr>
          <w:rFonts w:cs="Arial"/>
        </w:rPr>
      </w:pPr>
      <w:bookmarkStart w:id="129" w:name="_Toc38630833"/>
      <w:r w:rsidRPr="00431C38">
        <w:rPr>
          <w:rFonts w:cs="Arial"/>
        </w:rPr>
        <w:lastRenderedPageBreak/>
        <w:t>4.5. Propiedades, planta y equipo</w:t>
      </w:r>
      <w:bookmarkEnd w:id="129"/>
    </w:p>
    <w:p w14:paraId="72934514" w14:textId="1F538B4E" w:rsidR="004D1E32" w:rsidRDefault="009277B4" w:rsidP="008E2266">
      <w:pPr>
        <w:spacing w:after="0"/>
        <w:rPr>
          <w:rFonts w:cs="Arial"/>
          <w:lang w:eastAsia="es-MX"/>
        </w:rPr>
      </w:pPr>
      <w:r w:rsidRPr="00431C38">
        <w:rPr>
          <w:rFonts w:cs="Arial"/>
          <w:lang w:eastAsia="es-MX"/>
        </w:rPr>
        <w:t xml:space="preserve">RECOPE es una empresa con un alto porcentaje de activos fijos con respecto a los activos totales producto de la actividad que desarrolla.  </w:t>
      </w:r>
      <w:r w:rsidR="004D1E32" w:rsidRPr="00431C38">
        <w:rPr>
          <w:rFonts w:cs="Arial"/>
          <w:lang w:eastAsia="es-MX"/>
        </w:rPr>
        <w:t xml:space="preserve">En el cuadro </w:t>
      </w:r>
      <w:r w:rsidR="007408DF" w:rsidRPr="00431C38">
        <w:rPr>
          <w:rFonts w:cs="Arial"/>
          <w:lang w:eastAsia="es-MX"/>
        </w:rPr>
        <w:t>2</w:t>
      </w:r>
      <w:r w:rsidR="006B7171" w:rsidRPr="00431C38">
        <w:rPr>
          <w:rFonts w:cs="Arial"/>
          <w:lang w:eastAsia="es-MX"/>
        </w:rPr>
        <w:t>5</w:t>
      </w:r>
      <w:r w:rsidR="007408DF" w:rsidRPr="00431C38">
        <w:rPr>
          <w:rFonts w:cs="Arial"/>
          <w:lang w:eastAsia="es-MX"/>
        </w:rPr>
        <w:t xml:space="preserve"> </w:t>
      </w:r>
      <w:r w:rsidR="004D1E32" w:rsidRPr="00431C38">
        <w:rPr>
          <w:rFonts w:cs="Arial"/>
          <w:lang w:eastAsia="es-MX"/>
        </w:rPr>
        <w:t xml:space="preserve">puede observarse la composición de los activos por </w:t>
      </w:r>
      <w:r w:rsidR="004D1E32" w:rsidRPr="00AA14FA">
        <w:rPr>
          <w:rFonts w:cs="Arial"/>
          <w:lang w:eastAsia="es-MX"/>
        </w:rPr>
        <w:t xml:space="preserve">categoría. </w:t>
      </w:r>
      <w:r w:rsidR="00232643" w:rsidRPr="00AA14FA">
        <w:rPr>
          <w:rFonts w:cs="Arial"/>
          <w:lang w:eastAsia="es-MX"/>
        </w:rPr>
        <w:t xml:space="preserve"> </w:t>
      </w:r>
      <w:r w:rsidR="004D1E32" w:rsidRPr="00AA14FA">
        <w:rPr>
          <w:rFonts w:cs="Arial"/>
          <w:lang w:eastAsia="es-MX"/>
        </w:rPr>
        <w:t xml:space="preserve">Se observa </w:t>
      </w:r>
      <w:r w:rsidR="005428F5" w:rsidRPr="00AA14FA">
        <w:rPr>
          <w:rFonts w:cs="Arial"/>
          <w:lang w:eastAsia="es-MX"/>
        </w:rPr>
        <w:t xml:space="preserve">en </w:t>
      </w:r>
      <w:r w:rsidR="00EB7F62" w:rsidRPr="00AA14FA">
        <w:rPr>
          <w:rFonts w:cs="Arial"/>
          <w:lang w:eastAsia="es-MX"/>
        </w:rPr>
        <w:t>202</w:t>
      </w:r>
      <w:r w:rsidR="00EB7F62" w:rsidRPr="008E2266">
        <w:rPr>
          <w:rFonts w:cs="Arial"/>
          <w:lang w:eastAsia="es-MX"/>
        </w:rPr>
        <w:t>2</w:t>
      </w:r>
      <w:r w:rsidR="00EB7F62" w:rsidRPr="00AA14FA">
        <w:rPr>
          <w:rFonts w:cs="Arial"/>
          <w:lang w:eastAsia="es-MX"/>
        </w:rPr>
        <w:t xml:space="preserve"> </w:t>
      </w:r>
      <w:r w:rsidR="004D1E32" w:rsidRPr="00AA14FA">
        <w:rPr>
          <w:rFonts w:cs="Arial"/>
          <w:lang w:eastAsia="es-MX"/>
        </w:rPr>
        <w:t xml:space="preserve">que el componente más importante </w:t>
      </w:r>
      <w:r w:rsidR="00AF55EF" w:rsidRPr="00AA14FA">
        <w:rPr>
          <w:rFonts w:cs="Arial"/>
          <w:lang w:eastAsia="es-MX"/>
        </w:rPr>
        <w:t xml:space="preserve">(sin contar la depreciación acumulada) </w:t>
      </w:r>
      <w:r w:rsidR="004D1E32" w:rsidRPr="00AA14FA">
        <w:rPr>
          <w:rFonts w:cs="Arial"/>
          <w:lang w:eastAsia="es-MX"/>
        </w:rPr>
        <w:t>es el de Instalaciones (</w:t>
      </w:r>
      <w:r w:rsidR="00EB7F62" w:rsidRPr="008E2266">
        <w:rPr>
          <w:rFonts w:cs="Arial"/>
          <w:lang w:eastAsia="es-MX"/>
        </w:rPr>
        <w:t>52</w:t>
      </w:r>
      <w:r w:rsidR="005428F5" w:rsidRPr="00AA14FA">
        <w:rPr>
          <w:rFonts w:cs="Arial"/>
          <w:lang w:eastAsia="es-MX"/>
        </w:rPr>
        <w:t>,</w:t>
      </w:r>
      <w:r w:rsidR="00EB7F62" w:rsidRPr="008E2266">
        <w:rPr>
          <w:rFonts w:cs="Arial"/>
          <w:lang w:eastAsia="es-MX"/>
        </w:rPr>
        <w:t>7</w:t>
      </w:r>
      <w:r w:rsidR="004D1E32" w:rsidRPr="00AA14FA">
        <w:rPr>
          <w:rFonts w:cs="Arial"/>
          <w:lang w:eastAsia="es-MX"/>
        </w:rPr>
        <w:t xml:space="preserve">%), seguido por los </w:t>
      </w:r>
      <w:r w:rsidR="005428F5" w:rsidRPr="00AA14FA">
        <w:rPr>
          <w:rFonts w:cs="Arial"/>
          <w:lang w:eastAsia="es-MX"/>
        </w:rPr>
        <w:t>Terrenos</w:t>
      </w:r>
      <w:r w:rsidR="004D1E32" w:rsidRPr="00AA14FA">
        <w:rPr>
          <w:rFonts w:cs="Arial"/>
          <w:lang w:eastAsia="es-MX"/>
        </w:rPr>
        <w:t xml:space="preserve"> </w:t>
      </w:r>
      <w:r w:rsidR="005428F5" w:rsidRPr="00AA14FA">
        <w:rPr>
          <w:rFonts w:cs="Arial"/>
          <w:lang w:eastAsia="es-MX"/>
        </w:rPr>
        <w:t xml:space="preserve">–que no deprecian- </w:t>
      </w:r>
      <w:r w:rsidR="004D1E32" w:rsidRPr="00AA14FA">
        <w:rPr>
          <w:rFonts w:cs="Arial"/>
          <w:lang w:eastAsia="es-MX"/>
        </w:rPr>
        <w:t>(</w:t>
      </w:r>
      <w:r w:rsidR="00EB7F62" w:rsidRPr="00AA14FA">
        <w:rPr>
          <w:rFonts w:cs="Arial"/>
          <w:lang w:eastAsia="es-MX"/>
        </w:rPr>
        <w:t>1</w:t>
      </w:r>
      <w:r w:rsidR="00EB7F62" w:rsidRPr="008E2266">
        <w:rPr>
          <w:rFonts w:cs="Arial"/>
          <w:lang w:eastAsia="es-MX"/>
        </w:rPr>
        <w:t>1</w:t>
      </w:r>
      <w:r w:rsidR="00645554" w:rsidRPr="00AA14FA">
        <w:rPr>
          <w:rFonts w:cs="Arial"/>
          <w:lang w:eastAsia="es-MX"/>
        </w:rPr>
        <w:t>,</w:t>
      </w:r>
      <w:r w:rsidR="00EB7F62" w:rsidRPr="008E2266">
        <w:rPr>
          <w:rFonts w:cs="Arial"/>
          <w:lang w:eastAsia="es-MX"/>
        </w:rPr>
        <w:t>4</w:t>
      </w:r>
      <w:r w:rsidR="004D1E32" w:rsidRPr="00AA14FA">
        <w:rPr>
          <w:rFonts w:cs="Arial"/>
          <w:lang w:eastAsia="es-MX"/>
        </w:rPr>
        <w:t xml:space="preserve">%) </w:t>
      </w:r>
      <w:r w:rsidR="00424206" w:rsidRPr="00AA14FA">
        <w:rPr>
          <w:rFonts w:cs="Arial"/>
          <w:lang w:eastAsia="es-MX"/>
        </w:rPr>
        <w:t>Edificio (</w:t>
      </w:r>
      <w:r w:rsidR="00EB7F62" w:rsidRPr="00AA14FA">
        <w:rPr>
          <w:rFonts w:cs="Arial"/>
          <w:lang w:eastAsia="es-MX"/>
        </w:rPr>
        <w:t>1</w:t>
      </w:r>
      <w:r w:rsidR="00EB7F62" w:rsidRPr="008E2266">
        <w:rPr>
          <w:rFonts w:cs="Arial"/>
          <w:lang w:eastAsia="es-MX"/>
        </w:rPr>
        <w:t>0</w:t>
      </w:r>
      <w:r w:rsidR="00424206" w:rsidRPr="00AA14FA">
        <w:rPr>
          <w:rFonts w:cs="Arial"/>
          <w:lang w:eastAsia="es-MX"/>
        </w:rPr>
        <w:t>,</w:t>
      </w:r>
      <w:r w:rsidR="00EB7F62" w:rsidRPr="008E2266">
        <w:rPr>
          <w:rFonts w:cs="Arial"/>
          <w:lang w:eastAsia="es-MX"/>
        </w:rPr>
        <w:t>6</w:t>
      </w:r>
      <w:r w:rsidR="00424206" w:rsidRPr="00AA14FA">
        <w:rPr>
          <w:rFonts w:cs="Arial"/>
          <w:lang w:eastAsia="es-MX"/>
        </w:rPr>
        <w:t xml:space="preserve">%) </w:t>
      </w:r>
      <w:r w:rsidR="005428F5" w:rsidRPr="00AA14FA">
        <w:rPr>
          <w:rFonts w:cs="Arial"/>
          <w:lang w:eastAsia="es-MX"/>
        </w:rPr>
        <w:t xml:space="preserve">Complejo Portuario Moín </w:t>
      </w:r>
      <w:r w:rsidR="004D1E32" w:rsidRPr="00AA14FA">
        <w:rPr>
          <w:rFonts w:cs="Arial"/>
          <w:lang w:eastAsia="es-MX"/>
        </w:rPr>
        <w:t>(</w:t>
      </w:r>
      <w:r w:rsidR="00AA14FA" w:rsidRPr="008E2266">
        <w:rPr>
          <w:rFonts w:cs="Arial"/>
          <w:lang w:eastAsia="es-MX"/>
        </w:rPr>
        <w:t>8</w:t>
      </w:r>
      <w:r w:rsidR="00645554" w:rsidRPr="00AA14FA">
        <w:rPr>
          <w:rFonts w:cs="Arial"/>
          <w:lang w:eastAsia="es-MX"/>
        </w:rPr>
        <w:t>,</w:t>
      </w:r>
      <w:r w:rsidR="00424206" w:rsidRPr="00AA14FA">
        <w:rPr>
          <w:rFonts w:cs="Arial"/>
          <w:lang w:eastAsia="es-MX"/>
        </w:rPr>
        <w:t>1</w:t>
      </w:r>
      <w:r w:rsidR="00645554" w:rsidRPr="00AA14FA">
        <w:rPr>
          <w:rFonts w:cs="Arial"/>
          <w:lang w:eastAsia="es-MX"/>
        </w:rPr>
        <w:t>%)</w:t>
      </w:r>
      <w:r w:rsidR="001629A0">
        <w:rPr>
          <w:rFonts w:cs="Arial"/>
          <w:lang w:eastAsia="es-MX"/>
        </w:rPr>
        <w:t xml:space="preserve">, la variación más importante se observó en la reducción de Activos en Curso por </w:t>
      </w:r>
      <w:r w:rsidR="001629A0" w:rsidRPr="006E6390">
        <w:t>₡</w:t>
      </w:r>
      <w:r w:rsidR="001629A0">
        <w:t>11 116 millones.</w:t>
      </w:r>
      <w:r w:rsidR="00645554" w:rsidRPr="00AA14FA">
        <w:rPr>
          <w:rFonts w:cs="Arial"/>
          <w:lang w:eastAsia="es-MX"/>
        </w:rPr>
        <w:t xml:space="preserve"> </w:t>
      </w:r>
      <w:r w:rsidR="005428F5" w:rsidRPr="00AA14FA">
        <w:rPr>
          <w:rFonts w:cs="Arial"/>
          <w:lang w:eastAsia="es-MX"/>
        </w:rPr>
        <w:t xml:space="preserve"> Se dieron cambios</w:t>
      </w:r>
      <w:r w:rsidR="008E2266">
        <w:rPr>
          <w:rFonts w:cs="Arial"/>
          <w:lang w:eastAsia="es-MX"/>
        </w:rPr>
        <w:t xml:space="preserve"> como resultado</w:t>
      </w:r>
      <w:r w:rsidR="005428F5" w:rsidRPr="00AA14FA">
        <w:rPr>
          <w:rFonts w:cs="Arial"/>
          <w:lang w:eastAsia="es-MX"/>
        </w:rPr>
        <w:t xml:space="preserve"> de</w:t>
      </w:r>
      <w:r w:rsidR="00424206" w:rsidRPr="00AA14FA">
        <w:rPr>
          <w:rFonts w:cs="Arial"/>
          <w:lang w:eastAsia="es-MX"/>
        </w:rPr>
        <w:t>l avaluó de activos que se realizó en el año 2021</w:t>
      </w:r>
      <w:r w:rsidR="005428F5" w:rsidRPr="00AA14FA">
        <w:rPr>
          <w:rFonts w:cs="Arial"/>
          <w:lang w:eastAsia="es-MX"/>
        </w:rPr>
        <w:t>.</w:t>
      </w:r>
    </w:p>
    <w:p w14:paraId="778D1CCC" w14:textId="77777777" w:rsidR="00232643" w:rsidRPr="006E6390" w:rsidRDefault="00232643" w:rsidP="008E2266">
      <w:pPr>
        <w:spacing w:after="0"/>
        <w:rPr>
          <w:rFonts w:cs="Arial"/>
          <w:lang w:eastAsia="es-MX"/>
        </w:rPr>
      </w:pPr>
    </w:p>
    <w:p w14:paraId="16CE0A8D" w14:textId="77777777" w:rsidR="009277B4" w:rsidRPr="006E6390" w:rsidRDefault="009277B4" w:rsidP="004D1E32">
      <w:pPr>
        <w:contextualSpacing/>
        <w:jc w:val="center"/>
        <w:rPr>
          <w:rFonts w:cs="Arial"/>
          <w:b/>
        </w:rPr>
      </w:pPr>
      <w:r w:rsidRPr="006E6390">
        <w:rPr>
          <w:rFonts w:cs="Arial"/>
          <w:b/>
        </w:rPr>
        <w:t>Cuadro N°</w:t>
      </w:r>
      <w:r w:rsidR="007408DF" w:rsidRPr="006E6390">
        <w:rPr>
          <w:rFonts w:cs="Arial"/>
          <w:b/>
        </w:rPr>
        <w:t>2</w:t>
      </w:r>
      <w:r w:rsidR="006B7171" w:rsidRPr="006E6390">
        <w:rPr>
          <w:rFonts w:cs="Arial"/>
          <w:b/>
        </w:rPr>
        <w:t>5</w:t>
      </w:r>
    </w:p>
    <w:p w14:paraId="7977877B" w14:textId="77777777" w:rsidR="009277B4" w:rsidRPr="006E6390" w:rsidRDefault="009277B4" w:rsidP="004D1E32">
      <w:pPr>
        <w:jc w:val="center"/>
        <w:rPr>
          <w:rFonts w:cs="Arial"/>
          <w:b/>
        </w:rPr>
      </w:pPr>
      <w:r w:rsidRPr="006E6390">
        <w:rPr>
          <w:rFonts w:cs="Arial"/>
          <w:b/>
        </w:rPr>
        <w:t xml:space="preserve">Detalle de los Activos Fijos a </w:t>
      </w:r>
      <w:r w:rsidR="001E47F9" w:rsidRPr="006E6390">
        <w:rPr>
          <w:rFonts w:cs="Arial"/>
          <w:b/>
        </w:rPr>
        <w:t>diciembre 201</w:t>
      </w:r>
      <w:r w:rsidR="009678E3">
        <w:rPr>
          <w:rFonts w:cs="Arial"/>
          <w:b/>
        </w:rPr>
        <w:t>9</w:t>
      </w:r>
      <w:r w:rsidRPr="006E6390">
        <w:rPr>
          <w:rFonts w:cs="Arial"/>
          <w:b/>
        </w:rPr>
        <w:t>-</w:t>
      </w:r>
      <w:r w:rsidR="001E47F9" w:rsidRPr="006E6390">
        <w:rPr>
          <w:rFonts w:cs="Arial"/>
          <w:b/>
        </w:rPr>
        <w:t>202</w:t>
      </w:r>
      <w:r w:rsidR="009678E3">
        <w:rPr>
          <w:rFonts w:cs="Arial"/>
          <w:b/>
        </w:rPr>
        <w:t>1</w:t>
      </w:r>
      <w:r w:rsidR="001E47F9" w:rsidRPr="006E6390">
        <w:rPr>
          <w:rFonts w:cs="Arial"/>
          <w:b/>
        </w:rPr>
        <w:t xml:space="preserve"> </w:t>
      </w:r>
      <w:r w:rsidRPr="006E6390">
        <w:rPr>
          <w:rFonts w:cs="Arial"/>
          <w:b/>
        </w:rPr>
        <w:t>(Valor de Activos en libros)</w:t>
      </w:r>
    </w:p>
    <w:tbl>
      <w:tblPr>
        <w:tblStyle w:val="Tablanormal1"/>
        <w:tblW w:w="8500" w:type="dxa"/>
        <w:jc w:val="center"/>
        <w:tblLayout w:type="fixed"/>
        <w:tblLook w:val="04A0" w:firstRow="1" w:lastRow="0" w:firstColumn="1" w:lastColumn="0" w:noHBand="0" w:noVBand="1"/>
      </w:tblPr>
      <w:tblGrid>
        <w:gridCol w:w="4248"/>
        <w:gridCol w:w="1417"/>
        <w:gridCol w:w="1417"/>
        <w:gridCol w:w="1418"/>
      </w:tblGrid>
      <w:tr w:rsidR="00E54AE3" w:rsidRPr="006E6390" w14:paraId="7B26C1ED" w14:textId="77777777" w:rsidTr="1615526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99565BA" w14:textId="70D445A4" w:rsidR="00E54AE3" w:rsidRPr="006E6390" w:rsidRDefault="00E54AE3" w:rsidP="00E54AE3">
            <w:pPr>
              <w:spacing w:after="0" w:line="240" w:lineRule="auto"/>
              <w:jc w:val="left"/>
              <w:rPr>
                <w:rFonts w:cs="Arial"/>
                <w:b w:val="0"/>
                <w:bCs w:val="0"/>
                <w:lang w:val="es-ES" w:eastAsia="es-ES"/>
              </w:rPr>
            </w:pPr>
          </w:p>
        </w:tc>
        <w:tc>
          <w:tcPr>
            <w:tcW w:w="1417" w:type="dxa"/>
            <w:noWrap/>
            <w:hideMark/>
          </w:tcPr>
          <w:p w14:paraId="736C8E13" w14:textId="1A80A622" w:rsidR="00E54AE3" w:rsidRPr="00D606C1" w:rsidRDefault="00E54AE3" w:rsidP="00E54A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D606C1">
              <w:rPr>
                <w:rFonts w:cs="Arial"/>
                <w:lang w:val="es-ES" w:eastAsia="es-ES"/>
              </w:rPr>
              <w:t>2020</w:t>
            </w:r>
          </w:p>
        </w:tc>
        <w:tc>
          <w:tcPr>
            <w:tcW w:w="1417" w:type="dxa"/>
            <w:noWrap/>
            <w:hideMark/>
          </w:tcPr>
          <w:p w14:paraId="26935256" w14:textId="54721C13" w:rsidR="00E54AE3" w:rsidRPr="00D606C1" w:rsidRDefault="00E54AE3" w:rsidP="00E54A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D606C1">
              <w:rPr>
                <w:rFonts w:cs="Arial"/>
                <w:lang w:val="es-ES" w:eastAsia="es-ES"/>
              </w:rPr>
              <w:t>2021</w:t>
            </w:r>
          </w:p>
        </w:tc>
        <w:tc>
          <w:tcPr>
            <w:tcW w:w="1418" w:type="dxa"/>
            <w:noWrap/>
            <w:hideMark/>
          </w:tcPr>
          <w:p w14:paraId="7CCA6237" w14:textId="38ABE7CF" w:rsidR="00E54AE3" w:rsidRPr="00D606C1" w:rsidRDefault="00E54AE3" w:rsidP="00E54A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lang w:val="es-ES" w:eastAsia="es-ES"/>
              </w:rPr>
            </w:pPr>
            <w:r w:rsidRPr="00D606C1">
              <w:rPr>
                <w:rFonts w:cs="Arial"/>
                <w:lang w:val="es-ES" w:eastAsia="es-ES"/>
              </w:rPr>
              <w:t>202</w:t>
            </w:r>
            <w:r w:rsidR="004E2591" w:rsidRPr="00D606C1">
              <w:rPr>
                <w:rFonts w:cs="Arial"/>
                <w:lang w:val="es-ES" w:eastAsia="es-ES"/>
              </w:rPr>
              <w:t>2</w:t>
            </w:r>
          </w:p>
        </w:tc>
      </w:tr>
      <w:tr w:rsidR="004F31AC" w:rsidRPr="006E6390" w14:paraId="57F6BBFD"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8EA9B4F"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Terrenos</w:t>
            </w:r>
          </w:p>
        </w:tc>
        <w:tc>
          <w:tcPr>
            <w:tcW w:w="1417" w:type="dxa"/>
            <w:noWrap/>
            <w:vAlign w:val="center"/>
            <w:hideMark/>
          </w:tcPr>
          <w:p w14:paraId="7B54E310" w14:textId="3D42C2D3"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90 355</w:t>
            </w:r>
          </w:p>
        </w:tc>
        <w:tc>
          <w:tcPr>
            <w:tcW w:w="1417" w:type="dxa"/>
            <w:noWrap/>
            <w:vAlign w:val="center"/>
          </w:tcPr>
          <w:p w14:paraId="0297D3F4" w14:textId="4538EDD9"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100 249</w:t>
            </w:r>
          </w:p>
        </w:tc>
        <w:tc>
          <w:tcPr>
            <w:tcW w:w="1418" w:type="dxa"/>
            <w:noWrap/>
            <w:vAlign w:val="center"/>
          </w:tcPr>
          <w:p w14:paraId="15AAE3ED" w14:textId="34096577"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E2266">
              <w:rPr>
                <w:rFonts w:cs="Arial"/>
              </w:rPr>
              <w:t>100 247</w:t>
            </w:r>
          </w:p>
        </w:tc>
      </w:tr>
      <w:tr w:rsidR="004F31AC" w:rsidRPr="006E6390" w14:paraId="023C95A2" w14:textId="77777777" w:rsidTr="16155265">
        <w:trPr>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F96AEEE"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Complejo portuario Moín</w:t>
            </w:r>
          </w:p>
        </w:tc>
        <w:tc>
          <w:tcPr>
            <w:tcW w:w="1417" w:type="dxa"/>
            <w:noWrap/>
            <w:vAlign w:val="center"/>
            <w:hideMark/>
          </w:tcPr>
          <w:p w14:paraId="42C1A805" w14:textId="67865295"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74 615</w:t>
            </w:r>
          </w:p>
        </w:tc>
        <w:tc>
          <w:tcPr>
            <w:tcW w:w="1417" w:type="dxa"/>
            <w:noWrap/>
            <w:vAlign w:val="center"/>
          </w:tcPr>
          <w:p w14:paraId="1A578D34" w14:textId="271AFB7E"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70 934</w:t>
            </w:r>
          </w:p>
        </w:tc>
        <w:tc>
          <w:tcPr>
            <w:tcW w:w="1418" w:type="dxa"/>
            <w:noWrap/>
            <w:vAlign w:val="center"/>
          </w:tcPr>
          <w:p w14:paraId="2BD0BF03" w14:textId="512ED0B0"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E2266">
              <w:rPr>
                <w:rFonts w:cs="Arial"/>
              </w:rPr>
              <w:t>70 935</w:t>
            </w:r>
          </w:p>
        </w:tc>
      </w:tr>
      <w:tr w:rsidR="004F31AC" w:rsidRPr="006E6390" w14:paraId="7CBCDCAF"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9451C86"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Instalaciones</w:t>
            </w:r>
          </w:p>
        </w:tc>
        <w:tc>
          <w:tcPr>
            <w:tcW w:w="1417" w:type="dxa"/>
            <w:noWrap/>
            <w:vAlign w:val="center"/>
            <w:hideMark/>
          </w:tcPr>
          <w:p w14:paraId="1B643520" w14:textId="0C08C775"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436 585</w:t>
            </w:r>
          </w:p>
        </w:tc>
        <w:tc>
          <w:tcPr>
            <w:tcW w:w="1417" w:type="dxa"/>
            <w:noWrap/>
            <w:vAlign w:val="center"/>
          </w:tcPr>
          <w:p w14:paraId="6E56BB14" w14:textId="47D88CF9"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448 454</w:t>
            </w:r>
          </w:p>
        </w:tc>
        <w:tc>
          <w:tcPr>
            <w:tcW w:w="1418" w:type="dxa"/>
            <w:noWrap/>
            <w:vAlign w:val="center"/>
          </w:tcPr>
          <w:p w14:paraId="1053DFC9" w14:textId="59A51282"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E2266">
              <w:rPr>
                <w:rFonts w:cs="Arial"/>
              </w:rPr>
              <w:t>461 696</w:t>
            </w:r>
          </w:p>
        </w:tc>
      </w:tr>
      <w:tr w:rsidR="004F31AC" w:rsidRPr="006E6390" w14:paraId="7B81010A" w14:textId="77777777" w:rsidTr="16155265">
        <w:trPr>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46B2E64"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Edificio</w:t>
            </w:r>
          </w:p>
        </w:tc>
        <w:tc>
          <w:tcPr>
            <w:tcW w:w="1417" w:type="dxa"/>
            <w:noWrap/>
            <w:vAlign w:val="center"/>
            <w:hideMark/>
          </w:tcPr>
          <w:p w14:paraId="4EDFA63E" w14:textId="2CC3EE34"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73 594</w:t>
            </w:r>
          </w:p>
        </w:tc>
        <w:tc>
          <w:tcPr>
            <w:tcW w:w="1417" w:type="dxa"/>
            <w:noWrap/>
            <w:vAlign w:val="center"/>
          </w:tcPr>
          <w:p w14:paraId="74F9725C" w14:textId="739606B9"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90 652</w:t>
            </w:r>
          </w:p>
        </w:tc>
        <w:tc>
          <w:tcPr>
            <w:tcW w:w="1418" w:type="dxa"/>
            <w:noWrap/>
            <w:vAlign w:val="center"/>
          </w:tcPr>
          <w:p w14:paraId="20A52B76" w14:textId="5D8CCC22"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E2266">
              <w:rPr>
                <w:rFonts w:cs="Arial"/>
              </w:rPr>
              <w:t>93 133</w:t>
            </w:r>
          </w:p>
        </w:tc>
      </w:tr>
      <w:tr w:rsidR="004F31AC" w:rsidRPr="006E6390" w14:paraId="17966842"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F11DF29"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Maquinaria y equipo pesado</w:t>
            </w:r>
          </w:p>
        </w:tc>
        <w:tc>
          <w:tcPr>
            <w:tcW w:w="1417" w:type="dxa"/>
            <w:noWrap/>
            <w:vAlign w:val="center"/>
            <w:hideMark/>
          </w:tcPr>
          <w:p w14:paraId="0BAAEB8F" w14:textId="7D8027F6"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42 302</w:t>
            </w:r>
          </w:p>
        </w:tc>
        <w:tc>
          <w:tcPr>
            <w:tcW w:w="1417" w:type="dxa"/>
            <w:noWrap/>
            <w:vAlign w:val="center"/>
          </w:tcPr>
          <w:p w14:paraId="371B8140" w14:textId="388A12FC"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41 015</w:t>
            </w:r>
          </w:p>
        </w:tc>
        <w:tc>
          <w:tcPr>
            <w:tcW w:w="1418" w:type="dxa"/>
            <w:noWrap/>
            <w:vAlign w:val="center"/>
          </w:tcPr>
          <w:p w14:paraId="353A45D9" w14:textId="240728E3"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E2266">
              <w:rPr>
                <w:rFonts w:cs="Arial"/>
              </w:rPr>
              <w:t>42 550</w:t>
            </w:r>
          </w:p>
        </w:tc>
      </w:tr>
      <w:tr w:rsidR="004F31AC" w:rsidRPr="006E6390" w14:paraId="432A8E8B" w14:textId="77777777" w:rsidTr="16155265">
        <w:trPr>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02A57F7"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Mobiliario y equipo</w:t>
            </w:r>
          </w:p>
        </w:tc>
        <w:tc>
          <w:tcPr>
            <w:tcW w:w="1417" w:type="dxa"/>
            <w:noWrap/>
            <w:vAlign w:val="center"/>
            <w:hideMark/>
          </w:tcPr>
          <w:p w14:paraId="737D43BE" w14:textId="41B8500D"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42 418</w:t>
            </w:r>
          </w:p>
        </w:tc>
        <w:tc>
          <w:tcPr>
            <w:tcW w:w="1417" w:type="dxa"/>
            <w:noWrap/>
            <w:vAlign w:val="center"/>
          </w:tcPr>
          <w:p w14:paraId="279CC5E4" w14:textId="56E3D66B"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45 050</w:t>
            </w:r>
          </w:p>
        </w:tc>
        <w:tc>
          <w:tcPr>
            <w:tcW w:w="1418" w:type="dxa"/>
            <w:noWrap/>
            <w:vAlign w:val="center"/>
          </w:tcPr>
          <w:p w14:paraId="4460730D" w14:textId="7DA59C96"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E2266">
              <w:rPr>
                <w:rFonts w:cs="Arial"/>
              </w:rPr>
              <w:t>47 708</w:t>
            </w:r>
          </w:p>
        </w:tc>
      </w:tr>
      <w:tr w:rsidR="004F31AC" w:rsidRPr="006E6390" w14:paraId="3940CE96"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2AB35A6"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Vehículos</w:t>
            </w:r>
          </w:p>
        </w:tc>
        <w:tc>
          <w:tcPr>
            <w:tcW w:w="1417" w:type="dxa"/>
            <w:noWrap/>
            <w:vAlign w:val="center"/>
            <w:hideMark/>
          </w:tcPr>
          <w:p w14:paraId="0D360244" w14:textId="55751EE7"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15 729</w:t>
            </w:r>
          </w:p>
        </w:tc>
        <w:tc>
          <w:tcPr>
            <w:tcW w:w="1417" w:type="dxa"/>
            <w:noWrap/>
            <w:vAlign w:val="center"/>
          </w:tcPr>
          <w:p w14:paraId="6C019FD3" w14:textId="092F59DD"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8E2266">
              <w:rPr>
                <w:rFonts w:cs="Arial"/>
              </w:rPr>
              <w:t>15 729</w:t>
            </w:r>
          </w:p>
        </w:tc>
        <w:tc>
          <w:tcPr>
            <w:tcW w:w="1418" w:type="dxa"/>
            <w:noWrap/>
            <w:vAlign w:val="center"/>
          </w:tcPr>
          <w:p w14:paraId="155D598A" w14:textId="789733DF"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E2266">
              <w:rPr>
                <w:rFonts w:cs="Arial"/>
              </w:rPr>
              <w:t>16 144</w:t>
            </w:r>
          </w:p>
        </w:tc>
      </w:tr>
      <w:tr w:rsidR="004F31AC" w:rsidRPr="006E6390" w14:paraId="1E3B3591" w14:textId="77777777" w:rsidTr="16155265">
        <w:trPr>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64226F7"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Activos en curso</w:t>
            </w:r>
          </w:p>
        </w:tc>
        <w:tc>
          <w:tcPr>
            <w:tcW w:w="1417" w:type="dxa"/>
            <w:noWrap/>
            <w:vAlign w:val="center"/>
            <w:hideMark/>
          </w:tcPr>
          <w:p w14:paraId="32DD765F" w14:textId="5BADE1E1"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52 597</w:t>
            </w:r>
          </w:p>
        </w:tc>
        <w:tc>
          <w:tcPr>
            <w:tcW w:w="1417" w:type="dxa"/>
            <w:noWrap/>
            <w:vAlign w:val="center"/>
          </w:tcPr>
          <w:p w14:paraId="7512ED88" w14:textId="38BF55EC"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54 991</w:t>
            </w:r>
          </w:p>
        </w:tc>
        <w:tc>
          <w:tcPr>
            <w:tcW w:w="1418" w:type="dxa"/>
            <w:noWrap/>
            <w:vAlign w:val="center"/>
          </w:tcPr>
          <w:p w14:paraId="722F5E22" w14:textId="1F5008C4"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E2266">
              <w:rPr>
                <w:rFonts w:cs="Arial"/>
              </w:rPr>
              <w:t>43 875</w:t>
            </w:r>
          </w:p>
        </w:tc>
      </w:tr>
      <w:tr w:rsidR="004F31AC" w:rsidRPr="006E6390" w14:paraId="055AA111"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082AEDA" w14:textId="77777777" w:rsidR="004F31AC" w:rsidRPr="008E2266" w:rsidRDefault="004F31AC" w:rsidP="004F31AC">
            <w:pPr>
              <w:spacing w:after="0" w:line="240" w:lineRule="auto"/>
              <w:jc w:val="left"/>
              <w:rPr>
                <w:rFonts w:cs="Arial"/>
                <w:b w:val="0"/>
                <w:bCs w:val="0"/>
                <w:sz w:val="20"/>
                <w:szCs w:val="20"/>
                <w:lang w:val="es-ES" w:eastAsia="es-ES"/>
              </w:rPr>
            </w:pPr>
            <w:r w:rsidRPr="008E2266">
              <w:rPr>
                <w:rFonts w:cs="Arial"/>
                <w:sz w:val="20"/>
                <w:szCs w:val="20"/>
                <w:lang w:val="es-ES" w:eastAsia="es-ES"/>
              </w:rPr>
              <w:t xml:space="preserve">Total </w:t>
            </w:r>
          </w:p>
        </w:tc>
        <w:tc>
          <w:tcPr>
            <w:tcW w:w="1417" w:type="dxa"/>
            <w:noWrap/>
            <w:vAlign w:val="center"/>
            <w:hideMark/>
          </w:tcPr>
          <w:p w14:paraId="107ABD5C" w14:textId="5C6D0C5C"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8E2266">
              <w:rPr>
                <w:rFonts w:cs="Arial"/>
                <w:b/>
                <w:bCs/>
              </w:rPr>
              <w:t>828 195</w:t>
            </w:r>
          </w:p>
        </w:tc>
        <w:tc>
          <w:tcPr>
            <w:tcW w:w="1417" w:type="dxa"/>
            <w:noWrap/>
            <w:vAlign w:val="center"/>
          </w:tcPr>
          <w:p w14:paraId="4FBF35EE" w14:textId="5E80185C"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lang w:val="es-ES" w:eastAsia="es-ES"/>
              </w:rPr>
            </w:pPr>
            <w:r w:rsidRPr="008E2266">
              <w:rPr>
                <w:rFonts w:cs="Arial"/>
                <w:b/>
                <w:bCs/>
              </w:rPr>
              <w:t>867 074</w:t>
            </w:r>
          </w:p>
        </w:tc>
        <w:tc>
          <w:tcPr>
            <w:tcW w:w="1418" w:type="dxa"/>
            <w:noWrap/>
            <w:vAlign w:val="center"/>
          </w:tcPr>
          <w:p w14:paraId="7584DE8C" w14:textId="733373AF"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E2266">
              <w:rPr>
                <w:rFonts w:cs="Arial"/>
                <w:b/>
                <w:bCs/>
              </w:rPr>
              <w:t>876 287</w:t>
            </w:r>
          </w:p>
        </w:tc>
      </w:tr>
      <w:tr w:rsidR="004F31AC" w:rsidRPr="006E6390" w14:paraId="71C93423" w14:textId="77777777" w:rsidTr="16155265">
        <w:trPr>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0E1B490" w14:textId="77777777" w:rsidR="004F31AC" w:rsidRPr="008E2266" w:rsidRDefault="004F31AC" w:rsidP="004F31AC">
            <w:pPr>
              <w:spacing w:after="0" w:line="240" w:lineRule="auto"/>
              <w:jc w:val="left"/>
              <w:rPr>
                <w:rFonts w:cs="Arial"/>
                <w:sz w:val="20"/>
                <w:szCs w:val="20"/>
                <w:lang w:val="es-ES" w:eastAsia="es-ES"/>
              </w:rPr>
            </w:pPr>
            <w:r w:rsidRPr="008E2266">
              <w:rPr>
                <w:rFonts w:cs="Arial"/>
                <w:sz w:val="20"/>
                <w:szCs w:val="20"/>
                <w:lang w:val="es-ES" w:eastAsia="es-ES"/>
              </w:rPr>
              <w:t>Depreciación acumulada</w:t>
            </w:r>
          </w:p>
        </w:tc>
        <w:tc>
          <w:tcPr>
            <w:tcW w:w="1417" w:type="dxa"/>
            <w:noWrap/>
            <w:vAlign w:val="center"/>
            <w:hideMark/>
          </w:tcPr>
          <w:p w14:paraId="6DD8B24E" w14:textId="17EA00DB"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-197 689</w:t>
            </w:r>
          </w:p>
        </w:tc>
        <w:tc>
          <w:tcPr>
            <w:tcW w:w="1417" w:type="dxa"/>
            <w:noWrap/>
            <w:vAlign w:val="center"/>
          </w:tcPr>
          <w:p w14:paraId="2D3D4ACE" w14:textId="072F83D7"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s-ES" w:eastAsia="es-ES"/>
              </w:rPr>
            </w:pPr>
            <w:r w:rsidRPr="008E2266">
              <w:rPr>
                <w:rFonts w:cs="Arial"/>
              </w:rPr>
              <w:t>-226 058</w:t>
            </w:r>
          </w:p>
        </w:tc>
        <w:tc>
          <w:tcPr>
            <w:tcW w:w="1418" w:type="dxa"/>
            <w:noWrap/>
            <w:vAlign w:val="center"/>
          </w:tcPr>
          <w:p w14:paraId="236B9894" w14:textId="44E17E03" w:rsidR="004F31AC" w:rsidRPr="008E2266" w:rsidRDefault="004F31AC" w:rsidP="004F31A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E2266">
              <w:rPr>
                <w:rFonts w:cs="Arial"/>
              </w:rPr>
              <w:t>-253 781</w:t>
            </w:r>
          </w:p>
        </w:tc>
      </w:tr>
      <w:tr w:rsidR="004F31AC" w:rsidRPr="006E6390" w14:paraId="4163EDBA" w14:textId="77777777" w:rsidTr="161552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EE222C4" w14:textId="77777777" w:rsidR="004F31AC" w:rsidRPr="008E2266" w:rsidRDefault="004F31AC" w:rsidP="004F31AC">
            <w:pPr>
              <w:spacing w:after="0" w:line="240" w:lineRule="auto"/>
              <w:jc w:val="left"/>
              <w:rPr>
                <w:rFonts w:cs="Arial"/>
                <w:b w:val="0"/>
                <w:bCs w:val="0"/>
                <w:sz w:val="20"/>
                <w:szCs w:val="20"/>
                <w:lang w:val="es-ES" w:eastAsia="es-ES"/>
              </w:rPr>
            </w:pPr>
            <w:r w:rsidRPr="008E2266">
              <w:rPr>
                <w:rFonts w:cs="Arial"/>
                <w:sz w:val="20"/>
                <w:szCs w:val="20"/>
                <w:lang w:val="es-ES" w:eastAsia="es-ES"/>
              </w:rPr>
              <w:t>Total neto propiedad, planta y equipo</w:t>
            </w:r>
          </w:p>
        </w:tc>
        <w:tc>
          <w:tcPr>
            <w:tcW w:w="1417" w:type="dxa"/>
            <w:noWrap/>
            <w:vAlign w:val="center"/>
            <w:hideMark/>
          </w:tcPr>
          <w:p w14:paraId="3F3E4BAD" w14:textId="18C68BE9"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E2266">
              <w:rPr>
                <w:rFonts w:cs="Arial"/>
                <w:b/>
                <w:bCs/>
              </w:rPr>
              <w:t>630 506</w:t>
            </w:r>
          </w:p>
        </w:tc>
        <w:tc>
          <w:tcPr>
            <w:tcW w:w="1417" w:type="dxa"/>
            <w:noWrap/>
            <w:vAlign w:val="center"/>
          </w:tcPr>
          <w:p w14:paraId="5852F001" w14:textId="2F56B1D6"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E2266">
              <w:rPr>
                <w:rFonts w:cs="Arial"/>
                <w:b/>
                <w:bCs/>
              </w:rPr>
              <w:t>641 615</w:t>
            </w:r>
          </w:p>
        </w:tc>
        <w:tc>
          <w:tcPr>
            <w:tcW w:w="1418" w:type="dxa"/>
            <w:noWrap/>
            <w:vAlign w:val="center"/>
          </w:tcPr>
          <w:p w14:paraId="035DD292" w14:textId="659819F4" w:rsidR="004F31AC" w:rsidRPr="008E2266" w:rsidRDefault="004F31AC" w:rsidP="004F31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8E2266">
              <w:rPr>
                <w:rFonts w:cs="Arial"/>
                <w:b/>
                <w:bCs/>
              </w:rPr>
              <w:t>622 507</w:t>
            </w:r>
          </w:p>
        </w:tc>
      </w:tr>
    </w:tbl>
    <w:p w14:paraId="4175AE02" w14:textId="41F4FBAF" w:rsidR="16155265" w:rsidRDefault="16155265"/>
    <w:p w14:paraId="31A3D0DF" w14:textId="1731B38C" w:rsidR="009277B4" w:rsidRPr="006E6390" w:rsidRDefault="009277B4" w:rsidP="009277B4">
      <w:pPr>
        <w:pStyle w:val="piedepgina0"/>
        <w:tabs>
          <w:tab w:val="left" w:pos="9270"/>
        </w:tabs>
        <w:ind w:left="720"/>
        <w:rPr>
          <w:rFonts w:cs="Arial"/>
          <w:sz w:val="20"/>
        </w:rPr>
      </w:pPr>
      <w:r w:rsidRPr="006E6390">
        <w:rPr>
          <w:rFonts w:cs="Arial"/>
          <w:sz w:val="20"/>
        </w:rPr>
        <w:t xml:space="preserve">Fuente: Estados Financieros Auditados al 31 de </w:t>
      </w:r>
      <w:r w:rsidR="00B115E4" w:rsidRPr="006E6390">
        <w:rPr>
          <w:rFonts w:cs="Arial"/>
          <w:sz w:val="20"/>
        </w:rPr>
        <w:t xml:space="preserve">diciembre </w:t>
      </w:r>
      <w:r w:rsidRPr="006E6390">
        <w:rPr>
          <w:rFonts w:cs="Arial"/>
          <w:sz w:val="20"/>
        </w:rPr>
        <w:t xml:space="preserve">de </w:t>
      </w:r>
      <w:r w:rsidR="00E54AE3" w:rsidRPr="006E6390">
        <w:rPr>
          <w:rFonts w:cs="Arial"/>
          <w:sz w:val="20"/>
        </w:rPr>
        <w:t>20</w:t>
      </w:r>
      <w:r w:rsidR="00E54AE3">
        <w:rPr>
          <w:rFonts w:cs="Arial"/>
          <w:sz w:val="20"/>
        </w:rPr>
        <w:t>20</w:t>
      </w:r>
      <w:r w:rsidRPr="006E6390">
        <w:rPr>
          <w:rFonts w:cs="Arial"/>
          <w:sz w:val="20"/>
        </w:rPr>
        <w:t xml:space="preserve">, </w:t>
      </w:r>
      <w:r w:rsidR="00E54AE3" w:rsidRPr="006E6390">
        <w:rPr>
          <w:rFonts w:cs="Arial"/>
          <w:sz w:val="20"/>
        </w:rPr>
        <w:t>202</w:t>
      </w:r>
      <w:r w:rsidR="00E54AE3">
        <w:rPr>
          <w:rFonts w:cs="Arial"/>
          <w:sz w:val="20"/>
        </w:rPr>
        <w:t>1</w:t>
      </w:r>
      <w:r w:rsidR="00E54AE3" w:rsidRPr="006E6390">
        <w:rPr>
          <w:rFonts w:cs="Arial"/>
          <w:sz w:val="20"/>
        </w:rPr>
        <w:t xml:space="preserve"> </w:t>
      </w:r>
      <w:r w:rsidRPr="006E6390">
        <w:rPr>
          <w:rFonts w:cs="Arial"/>
          <w:sz w:val="20"/>
        </w:rPr>
        <w:t xml:space="preserve">y de </w:t>
      </w:r>
      <w:r w:rsidR="00E54AE3" w:rsidRPr="006E6390">
        <w:rPr>
          <w:rFonts w:cs="Arial"/>
          <w:sz w:val="20"/>
        </w:rPr>
        <w:t>202</w:t>
      </w:r>
      <w:r w:rsidR="00E54AE3">
        <w:rPr>
          <w:rFonts w:cs="Arial"/>
          <w:sz w:val="20"/>
        </w:rPr>
        <w:t>2</w:t>
      </w:r>
      <w:r w:rsidRPr="006E6390">
        <w:rPr>
          <w:rFonts w:cs="Arial"/>
          <w:sz w:val="20"/>
        </w:rPr>
        <w:t>.</w:t>
      </w:r>
    </w:p>
    <w:p w14:paraId="7490BC7F" w14:textId="0FF06A3B" w:rsidR="0059325C" w:rsidRDefault="009277B4" w:rsidP="008E2266">
      <w:pPr>
        <w:spacing w:after="0"/>
        <w:rPr>
          <w:rFonts w:cs="Arial"/>
          <w:shd w:val="clear" w:color="auto" w:fill="FFFFFF"/>
        </w:rPr>
      </w:pPr>
      <w:r w:rsidRPr="006E6390">
        <w:rPr>
          <w:rFonts w:cs="Arial"/>
          <w:lang w:eastAsia="es-MX"/>
        </w:rPr>
        <w:t xml:space="preserve">RECOPE cuenta con </w:t>
      </w:r>
      <w:r w:rsidR="0059325C">
        <w:rPr>
          <w:rFonts w:cs="Arial"/>
          <w:lang w:eastAsia="es-MX"/>
        </w:rPr>
        <w:t xml:space="preserve">diferentes </w:t>
      </w:r>
      <w:r w:rsidRPr="006E6390">
        <w:rPr>
          <w:rFonts w:cs="Arial"/>
          <w:lang w:eastAsia="es-MX"/>
        </w:rPr>
        <w:t>pólizas de seguro</w:t>
      </w:r>
      <w:r w:rsidR="0059325C">
        <w:rPr>
          <w:rFonts w:cs="Arial"/>
          <w:lang w:eastAsia="es-MX"/>
        </w:rPr>
        <w:t xml:space="preserve">s. </w:t>
      </w:r>
      <w:r w:rsidR="00D64C44">
        <w:rPr>
          <w:rFonts w:cs="Arial"/>
          <w:lang w:eastAsia="es-MX"/>
        </w:rPr>
        <w:t xml:space="preserve"> </w:t>
      </w:r>
      <w:r w:rsidR="0059325C" w:rsidRPr="006E6390">
        <w:rPr>
          <w:rFonts w:cs="Arial"/>
        </w:rPr>
        <w:t>En la</w:t>
      </w:r>
      <w:r w:rsidR="0073050D">
        <w:rPr>
          <w:rFonts w:cs="Arial"/>
        </w:rPr>
        <w:t>s</w:t>
      </w:r>
      <w:r w:rsidR="0059325C" w:rsidRPr="006E6390">
        <w:rPr>
          <w:rFonts w:cs="Arial"/>
        </w:rPr>
        <w:t xml:space="preserve"> </w:t>
      </w:r>
      <w:r w:rsidR="0073050D">
        <w:rPr>
          <w:rFonts w:cs="Arial"/>
        </w:rPr>
        <w:t>recientes</w:t>
      </w:r>
      <w:r w:rsidR="0059325C" w:rsidRPr="006E6390">
        <w:rPr>
          <w:rFonts w:cs="Arial"/>
        </w:rPr>
        <w:t xml:space="preserve"> </w:t>
      </w:r>
      <w:r w:rsidR="0073050D" w:rsidRPr="006E6390">
        <w:rPr>
          <w:rFonts w:cs="Arial"/>
        </w:rPr>
        <w:t>renovaci</w:t>
      </w:r>
      <w:r w:rsidR="0073050D">
        <w:rPr>
          <w:rFonts w:cs="Arial"/>
        </w:rPr>
        <w:t>ones</w:t>
      </w:r>
      <w:r w:rsidR="0073050D" w:rsidRPr="006E6390">
        <w:rPr>
          <w:rFonts w:cs="Arial"/>
        </w:rPr>
        <w:t xml:space="preserve"> </w:t>
      </w:r>
      <w:r w:rsidR="0059325C" w:rsidRPr="006E6390">
        <w:rPr>
          <w:rFonts w:cs="Arial"/>
        </w:rPr>
        <w:t>de las pólizas se observ</w:t>
      </w:r>
      <w:r w:rsidR="00D64C44">
        <w:rPr>
          <w:rFonts w:cs="Arial"/>
        </w:rPr>
        <w:t>ó</w:t>
      </w:r>
      <w:r w:rsidR="0059325C" w:rsidRPr="006E6390">
        <w:rPr>
          <w:rFonts w:cs="Arial"/>
        </w:rPr>
        <w:t xml:space="preserve"> una reducción en la póliza de Riesgos del Trabajo</w:t>
      </w:r>
      <w:r w:rsidR="0073050D">
        <w:rPr>
          <w:rFonts w:cs="Arial"/>
        </w:rPr>
        <w:t>.</w:t>
      </w:r>
      <w:r w:rsidR="0073050D" w:rsidRPr="006E6390">
        <w:rPr>
          <w:rFonts w:cs="Arial"/>
        </w:rPr>
        <w:t xml:space="preserve"> </w:t>
      </w:r>
      <w:r w:rsidR="0073050D">
        <w:rPr>
          <w:rFonts w:cs="Arial"/>
        </w:rPr>
        <w:t xml:space="preserve"> </w:t>
      </w:r>
      <w:r w:rsidR="0059325C" w:rsidRPr="006E6390">
        <w:rPr>
          <w:rFonts w:cs="Arial"/>
          <w:shd w:val="clear" w:color="auto" w:fill="FFFFFF"/>
        </w:rPr>
        <w:t xml:space="preserve">A partir del año 2021, la contratación de coberturas de seguros se realiza por </w:t>
      </w:r>
      <w:r w:rsidR="0059325C" w:rsidRPr="00106049">
        <w:rPr>
          <w:rFonts w:cs="Arial"/>
          <w:shd w:val="clear" w:color="auto" w:fill="FFFFFF"/>
        </w:rPr>
        <w:t xml:space="preserve">medio de la Licitación Pública 2019LN-000005-0016700102, </w:t>
      </w:r>
      <w:r w:rsidR="00D6253C">
        <w:rPr>
          <w:rFonts w:cs="Arial"/>
          <w:shd w:val="clear" w:color="auto" w:fill="FFFFFF"/>
        </w:rPr>
        <w:t>actualmente se encuentra en la última prórroga anual.</w:t>
      </w:r>
    </w:p>
    <w:p w14:paraId="3A489A04" w14:textId="690AF322" w:rsidR="00F65FAB" w:rsidRPr="005C4960" w:rsidRDefault="00F65FAB" w:rsidP="004822A3">
      <w:pPr>
        <w:spacing w:after="0"/>
        <w:rPr>
          <w:rFonts w:cs="Arial"/>
        </w:rPr>
      </w:pPr>
    </w:p>
    <w:p w14:paraId="167FEB5F" w14:textId="197415F9" w:rsidR="005C4960" w:rsidRPr="008E2266" w:rsidRDefault="005C4960" w:rsidP="008E2266">
      <w:pPr>
        <w:shd w:val="clear" w:color="auto" w:fill="FFFFFF"/>
        <w:spacing w:after="0"/>
        <w:rPr>
          <w:rFonts w:cs="Arial"/>
          <w:color w:val="222222"/>
        </w:rPr>
      </w:pPr>
      <w:r w:rsidRPr="008E2266">
        <w:rPr>
          <w:rFonts w:cs="Arial"/>
          <w:color w:val="222222"/>
        </w:rPr>
        <w:t xml:space="preserve">La razón por la que se presentan algunas variaciones en las </w:t>
      </w:r>
      <w:r w:rsidR="00DF201A" w:rsidRPr="008E2266">
        <w:rPr>
          <w:rFonts w:cs="Arial"/>
          <w:color w:val="222222"/>
        </w:rPr>
        <w:t>primas</w:t>
      </w:r>
      <w:r w:rsidRPr="008E2266">
        <w:rPr>
          <w:rFonts w:cs="Arial"/>
          <w:color w:val="222222"/>
        </w:rPr>
        <w:t xml:space="preserve"> obedece a que se aplicó la cláusula “Revisión de condiciones”</w:t>
      </w:r>
      <w:r>
        <w:rPr>
          <w:rFonts w:cs="Arial"/>
          <w:color w:val="222222"/>
        </w:rPr>
        <w:t xml:space="preserve">.  </w:t>
      </w:r>
      <w:r w:rsidRPr="008E2266">
        <w:rPr>
          <w:rFonts w:cs="Arial"/>
          <w:color w:val="222222"/>
        </w:rPr>
        <w:t>El incremento en la póliza de Carga de productos derivados del petróleo, se debe a los contratos de fletamento de gasolinas y diésel suscritos a finales del año anterior, lo que produjo un aumento en el monto asegurado del contrato; en las pólizas de responsabilidad civil, el aumento obedece a la siniestralidad de los contratos por los robos en la red de poliductos, con las consecuencias de derrames que afectan a los vecinos de dicha infraestructura; el aumento en la póliza de drones, se debe al aseguramiento de los equipos que fueron adquiridos durante el año. </w:t>
      </w:r>
      <w:r>
        <w:rPr>
          <w:rFonts w:cs="Arial"/>
          <w:color w:val="222222"/>
        </w:rPr>
        <w:t xml:space="preserve"> </w:t>
      </w:r>
      <w:r w:rsidRPr="008E2266">
        <w:rPr>
          <w:rFonts w:cs="Arial"/>
          <w:color w:val="222222"/>
        </w:rPr>
        <w:t xml:space="preserve"> </w:t>
      </w:r>
    </w:p>
    <w:p w14:paraId="641E52AA" w14:textId="77777777" w:rsidR="005C4960" w:rsidRPr="006E6390" w:rsidRDefault="005C4960" w:rsidP="008E2266">
      <w:pPr>
        <w:spacing w:after="0"/>
        <w:rPr>
          <w:rFonts w:cs="Arial"/>
        </w:rPr>
      </w:pPr>
    </w:p>
    <w:p w14:paraId="6F9C4AE5" w14:textId="1CB0AAB4" w:rsidR="009277B4" w:rsidRDefault="0059325C" w:rsidP="008E2266">
      <w:pPr>
        <w:tabs>
          <w:tab w:val="left" w:pos="9270"/>
        </w:tabs>
        <w:spacing w:after="0"/>
        <w:rPr>
          <w:rFonts w:cs="Arial"/>
          <w:lang w:eastAsia="es-MX"/>
        </w:rPr>
      </w:pPr>
      <w:r>
        <w:rPr>
          <w:rFonts w:cs="Arial"/>
          <w:lang w:eastAsia="es-MX"/>
        </w:rPr>
        <w:t>Se detalla seguidamente el listado de las pólizas con que cuenta RECOPE</w:t>
      </w:r>
      <w:r w:rsidR="00A232F4">
        <w:rPr>
          <w:rFonts w:cs="Arial"/>
          <w:lang w:eastAsia="es-MX"/>
        </w:rPr>
        <w:t>:</w:t>
      </w:r>
    </w:p>
    <w:p w14:paraId="59F22FA5" w14:textId="2EFC05F4" w:rsidR="0059325C" w:rsidRDefault="0059325C">
      <w:pPr>
        <w:spacing w:after="0" w:line="240" w:lineRule="auto"/>
        <w:jc w:val="left"/>
        <w:rPr>
          <w:rFonts w:cs="Arial"/>
          <w:b/>
        </w:rPr>
      </w:pPr>
    </w:p>
    <w:p w14:paraId="3B1AC1E8" w14:textId="77777777" w:rsidR="009277B4" w:rsidRPr="006E6390" w:rsidRDefault="009277B4" w:rsidP="004D1E32">
      <w:pPr>
        <w:contextualSpacing/>
        <w:jc w:val="center"/>
        <w:rPr>
          <w:rFonts w:cs="Arial"/>
          <w:b/>
        </w:rPr>
      </w:pPr>
      <w:r w:rsidRPr="006E6390">
        <w:rPr>
          <w:rFonts w:cs="Arial"/>
          <w:b/>
        </w:rPr>
        <w:t>Cuadro N°</w:t>
      </w:r>
      <w:r w:rsidR="007408DF" w:rsidRPr="006E6390">
        <w:rPr>
          <w:rFonts w:cs="Arial"/>
          <w:b/>
        </w:rPr>
        <w:t>2</w:t>
      </w:r>
      <w:r w:rsidR="006B7171" w:rsidRPr="006E6390">
        <w:rPr>
          <w:rFonts w:cs="Arial"/>
          <w:b/>
        </w:rPr>
        <w:t>6</w:t>
      </w:r>
    </w:p>
    <w:p w14:paraId="0C8DA984" w14:textId="77777777" w:rsidR="009277B4" w:rsidRDefault="009277B4" w:rsidP="008E2266">
      <w:pPr>
        <w:spacing w:after="0"/>
        <w:jc w:val="center"/>
        <w:rPr>
          <w:rFonts w:cs="Arial"/>
          <w:b/>
        </w:rPr>
      </w:pPr>
      <w:r w:rsidRPr="006E6390">
        <w:rPr>
          <w:rFonts w:cs="Arial"/>
          <w:b/>
        </w:rPr>
        <w:t>Detalle de Pólizas de Seguro</w:t>
      </w:r>
    </w:p>
    <w:tbl>
      <w:tblPr>
        <w:tblW w:w="4932" w:type="pct"/>
        <w:tblLayout w:type="fixed"/>
        <w:tblCellMar>
          <w:left w:w="70" w:type="dxa"/>
          <w:right w:w="70" w:type="dxa"/>
        </w:tblCellMar>
        <w:tblLook w:val="04A0" w:firstRow="1" w:lastRow="0" w:firstColumn="1" w:lastColumn="0" w:noHBand="0" w:noVBand="1"/>
      </w:tblPr>
      <w:tblGrid>
        <w:gridCol w:w="1606"/>
        <w:gridCol w:w="2642"/>
        <w:gridCol w:w="2649"/>
        <w:gridCol w:w="1811"/>
      </w:tblGrid>
      <w:tr w:rsidR="0059325C" w:rsidRPr="0059325C" w14:paraId="2A2F89B1" w14:textId="77777777" w:rsidTr="008E2266">
        <w:trPr>
          <w:trHeight w:val="258"/>
        </w:trPr>
        <w:tc>
          <w:tcPr>
            <w:tcW w:w="922" w:type="pct"/>
            <w:tcBorders>
              <w:top w:val="single" w:sz="4" w:space="0" w:color="BFBFBF"/>
              <w:left w:val="single" w:sz="4" w:space="0" w:color="BFBFBF"/>
              <w:bottom w:val="single" w:sz="4" w:space="0" w:color="000000"/>
              <w:right w:val="nil"/>
            </w:tcBorders>
            <w:shd w:val="clear" w:color="auto" w:fill="auto"/>
            <w:noWrap/>
            <w:vAlign w:val="center"/>
            <w:hideMark/>
          </w:tcPr>
          <w:p w14:paraId="31ACE454"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N° Póliza</w:t>
            </w:r>
          </w:p>
        </w:tc>
        <w:tc>
          <w:tcPr>
            <w:tcW w:w="1517" w:type="pct"/>
            <w:tcBorders>
              <w:top w:val="single" w:sz="4" w:space="0" w:color="BFBFBF"/>
              <w:left w:val="nil"/>
              <w:bottom w:val="single" w:sz="4" w:space="0" w:color="000000"/>
              <w:right w:val="nil"/>
            </w:tcBorders>
            <w:shd w:val="clear" w:color="auto" w:fill="auto"/>
            <w:noWrap/>
            <w:vAlign w:val="center"/>
            <w:hideMark/>
          </w:tcPr>
          <w:p w14:paraId="50C026E8"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Descripción</w:t>
            </w:r>
          </w:p>
        </w:tc>
        <w:tc>
          <w:tcPr>
            <w:tcW w:w="1521" w:type="pct"/>
            <w:tcBorders>
              <w:top w:val="single" w:sz="4" w:space="0" w:color="BFBFBF"/>
              <w:left w:val="nil"/>
              <w:bottom w:val="single" w:sz="4" w:space="0" w:color="000000"/>
              <w:right w:val="nil"/>
            </w:tcBorders>
            <w:shd w:val="clear" w:color="auto" w:fill="auto"/>
            <w:noWrap/>
            <w:vAlign w:val="center"/>
            <w:hideMark/>
          </w:tcPr>
          <w:p w14:paraId="76A17B8D"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Monto Asegurado</w:t>
            </w:r>
          </w:p>
        </w:tc>
        <w:tc>
          <w:tcPr>
            <w:tcW w:w="1040" w:type="pct"/>
            <w:tcBorders>
              <w:top w:val="single" w:sz="4" w:space="0" w:color="BFBFBF"/>
              <w:left w:val="nil"/>
              <w:bottom w:val="single" w:sz="4" w:space="0" w:color="000000"/>
              <w:right w:val="single" w:sz="4" w:space="0" w:color="BFBFBF"/>
            </w:tcBorders>
            <w:shd w:val="clear" w:color="auto" w:fill="auto"/>
            <w:noWrap/>
            <w:vAlign w:val="center"/>
            <w:hideMark/>
          </w:tcPr>
          <w:p w14:paraId="2C0DD84B" w14:textId="77777777" w:rsidR="0059325C" w:rsidRPr="0059325C" w:rsidRDefault="0059325C" w:rsidP="0059325C">
            <w:pPr>
              <w:spacing w:after="0" w:line="240" w:lineRule="auto"/>
              <w:jc w:val="center"/>
              <w:rPr>
                <w:rFonts w:cs="Arial"/>
                <w:b/>
                <w:bCs/>
                <w:color w:val="000000"/>
                <w:sz w:val="20"/>
                <w:szCs w:val="20"/>
              </w:rPr>
            </w:pPr>
            <w:r w:rsidRPr="0059325C">
              <w:rPr>
                <w:rFonts w:cs="Arial"/>
                <w:b/>
                <w:bCs/>
                <w:color w:val="000000"/>
                <w:sz w:val="20"/>
                <w:szCs w:val="20"/>
              </w:rPr>
              <w:t>Prima neta anual</w:t>
            </w:r>
          </w:p>
        </w:tc>
      </w:tr>
      <w:tr w:rsidR="00184DB4" w:rsidRPr="0059325C" w14:paraId="40EF2D00"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7CC219F9"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35607</w:t>
            </w:r>
          </w:p>
        </w:tc>
        <w:tc>
          <w:tcPr>
            <w:tcW w:w="1517" w:type="pct"/>
            <w:tcBorders>
              <w:top w:val="nil"/>
              <w:left w:val="nil"/>
              <w:bottom w:val="nil"/>
              <w:right w:val="nil"/>
            </w:tcBorders>
            <w:shd w:val="clear" w:color="D9D9D9" w:fill="D9D9D9"/>
            <w:noWrap/>
            <w:vAlign w:val="center"/>
            <w:hideMark/>
          </w:tcPr>
          <w:p w14:paraId="3D6B5B05"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Riesgos del Trabajo (1)</w:t>
            </w:r>
          </w:p>
        </w:tc>
        <w:tc>
          <w:tcPr>
            <w:tcW w:w="1521" w:type="pct"/>
            <w:tcBorders>
              <w:top w:val="nil"/>
              <w:left w:val="nil"/>
              <w:bottom w:val="nil"/>
              <w:right w:val="nil"/>
            </w:tcBorders>
            <w:shd w:val="clear" w:color="D9D9D9" w:fill="D9D9D9"/>
            <w:noWrap/>
            <w:vAlign w:val="bottom"/>
            <w:hideMark/>
          </w:tcPr>
          <w:p w14:paraId="5A8FA881" w14:textId="157D36C3" w:rsidR="00184DB4" w:rsidRPr="0059325C" w:rsidRDefault="00184DB4" w:rsidP="00184DB4">
            <w:pPr>
              <w:spacing w:after="0" w:line="240" w:lineRule="auto"/>
              <w:jc w:val="right"/>
              <w:rPr>
                <w:rFonts w:cs="Arial"/>
                <w:color w:val="000000"/>
                <w:sz w:val="20"/>
                <w:szCs w:val="20"/>
              </w:rPr>
            </w:pPr>
            <w:r>
              <w:rPr>
                <w:rFonts w:cs="Arial"/>
                <w:sz w:val="20"/>
                <w:szCs w:val="20"/>
              </w:rPr>
              <w:t>₡27 034 479 080,00</w:t>
            </w:r>
          </w:p>
        </w:tc>
        <w:tc>
          <w:tcPr>
            <w:tcW w:w="1040" w:type="pct"/>
            <w:tcBorders>
              <w:top w:val="nil"/>
              <w:left w:val="nil"/>
              <w:bottom w:val="nil"/>
              <w:right w:val="single" w:sz="4" w:space="0" w:color="BFBFBF"/>
            </w:tcBorders>
            <w:shd w:val="clear" w:color="D9D9D9" w:fill="D9D9D9"/>
            <w:noWrap/>
            <w:vAlign w:val="bottom"/>
            <w:hideMark/>
          </w:tcPr>
          <w:p w14:paraId="544046F6" w14:textId="4E830056" w:rsidR="00184DB4" w:rsidRPr="0059325C" w:rsidRDefault="00184DB4" w:rsidP="00184DB4">
            <w:pPr>
              <w:spacing w:after="0" w:line="240" w:lineRule="auto"/>
              <w:jc w:val="right"/>
              <w:rPr>
                <w:rFonts w:cs="Arial"/>
                <w:color w:val="000000"/>
                <w:sz w:val="20"/>
                <w:szCs w:val="20"/>
              </w:rPr>
            </w:pPr>
            <w:r>
              <w:rPr>
                <w:rFonts w:cs="Arial"/>
                <w:sz w:val="20"/>
                <w:szCs w:val="20"/>
              </w:rPr>
              <w:t>₡248 717 208,00</w:t>
            </w:r>
          </w:p>
        </w:tc>
      </w:tr>
      <w:tr w:rsidR="0059325C" w:rsidRPr="0059325C" w14:paraId="42A5816A"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329E267A"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VTM-594</w:t>
            </w:r>
          </w:p>
        </w:tc>
        <w:tc>
          <w:tcPr>
            <w:tcW w:w="1517" w:type="pct"/>
            <w:tcBorders>
              <w:top w:val="nil"/>
              <w:left w:val="nil"/>
              <w:bottom w:val="nil"/>
              <w:right w:val="nil"/>
            </w:tcBorders>
            <w:shd w:val="clear" w:color="auto" w:fill="auto"/>
            <w:noWrap/>
            <w:vAlign w:val="center"/>
            <w:hideMark/>
          </w:tcPr>
          <w:p w14:paraId="7836E91D"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Colectiva de Vida empleados (2)</w:t>
            </w:r>
          </w:p>
        </w:tc>
        <w:tc>
          <w:tcPr>
            <w:tcW w:w="1521" w:type="pct"/>
            <w:tcBorders>
              <w:top w:val="nil"/>
              <w:left w:val="nil"/>
              <w:bottom w:val="nil"/>
              <w:right w:val="nil"/>
            </w:tcBorders>
            <w:shd w:val="clear" w:color="auto" w:fill="auto"/>
            <w:noWrap/>
            <w:vAlign w:val="center"/>
            <w:hideMark/>
          </w:tcPr>
          <w:p w14:paraId="6D99F2B8" w14:textId="77777777" w:rsidR="0059325C" w:rsidRPr="0059325C" w:rsidRDefault="0059325C" w:rsidP="0059325C">
            <w:pPr>
              <w:spacing w:after="0" w:line="240" w:lineRule="auto"/>
              <w:jc w:val="left"/>
              <w:rPr>
                <w:rFonts w:cs="Arial"/>
                <w:color w:val="000000"/>
                <w:sz w:val="20"/>
                <w:szCs w:val="20"/>
              </w:rPr>
            </w:pPr>
          </w:p>
        </w:tc>
        <w:tc>
          <w:tcPr>
            <w:tcW w:w="1040" w:type="pct"/>
            <w:tcBorders>
              <w:top w:val="nil"/>
              <w:left w:val="nil"/>
              <w:bottom w:val="nil"/>
              <w:right w:val="single" w:sz="4" w:space="0" w:color="BFBFBF"/>
            </w:tcBorders>
            <w:shd w:val="clear" w:color="auto" w:fill="auto"/>
            <w:noWrap/>
            <w:vAlign w:val="center"/>
            <w:hideMark/>
          </w:tcPr>
          <w:p w14:paraId="46018058" w14:textId="77777777" w:rsidR="0059325C" w:rsidRPr="0059325C" w:rsidRDefault="0059325C" w:rsidP="0059325C">
            <w:pPr>
              <w:spacing w:after="0" w:line="240" w:lineRule="auto"/>
              <w:jc w:val="right"/>
              <w:rPr>
                <w:rFonts w:cs="Arial"/>
                <w:sz w:val="20"/>
                <w:szCs w:val="20"/>
              </w:rPr>
            </w:pPr>
          </w:p>
        </w:tc>
      </w:tr>
      <w:tr w:rsidR="00184DB4" w:rsidRPr="0059325C" w14:paraId="2EC5481F"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6262AA5B"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RTM-108</w:t>
            </w:r>
          </w:p>
        </w:tc>
        <w:tc>
          <w:tcPr>
            <w:tcW w:w="1517" w:type="pct"/>
            <w:tcBorders>
              <w:top w:val="nil"/>
              <w:left w:val="nil"/>
              <w:bottom w:val="nil"/>
              <w:right w:val="nil"/>
            </w:tcBorders>
            <w:shd w:val="clear" w:color="D9D9D9" w:fill="D9D9D9"/>
            <w:noWrap/>
            <w:vAlign w:val="center"/>
            <w:hideMark/>
          </w:tcPr>
          <w:p w14:paraId="7E2E3FA5"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Planta de hidrógeno</w:t>
            </w:r>
          </w:p>
        </w:tc>
        <w:tc>
          <w:tcPr>
            <w:tcW w:w="1521" w:type="pct"/>
            <w:tcBorders>
              <w:top w:val="nil"/>
              <w:left w:val="nil"/>
              <w:bottom w:val="nil"/>
              <w:right w:val="nil"/>
            </w:tcBorders>
            <w:shd w:val="clear" w:color="D9D9D9" w:fill="D9D9D9"/>
            <w:noWrap/>
            <w:vAlign w:val="bottom"/>
            <w:hideMark/>
          </w:tcPr>
          <w:p w14:paraId="4F4C8DEF" w14:textId="12B0C062" w:rsidR="00184DB4" w:rsidRPr="0059325C" w:rsidRDefault="00184DB4" w:rsidP="00184DB4">
            <w:pPr>
              <w:spacing w:after="0" w:line="240" w:lineRule="auto"/>
              <w:jc w:val="right"/>
              <w:rPr>
                <w:rFonts w:cs="Arial"/>
                <w:color w:val="000000"/>
                <w:sz w:val="20"/>
                <w:szCs w:val="20"/>
              </w:rPr>
            </w:pPr>
            <w:r>
              <w:rPr>
                <w:rFonts w:cs="Arial"/>
                <w:sz w:val="20"/>
                <w:szCs w:val="20"/>
              </w:rPr>
              <w:t>₡169 246 548,74</w:t>
            </w:r>
          </w:p>
        </w:tc>
        <w:tc>
          <w:tcPr>
            <w:tcW w:w="1040" w:type="pct"/>
            <w:tcBorders>
              <w:top w:val="nil"/>
              <w:left w:val="nil"/>
              <w:bottom w:val="nil"/>
              <w:right w:val="single" w:sz="4" w:space="0" w:color="BFBFBF"/>
            </w:tcBorders>
            <w:shd w:val="clear" w:color="D9D9D9" w:fill="D9D9D9"/>
            <w:noWrap/>
            <w:vAlign w:val="bottom"/>
            <w:hideMark/>
          </w:tcPr>
          <w:p w14:paraId="46EDE05E" w14:textId="21D11A9D" w:rsidR="00184DB4" w:rsidRPr="0059325C" w:rsidRDefault="00184DB4" w:rsidP="00184DB4">
            <w:pPr>
              <w:spacing w:after="0" w:line="240" w:lineRule="auto"/>
              <w:jc w:val="right"/>
              <w:rPr>
                <w:rFonts w:cs="Arial"/>
                <w:color w:val="000000"/>
                <w:sz w:val="20"/>
                <w:szCs w:val="20"/>
              </w:rPr>
            </w:pPr>
            <w:r>
              <w:rPr>
                <w:rFonts w:cs="Arial"/>
                <w:sz w:val="20"/>
                <w:szCs w:val="20"/>
              </w:rPr>
              <w:t>₡336 300,43</w:t>
            </w:r>
          </w:p>
        </w:tc>
      </w:tr>
      <w:tr w:rsidR="00184DB4" w:rsidRPr="0059325C" w14:paraId="79C95D0C" w14:textId="77777777" w:rsidTr="008E2266">
        <w:trPr>
          <w:trHeight w:val="506"/>
        </w:trPr>
        <w:tc>
          <w:tcPr>
            <w:tcW w:w="922" w:type="pct"/>
            <w:tcBorders>
              <w:top w:val="nil"/>
              <w:left w:val="single" w:sz="4" w:space="0" w:color="BFBFBF"/>
              <w:bottom w:val="nil"/>
              <w:right w:val="nil"/>
            </w:tcBorders>
            <w:shd w:val="clear" w:color="auto" w:fill="auto"/>
            <w:noWrap/>
            <w:vAlign w:val="center"/>
            <w:hideMark/>
          </w:tcPr>
          <w:p w14:paraId="616C9C29"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02-01-1-INC-10552</w:t>
            </w:r>
          </w:p>
        </w:tc>
        <w:tc>
          <w:tcPr>
            <w:tcW w:w="1517" w:type="pct"/>
            <w:tcBorders>
              <w:top w:val="nil"/>
              <w:left w:val="nil"/>
              <w:bottom w:val="nil"/>
              <w:right w:val="nil"/>
            </w:tcBorders>
            <w:shd w:val="clear" w:color="auto" w:fill="auto"/>
            <w:vAlign w:val="center"/>
            <w:hideMark/>
          </w:tcPr>
          <w:p w14:paraId="1EAFB500" w14:textId="77777777" w:rsidR="00184DB4" w:rsidRPr="0059325C" w:rsidRDefault="00184DB4" w:rsidP="00184DB4">
            <w:pPr>
              <w:spacing w:after="0" w:line="240" w:lineRule="auto"/>
              <w:jc w:val="left"/>
              <w:rPr>
                <w:rFonts w:cs="Arial"/>
                <w:color w:val="000000"/>
                <w:sz w:val="20"/>
                <w:szCs w:val="20"/>
              </w:rPr>
            </w:pPr>
            <w:r w:rsidRPr="0059325C">
              <w:rPr>
                <w:rFonts w:cs="Arial"/>
                <w:color w:val="000000"/>
                <w:sz w:val="20"/>
                <w:szCs w:val="20"/>
              </w:rPr>
              <w:t>Multi Riesgo:  Moín, Terminales, Red de Poliductos, Inventarios (3)</w:t>
            </w:r>
          </w:p>
        </w:tc>
        <w:tc>
          <w:tcPr>
            <w:tcW w:w="1521" w:type="pct"/>
            <w:tcBorders>
              <w:top w:val="nil"/>
              <w:left w:val="nil"/>
              <w:bottom w:val="nil"/>
              <w:right w:val="nil"/>
            </w:tcBorders>
            <w:shd w:val="clear" w:color="auto" w:fill="auto"/>
            <w:noWrap/>
            <w:vAlign w:val="center"/>
            <w:hideMark/>
          </w:tcPr>
          <w:p w14:paraId="55BF8E40" w14:textId="2CC61DEF" w:rsidR="00184DB4" w:rsidRPr="0059325C" w:rsidRDefault="00184DB4" w:rsidP="00184DB4">
            <w:pPr>
              <w:spacing w:after="0" w:line="240" w:lineRule="auto"/>
              <w:jc w:val="right"/>
              <w:rPr>
                <w:rFonts w:cs="Arial"/>
                <w:color w:val="000000"/>
                <w:sz w:val="20"/>
                <w:szCs w:val="20"/>
              </w:rPr>
            </w:pPr>
            <w:r>
              <w:rPr>
                <w:rFonts w:cs="Arial"/>
                <w:sz w:val="20"/>
                <w:szCs w:val="20"/>
              </w:rPr>
              <w:t>US$1 253 894 637,04</w:t>
            </w:r>
          </w:p>
        </w:tc>
        <w:tc>
          <w:tcPr>
            <w:tcW w:w="1040" w:type="pct"/>
            <w:tcBorders>
              <w:top w:val="nil"/>
              <w:left w:val="nil"/>
              <w:bottom w:val="nil"/>
              <w:right w:val="single" w:sz="4" w:space="0" w:color="BFBFBF"/>
            </w:tcBorders>
            <w:shd w:val="clear" w:color="auto" w:fill="auto"/>
            <w:noWrap/>
            <w:vAlign w:val="center"/>
            <w:hideMark/>
          </w:tcPr>
          <w:p w14:paraId="30C11181" w14:textId="47772414" w:rsidR="00184DB4" w:rsidRPr="0059325C" w:rsidRDefault="00184DB4" w:rsidP="00184DB4">
            <w:pPr>
              <w:spacing w:after="0" w:line="240" w:lineRule="auto"/>
              <w:jc w:val="right"/>
              <w:rPr>
                <w:rFonts w:cs="Arial"/>
                <w:color w:val="000000"/>
                <w:sz w:val="20"/>
                <w:szCs w:val="20"/>
              </w:rPr>
            </w:pPr>
            <w:r>
              <w:rPr>
                <w:rFonts w:cs="Arial"/>
                <w:sz w:val="20"/>
                <w:szCs w:val="20"/>
              </w:rPr>
              <w:t>US$1 777 709,07</w:t>
            </w:r>
          </w:p>
        </w:tc>
      </w:tr>
      <w:tr w:rsidR="009A3B4E" w:rsidRPr="0059325C" w14:paraId="1BA6BEF7" w14:textId="77777777" w:rsidTr="008E2266">
        <w:trPr>
          <w:trHeight w:val="506"/>
        </w:trPr>
        <w:tc>
          <w:tcPr>
            <w:tcW w:w="922" w:type="pct"/>
            <w:tcBorders>
              <w:top w:val="nil"/>
              <w:left w:val="single" w:sz="4" w:space="0" w:color="BFBFBF"/>
              <w:bottom w:val="nil"/>
              <w:right w:val="nil"/>
            </w:tcBorders>
            <w:shd w:val="clear" w:color="D9D9D9" w:fill="D9D9D9"/>
            <w:noWrap/>
            <w:vAlign w:val="center"/>
            <w:hideMark/>
          </w:tcPr>
          <w:p w14:paraId="3D0397BC" w14:textId="77777777" w:rsidR="009A3B4E" w:rsidRPr="0059325C" w:rsidRDefault="009A3B4E" w:rsidP="009A3B4E">
            <w:pPr>
              <w:spacing w:after="0" w:line="240" w:lineRule="auto"/>
              <w:jc w:val="left"/>
              <w:rPr>
                <w:rFonts w:cs="Arial"/>
                <w:color w:val="000000"/>
                <w:sz w:val="20"/>
                <w:szCs w:val="20"/>
              </w:rPr>
            </w:pPr>
            <w:r w:rsidRPr="0059325C">
              <w:rPr>
                <w:rFonts w:cs="Arial"/>
                <w:color w:val="000000"/>
                <w:sz w:val="20"/>
                <w:szCs w:val="20"/>
              </w:rPr>
              <w:t>02-01-INC-0002978</w:t>
            </w:r>
          </w:p>
        </w:tc>
        <w:tc>
          <w:tcPr>
            <w:tcW w:w="1517" w:type="pct"/>
            <w:tcBorders>
              <w:top w:val="nil"/>
              <w:left w:val="nil"/>
              <w:bottom w:val="nil"/>
              <w:right w:val="nil"/>
            </w:tcBorders>
            <w:shd w:val="clear" w:color="D9D9D9" w:fill="D9D9D9"/>
            <w:vAlign w:val="center"/>
            <w:hideMark/>
          </w:tcPr>
          <w:p w14:paraId="4DE0E33C" w14:textId="77777777" w:rsidR="009A3B4E" w:rsidRPr="0059325C" w:rsidRDefault="009A3B4E" w:rsidP="009A3B4E">
            <w:pPr>
              <w:spacing w:after="0" w:line="240" w:lineRule="auto"/>
              <w:jc w:val="left"/>
              <w:rPr>
                <w:rFonts w:cs="Arial"/>
                <w:color w:val="000000"/>
                <w:sz w:val="20"/>
                <w:szCs w:val="20"/>
              </w:rPr>
            </w:pPr>
            <w:r w:rsidRPr="0059325C">
              <w:rPr>
                <w:rFonts w:cs="Arial"/>
                <w:color w:val="000000"/>
                <w:sz w:val="20"/>
                <w:szCs w:val="20"/>
              </w:rPr>
              <w:t>Multi Riesgo Edificio Hernán Garrón Salazar</w:t>
            </w:r>
          </w:p>
        </w:tc>
        <w:tc>
          <w:tcPr>
            <w:tcW w:w="1521" w:type="pct"/>
            <w:tcBorders>
              <w:top w:val="nil"/>
              <w:left w:val="nil"/>
              <w:bottom w:val="nil"/>
              <w:right w:val="nil"/>
            </w:tcBorders>
            <w:shd w:val="clear" w:color="D9D9D9" w:fill="D9D9D9"/>
            <w:noWrap/>
            <w:vAlign w:val="bottom"/>
            <w:hideMark/>
          </w:tcPr>
          <w:p w14:paraId="477A49C4" w14:textId="40AFED54" w:rsidR="009A3B4E" w:rsidRPr="0059325C" w:rsidRDefault="009A3B4E" w:rsidP="009A3B4E">
            <w:pPr>
              <w:spacing w:after="0" w:line="240" w:lineRule="auto"/>
              <w:jc w:val="right"/>
              <w:rPr>
                <w:rFonts w:cs="Arial"/>
                <w:color w:val="000000"/>
                <w:sz w:val="20"/>
                <w:szCs w:val="20"/>
              </w:rPr>
            </w:pPr>
            <w:r>
              <w:rPr>
                <w:rFonts w:cs="Arial"/>
                <w:sz w:val="20"/>
                <w:szCs w:val="20"/>
              </w:rPr>
              <w:t>US$16 543 897,00</w:t>
            </w:r>
          </w:p>
        </w:tc>
        <w:tc>
          <w:tcPr>
            <w:tcW w:w="1040" w:type="pct"/>
            <w:tcBorders>
              <w:top w:val="nil"/>
              <w:left w:val="nil"/>
              <w:bottom w:val="nil"/>
              <w:right w:val="single" w:sz="4" w:space="0" w:color="BFBFBF"/>
            </w:tcBorders>
            <w:shd w:val="clear" w:color="D9D9D9" w:fill="D9D9D9"/>
            <w:noWrap/>
            <w:vAlign w:val="bottom"/>
            <w:hideMark/>
          </w:tcPr>
          <w:p w14:paraId="396CBD4B" w14:textId="38309618" w:rsidR="009A3B4E" w:rsidRPr="0059325C" w:rsidRDefault="009A3B4E" w:rsidP="009A3B4E">
            <w:pPr>
              <w:spacing w:after="0" w:line="240" w:lineRule="auto"/>
              <w:jc w:val="right"/>
              <w:rPr>
                <w:rFonts w:cs="Arial"/>
                <w:color w:val="000000"/>
                <w:sz w:val="20"/>
                <w:szCs w:val="20"/>
              </w:rPr>
            </w:pPr>
            <w:r>
              <w:rPr>
                <w:rFonts w:cs="Arial"/>
                <w:sz w:val="20"/>
                <w:szCs w:val="20"/>
              </w:rPr>
              <w:t>US$21 498,25</w:t>
            </w:r>
          </w:p>
        </w:tc>
      </w:tr>
      <w:tr w:rsidR="000D7286" w:rsidRPr="0059325C" w14:paraId="52C4E5A5"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66F8BF9A" w14:textId="77777777" w:rsidR="000D7286" w:rsidRPr="0059325C" w:rsidRDefault="000D7286" w:rsidP="000D7286">
            <w:pPr>
              <w:spacing w:after="0" w:line="240" w:lineRule="auto"/>
              <w:jc w:val="left"/>
              <w:rPr>
                <w:rFonts w:cs="Arial"/>
                <w:color w:val="000000"/>
                <w:sz w:val="20"/>
                <w:szCs w:val="20"/>
              </w:rPr>
            </w:pPr>
            <w:r w:rsidRPr="0059325C">
              <w:rPr>
                <w:rFonts w:cs="Arial"/>
                <w:color w:val="000000"/>
                <w:sz w:val="20"/>
                <w:szCs w:val="20"/>
              </w:rPr>
              <w:t>01-01-EQE-12838</w:t>
            </w:r>
          </w:p>
        </w:tc>
        <w:tc>
          <w:tcPr>
            <w:tcW w:w="1517" w:type="pct"/>
            <w:tcBorders>
              <w:top w:val="nil"/>
              <w:left w:val="nil"/>
              <w:bottom w:val="nil"/>
              <w:right w:val="nil"/>
            </w:tcBorders>
            <w:shd w:val="clear" w:color="auto" w:fill="auto"/>
            <w:noWrap/>
            <w:vAlign w:val="center"/>
            <w:hideMark/>
          </w:tcPr>
          <w:p w14:paraId="6FDB67C9" w14:textId="77777777" w:rsidR="000D7286" w:rsidRPr="0059325C" w:rsidRDefault="000D7286" w:rsidP="000D7286">
            <w:pPr>
              <w:spacing w:after="0" w:line="240" w:lineRule="auto"/>
              <w:jc w:val="left"/>
              <w:rPr>
                <w:rFonts w:cs="Arial"/>
                <w:color w:val="000000"/>
                <w:sz w:val="20"/>
                <w:szCs w:val="20"/>
              </w:rPr>
            </w:pPr>
            <w:r w:rsidRPr="0059325C">
              <w:rPr>
                <w:rFonts w:cs="Arial"/>
                <w:color w:val="000000"/>
                <w:sz w:val="20"/>
                <w:szCs w:val="20"/>
              </w:rPr>
              <w:t>Equipo Electrónico</w:t>
            </w:r>
          </w:p>
        </w:tc>
        <w:tc>
          <w:tcPr>
            <w:tcW w:w="1521" w:type="pct"/>
            <w:tcBorders>
              <w:top w:val="nil"/>
              <w:left w:val="nil"/>
              <w:bottom w:val="nil"/>
              <w:right w:val="nil"/>
            </w:tcBorders>
            <w:shd w:val="clear" w:color="auto" w:fill="auto"/>
            <w:noWrap/>
            <w:vAlign w:val="bottom"/>
            <w:hideMark/>
          </w:tcPr>
          <w:p w14:paraId="4F2978FD" w14:textId="3AFAE3BF" w:rsidR="000D7286" w:rsidRPr="0059325C" w:rsidRDefault="000D7286" w:rsidP="000D7286">
            <w:pPr>
              <w:spacing w:after="0" w:line="240" w:lineRule="auto"/>
              <w:jc w:val="right"/>
              <w:rPr>
                <w:rFonts w:cs="Arial"/>
                <w:color w:val="000000"/>
                <w:sz w:val="20"/>
                <w:szCs w:val="20"/>
              </w:rPr>
            </w:pPr>
            <w:r>
              <w:rPr>
                <w:rFonts w:cs="Arial"/>
                <w:sz w:val="20"/>
                <w:szCs w:val="20"/>
              </w:rPr>
              <w:t>₡1 242 740 136,00</w:t>
            </w:r>
          </w:p>
        </w:tc>
        <w:tc>
          <w:tcPr>
            <w:tcW w:w="1040" w:type="pct"/>
            <w:tcBorders>
              <w:top w:val="nil"/>
              <w:left w:val="nil"/>
              <w:bottom w:val="nil"/>
              <w:right w:val="single" w:sz="4" w:space="0" w:color="BFBFBF"/>
            </w:tcBorders>
            <w:shd w:val="clear" w:color="auto" w:fill="auto"/>
            <w:noWrap/>
            <w:vAlign w:val="bottom"/>
            <w:hideMark/>
          </w:tcPr>
          <w:p w14:paraId="05135C34" w14:textId="051D44DA" w:rsidR="000D7286" w:rsidRPr="0059325C" w:rsidRDefault="000D7286" w:rsidP="000D7286">
            <w:pPr>
              <w:spacing w:after="0" w:line="240" w:lineRule="auto"/>
              <w:jc w:val="right"/>
              <w:rPr>
                <w:rFonts w:cs="Arial"/>
                <w:color w:val="000000"/>
                <w:sz w:val="20"/>
                <w:szCs w:val="20"/>
              </w:rPr>
            </w:pPr>
            <w:r>
              <w:rPr>
                <w:rFonts w:cs="Arial"/>
                <w:sz w:val="20"/>
                <w:szCs w:val="20"/>
              </w:rPr>
              <w:t>₡198 040,00</w:t>
            </w:r>
          </w:p>
        </w:tc>
      </w:tr>
      <w:tr w:rsidR="009D718B" w:rsidRPr="0059325C" w14:paraId="727F7EEB"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66AAD1F7" w14:textId="77777777" w:rsidR="009D718B" w:rsidRPr="0059325C" w:rsidRDefault="009D718B" w:rsidP="009D718B">
            <w:pPr>
              <w:spacing w:after="0" w:line="240" w:lineRule="auto"/>
              <w:jc w:val="left"/>
              <w:rPr>
                <w:rFonts w:cs="Arial"/>
                <w:color w:val="000000"/>
                <w:sz w:val="20"/>
                <w:szCs w:val="20"/>
              </w:rPr>
            </w:pPr>
            <w:r w:rsidRPr="0059325C">
              <w:rPr>
                <w:rFonts w:cs="Arial"/>
                <w:color w:val="000000"/>
                <w:sz w:val="20"/>
                <w:szCs w:val="20"/>
              </w:rPr>
              <w:t>AUM-711</w:t>
            </w:r>
          </w:p>
        </w:tc>
        <w:tc>
          <w:tcPr>
            <w:tcW w:w="1517" w:type="pct"/>
            <w:tcBorders>
              <w:top w:val="nil"/>
              <w:left w:val="nil"/>
              <w:bottom w:val="nil"/>
              <w:right w:val="nil"/>
            </w:tcBorders>
            <w:shd w:val="clear" w:color="D9D9D9" w:fill="D9D9D9"/>
            <w:noWrap/>
            <w:vAlign w:val="center"/>
            <w:hideMark/>
          </w:tcPr>
          <w:p w14:paraId="4245E791" w14:textId="77777777" w:rsidR="009D718B" w:rsidRPr="0059325C" w:rsidRDefault="009D718B" w:rsidP="009D718B">
            <w:pPr>
              <w:spacing w:after="0" w:line="240" w:lineRule="auto"/>
              <w:jc w:val="left"/>
              <w:rPr>
                <w:rFonts w:cs="Arial"/>
                <w:color w:val="000000"/>
                <w:sz w:val="20"/>
                <w:szCs w:val="20"/>
              </w:rPr>
            </w:pPr>
            <w:r w:rsidRPr="0059325C">
              <w:rPr>
                <w:rFonts w:cs="Arial"/>
                <w:color w:val="000000"/>
                <w:sz w:val="20"/>
                <w:szCs w:val="20"/>
              </w:rPr>
              <w:t>Automóviles</w:t>
            </w:r>
            <w:r>
              <w:rPr>
                <w:rFonts w:cs="Arial"/>
                <w:color w:val="000000"/>
                <w:sz w:val="20"/>
                <w:szCs w:val="20"/>
              </w:rPr>
              <w:t xml:space="preserve"> </w:t>
            </w:r>
            <w:r w:rsidRPr="0059325C">
              <w:rPr>
                <w:rFonts w:cs="Arial"/>
                <w:color w:val="000000"/>
                <w:sz w:val="20"/>
                <w:szCs w:val="20"/>
              </w:rPr>
              <w:t>(4)</w:t>
            </w:r>
          </w:p>
        </w:tc>
        <w:tc>
          <w:tcPr>
            <w:tcW w:w="1521" w:type="pct"/>
            <w:tcBorders>
              <w:top w:val="nil"/>
              <w:left w:val="nil"/>
              <w:bottom w:val="nil"/>
              <w:right w:val="nil"/>
            </w:tcBorders>
            <w:shd w:val="clear" w:color="D9D9D9" w:fill="D9D9D9"/>
            <w:noWrap/>
            <w:vAlign w:val="bottom"/>
            <w:hideMark/>
          </w:tcPr>
          <w:p w14:paraId="0ED182AA" w14:textId="4EE713B8" w:rsidR="009D718B" w:rsidRPr="0059325C" w:rsidRDefault="009D718B" w:rsidP="009D718B">
            <w:pPr>
              <w:spacing w:after="0" w:line="240" w:lineRule="auto"/>
              <w:jc w:val="right"/>
              <w:rPr>
                <w:rFonts w:cs="Arial"/>
                <w:color w:val="000000"/>
                <w:sz w:val="20"/>
                <w:szCs w:val="20"/>
              </w:rPr>
            </w:pPr>
            <w:r>
              <w:rPr>
                <w:rFonts w:cs="Arial"/>
                <w:sz w:val="20"/>
                <w:szCs w:val="20"/>
              </w:rPr>
              <w:t>₡978 021 848,00</w:t>
            </w:r>
          </w:p>
        </w:tc>
        <w:tc>
          <w:tcPr>
            <w:tcW w:w="1040" w:type="pct"/>
            <w:tcBorders>
              <w:top w:val="nil"/>
              <w:left w:val="nil"/>
              <w:bottom w:val="nil"/>
              <w:right w:val="single" w:sz="4" w:space="0" w:color="BFBFBF"/>
            </w:tcBorders>
            <w:shd w:val="clear" w:color="D9D9D9" w:fill="D9D9D9"/>
            <w:noWrap/>
            <w:vAlign w:val="bottom"/>
            <w:hideMark/>
          </w:tcPr>
          <w:p w14:paraId="168E7732" w14:textId="11EC6059" w:rsidR="009D718B" w:rsidRPr="0059325C" w:rsidRDefault="009D718B" w:rsidP="009D718B">
            <w:pPr>
              <w:spacing w:after="0" w:line="240" w:lineRule="auto"/>
              <w:jc w:val="right"/>
              <w:rPr>
                <w:rFonts w:cs="Arial"/>
                <w:color w:val="000000"/>
                <w:sz w:val="20"/>
                <w:szCs w:val="20"/>
              </w:rPr>
            </w:pPr>
            <w:r>
              <w:rPr>
                <w:rFonts w:cs="Arial"/>
                <w:sz w:val="20"/>
                <w:szCs w:val="20"/>
              </w:rPr>
              <w:t>₡25 413 977,98</w:t>
            </w:r>
          </w:p>
        </w:tc>
      </w:tr>
      <w:tr w:rsidR="00BB756F" w:rsidRPr="0059325C" w14:paraId="74A45E7B"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203501B2" w14:textId="77777777" w:rsidR="00BB756F" w:rsidRPr="0059325C" w:rsidRDefault="00BB756F" w:rsidP="00BB756F">
            <w:pPr>
              <w:spacing w:after="0" w:line="240" w:lineRule="auto"/>
              <w:jc w:val="left"/>
              <w:rPr>
                <w:rFonts w:cs="Arial"/>
                <w:color w:val="000000"/>
                <w:sz w:val="20"/>
                <w:szCs w:val="20"/>
              </w:rPr>
            </w:pPr>
            <w:r w:rsidRPr="0059325C">
              <w:rPr>
                <w:rFonts w:cs="Arial"/>
                <w:color w:val="000000"/>
                <w:sz w:val="20"/>
                <w:szCs w:val="20"/>
              </w:rPr>
              <w:t>EQC-010719</w:t>
            </w:r>
          </w:p>
        </w:tc>
        <w:tc>
          <w:tcPr>
            <w:tcW w:w="1517" w:type="pct"/>
            <w:tcBorders>
              <w:top w:val="nil"/>
              <w:left w:val="nil"/>
              <w:bottom w:val="nil"/>
              <w:right w:val="nil"/>
            </w:tcBorders>
            <w:shd w:val="clear" w:color="auto" w:fill="auto"/>
            <w:noWrap/>
            <w:vAlign w:val="center"/>
            <w:hideMark/>
          </w:tcPr>
          <w:p w14:paraId="2C8EDB1D" w14:textId="77777777" w:rsidR="00BB756F" w:rsidRPr="0059325C" w:rsidRDefault="00BB756F" w:rsidP="00BB756F">
            <w:pPr>
              <w:spacing w:after="0" w:line="240" w:lineRule="auto"/>
              <w:jc w:val="left"/>
              <w:rPr>
                <w:rFonts w:cs="Arial"/>
                <w:color w:val="000000"/>
                <w:sz w:val="20"/>
                <w:szCs w:val="20"/>
              </w:rPr>
            </w:pPr>
            <w:r w:rsidRPr="0059325C">
              <w:rPr>
                <w:rFonts w:cs="Arial"/>
                <w:color w:val="000000"/>
                <w:sz w:val="20"/>
                <w:szCs w:val="20"/>
              </w:rPr>
              <w:t>Equipo y Maquinaria</w:t>
            </w:r>
          </w:p>
        </w:tc>
        <w:tc>
          <w:tcPr>
            <w:tcW w:w="1521" w:type="pct"/>
            <w:tcBorders>
              <w:top w:val="nil"/>
              <w:left w:val="nil"/>
              <w:bottom w:val="nil"/>
              <w:right w:val="nil"/>
            </w:tcBorders>
            <w:shd w:val="clear" w:color="auto" w:fill="auto"/>
            <w:noWrap/>
            <w:vAlign w:val="bottom"/>
            <w:hideMark/>
          </w:tcPr>
          <w:p w14:paraId="7F78AC04" w14:textId="3438FC64" w:rsidR="00BB756F" w:rsidRPr="0059325C" w:rsidRDefault="00BB756F" w:rsidP="00BB756F">
            <w:pPr>
              <w:spacing w:after="0" w:line="240" w:lineRule="auto"/>
              <w:jc w:val="right"/>
              <w:rPr>
                <w:rFonts w:cs="Arial"/>
                <w:color w:val="000000"/>
                <w:sz w:val="20"/>
                <w:szCs w:val="20"/>
              </w:rPr>
            </w:pPr>
            <w:r>
              <w:rPr>
                <w:rFonts w:cs="Arial"/>
                <w:sz w:val="20"/>
                <w:szCs w:val="20"/>
              </w:rPr>
              <w:t>₡3 762 000 000,00</w:t>
            </w:r>
          </w:p>
        </w:tc>
        <w:tc>
          <w:tcPr>
            <w:tcW w:w="1040" w:type="pct"/>
            <w:tcBorders>
              <w:top w:val="nil"/>
              <w:left w:val="nil"/>
              <w:bottom w:val="nil"/>
              <w:right w:val="single" w:sz="4" w:space="0" w:color="BFBFBF"/>
            </w:tcBorders>
            <w:shd w:val="clear" w:color="auto" w:fill="auto"/>
            <w:noWrap/>
            <w:vAlign w:val="bottom"/>
            <w:hideMark/>
          </w:tcPr>
          <w:p w14:paraId="536C1667" w14:textId="09375BCD" w:rsidR="00BB756F" w:rsidRPr="0059325C" w:rsidRDefault="00BB756F" w:rsidP="00BB756F">
            <w:pPr>
              <w:spacing w:after="0" w:line="240" w:lineRule="auto"/>
              <w:jc w:val="right"/>
              <w:rPr>
                <w:rFonts w:cs="Arial"/>
                <w:color w:val="000000"/>
                <w:sz w:val="20"/>
                <w:szCs w:val="20"/>
              </w:rPr>
            </w:pPr>
            <w:r>
              <w:rPr>
                <w:rFonts w:cs="Arial"/>
                <w:sz w:val="20"/>
                <w:szCs w:val="20"/>
              </w:rPr>
              <w:t>₡1 344 700,00</w:t>
            </w:r>
          </w:p>
        </w:tc>
      </w:tr>
      <w:tr w:rsidR="0059325C" w:rsidRPr="0059325C" w14:paraId="5A776A1A"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60C9988E" w14:textId="77777777" w:rsidR="0059325C" w:rsidRPr="0059325C" w:rsidRDefault="0059325C" w:rsidP="0059325C">
            <w:pPr>
              <w:spacing w:after="0" w:line="240" w:lineRule="auto"/>
              <w:jc w:val="left"/>
              <w:rPr>
                <w:rFonts w:cs="Arial"/>
                <w:color w:val="222222"/>
                <w:sz w:val="20"/>
                <w:szCs w:val="20"/>
              </w:rPr>
            </w:pPr>
            <w:r w:rsidRPr="0059325C">
              <w:rPr>
                <w:rFonts w:cs="Arial"/>
                <w:color w:val="222222"/>
                <w:sz w:val="20"/>
                <w:szCs w:val="20"/>
              </w:rPr>
              <w:t>01-VAG-058</w:t>
            </w:r>
          </w:p>
        </w:tc>
        <w:tc>
          <w:tcPr>
            <w:tcW w:w="1517" w:type="pct"/>
            <w:tcBorders>
              <w:top w:val="nil"/>
              <w:left w:val="nil"/>
              <w:bottom w:val="nil"/>
              <w:right w:val="nil"/>
            </w:tcBorders>
            <w:shd w:val="clear" w:color="D9D9D9" w:fill="D9D9D9"/>
            <w:noWrap/>
            <w:vAlign w:val="center"/>
            <w:hideMark/>
          </w:tcPr>
          <w:p w14:paraId="30EE73CD" w14:textId="77777777" w:rsidR="0059325C" w:rsidRPr="0059325C" w:rsidRDefault="0059325C" w:rsidP="0059325C">
            <w:pPr>
              <w:spacing w:after="0" w:line="240" w:lineRule="auto"/>
              <w:jc w:val="left"/>
              <w:rPr>
                <w:rFonts w:cs="Arial"/>
                <w:color w:val="222222"/>
                <w:sz w:val="20"/>
                <w:szCs w:val="20"/>
              </w:rPr>
            </w:pPr>
            <w:r w:rsidRPr="0059325C">
              <w:rPr>
                <w:rFonts w:cs="Arial"/>
                <w:color w:val="222222"/>
                <w:sz w:val="20"/>
                <w:szCs w:val="20"/>
              </w:rPr>
              <w:t>Viajero con asistencia $</w:t>
            </w:r>
          </w:p>
        </w:tc>
        <w:tc>
          <w:tcPr>
            <w:tcW w:w="1521" w:type="pct"/>
            <w:tcBorders>
              <w:top w:val="nil"/>
              <w:left w:val="nil"/>
              <w:bottom w:val="nil"/>
              <w:right w:val="nil"/>
            </w:tcBorders>
            <w:shd w:val="clear" w:color="D9D9D9" w:fill="D9D9D9"/>
            <w:noWrap/>
            <w:vAlign w:val="center"/>
            <w:hideMark/>
          </w:tcPr>
          <w:p w14:paraId="46DD4EBF" w14:textId="6F6C5CAA" w:rsidR="0059325C" w:rsidRPr="0059325C" w:rsidRDefault="0059325C" w:rsidP="0059325C">
            <w:pPr>
              <w:spacing w:after="0" w:line="240" w:lineRule="auto"/>
              <w:jc w:val="right"/>
              <w:rPr>
                <w:rFonts w:cs="Arial"/>
                <w:color w:val="222222"/>
                <w:sz w:val="20"/>
                <w:szCs w:val="20"/>
              </w:rPr>
            </w:pPr>
            <w:r w:rsidRPr="0059325C">
              <w:rPr>
                <w:rFonts w:cs="Arial"/>
                <w:color w:val="222222"/>
                <w:sz w:val="20"/>
                <w:szCs w:val="20"/>
              </w:rPr>
              <w:t xml:space="preserve"> Muerte </w:t>
            </w:r>
            <w:r w:rsidR="002E4B48">
              <w:rPr>
                <w:rFonts w:cs="Arial"/>
                <w:color w:val="222222"/>
                <w:sz w:val="20"/>
                <w:szCs w:val="20"/>
              </w:rPr>
              <w:t>US</w:t>
            </w:r>
            <w:r w:rsidRPr="0059325C">
              <w:rPr>
                <w:rFonts w:cs="Arial"/>
                <w:color w:val="222222"/>
                <w:sz w:val="20"/>
                <w:szCs w:val="20"/>
              </w:rPr>
              <w:t>$200</w:t>
            </w:r>
            <w:r w:rsidR="00544B63">
              <w:rPr>
                <w:rFonts w:cs="Arial"/>
                <w:color w:val="222222"/>
                <w:sz w:val="20"/>
                <w:szCs w:val="20"/>
              </w:rPr>
              <w:t xml:space="preserve"> </w:t>
            </w:r>
            <w:r w:rsidRPr="0059325C">
              <w:rPr>
                <w:rFonts w:cs="Arial"/>
                <w:color w:val="222222"/>
                <w:sz w:val="20"/>
                <w:szCs w:val="20"/>
              </w:rPr>
              <w:t>000,00</w:t>
            </w:r>
          </w:p>
        </w:tc>
        <w:tc>
          <w:tcPr>
            <w:tcW w:w="1040" w:type="pct"/>
            <w:tcBorders>
              <w:top w:val="nil"/>
              <w:left w:val="nil"/>
              <w:bottom w:val="nil"/>
              <w:right w:val="single" w:sz="4" w:space="0" w:color="BFBFBF"/>
            </w:tcBorders>
            <w:shd w:val="clear" w:color="D9D9D9" w:fill="D9D9D9"/>
            <w:noWrap/>
            <w:vAlign w:val="center"/>
            <w:hideMark/>
          </w:tcPr>
          <w:p w14:paraId="3322D5F8" w14:textId="0DE596C9" w:rsidR="0059325C" w:rsidRPr="0059325C" w:rsidRDefault="0059325C" w:rsidP="00D64C44">
            <w:pPr>
              <w:spacing w:after="0" w:line="240" w:lineRule="auto"/>
              <w:jc w:val="right"/>
              <w:rPr>
                <w:rFonts w:cs="Arial"/>
                <w:color w:val="000000"/>
                <w:sz w:val="20"/>
                <w:szCs w:val="20"/>
              </w:rPr>
            </w:pPr>
            <w:r w:rsidRPr="0059325C">
              <w:rPr>
                <w:rFonts w:cs="Arial"/>
                <w:color w:val="000000"/>
                <w:sz w:val="20"/>
                <w:szCs w:val="20"/>
              </w:rPr>
              <w:t> </w:t>
            </w:r>
            <w:r w:rsidR="002E4B48">
              <w:rPr>
                <w:rFonts w:cs="Arial"/>
                <w:color w:val="000000"/>
                <w:sz w:val="20"/>
                <w:szCs w:val="20"/>
              </w:rPr>
              <w:t>US</w:t>
            </w:r>
            <w:r w:rsidRPr="0059325C">
              <w:rPr>
                <w:rFonts w:cs="Arial"/>
                <w:color w:val="000000"/>
                <w:sz w:val="20"/>
                <w:szCs w:val="20"/>
              </w:rPr>
              <w:t>$4.590,00</w:t>
            </w:r>
          </w:p>
        </w:tc>
      </w:tr>
      <w:tr w:rsidR="0059325C" w:rsidRPr="0059325C" w14:paraId="1905F2D0"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322E4D93" w14:textId="77777777" w:rsidR="0059325C" w:rsidRPr="0059325C" w:rsidRDefault="0059325C" w:rsidP="0059325C">
            <w:pPr>
              <w:spacing w:after="0" w:line="240" w:lineRule="auto"/>
              <w:jc w:val="center"/>
              <w:rPr>
                <w:rFonts w:cs="Arial"/>
                <w:color w:val="000000"/>
                <w:sz w:val="20"/>
                <w:szCs w:val="20"/>
              </w:rPr>
            </w:pPr>
          </w:p>
        </w:tc>
        <w:tc>
          <w:tcPr>
            <w:tcW w:w="1517" w:type="pct"/>
            <w:tcBorders>
              <w:top w:val="nil"/>
              <w:left w:val="nil"/>
              <w:bottom w:val="nil"/>
              <w:right w:val="nil"/>
            </w:tcBorders>
            <w:shd w:val="clear" w:color="auto" w:fill="auto"/>
            <w:noWrap/>
            <w:vAlign w:val="center"/>
            <w:hideMark/>
          </w:tcPr>
          <w:p w14:paraId="3562C9FC" w14:textId="77777777" w:rsidR="0059325C" w:rsidRPr="0059325C" w:rsidRDefault="0059325C" w:rsidP="0059325C">
            <w:pPr>
              <w:spacing w:after="0" w:line="240" w:lineRule="auto"/>
              <w:jc w:val="left"/>
              <w:rPr>
                <w:rFonts w:cs="Arial"/>
                <w:sz w:val="20"/>
                <w:szCs w:val="20"/>
              </w:rPr>
            </w:pPr>
          </w:p>
        </w:tc>
        <w:tc>
          <w:tcPr>
            <w:tcW w:w="1521" w:type="pct"/>
            <w:tcBorders>
              <w:top w:val="nil"/>
              <w:left w:val="nil"/>
              <w:bottom w:val="nil"/>
              <w:right w:val="nil"/>
            </w:tcBorders>
            <w:shd w:val="clear" w:color="auto" w:fill="auto"/>
            <w:noWrap/>
            <w:vAlign w:val="center"/>
            <w:hideMark/>
          </w:tcPr>
          <w:p w14:paraId="29EB8A43" w14:textId="1E0E1D35" w:rsidR="0059325C" w:rsidRPr="0059325C" w:rsidRDefault="0059325C" w:rsidP="0059325C">
            <w:pPr>
              <w:spacing w:after="0" w:line="240" w:lineRule="auto"/>
              <w:jc w:val="right"/>
              <w:rPr>
                <w:rFonts w:cs="Arial"/>
                <w:color w:val="222222"/>
                <w:sz w:val="20"/>
                <w:szCs w:val="20"/>
              </w:rPr>
            </w:pPr>
            <w:r w:rsidRPr="0059325C">
              <w:rPr>
                <w:rFonts w:cs="Arial"/>
                <w:color w:val="222222"/>
                <w:sz w:val="20"/>
                <w:szCs w:val="20"/>
              </w:rPr>
              <w:t xml:space="preserve"> Gastos </w:t>
            </w:r>
            <w:r w:rsidR="002E4B48">
              <w:rPr>
                <w:rFonts w:cs="Arial"/>
                <w:color w:val="222222"/>
                <w:sz w:val="20"/>
                <w:szCs w:val="20"/>
              </w:rPr>
              <w:t>US</w:t>
            </w:r>
            <w:r w:rsidRPr="0059325C">
              <w:rPr>
                <w:rFonts w:cs="Arial"/>
                <w:color w:val="222222"/>
                <w:sz w:val="20"/>
                <w:szCs w:val="20"/>
              </w:rPr>
              <w:t>$</w:t>
            </w:r>
            <w:r w:rsidR="002E4B48">
              <w:rPr>
                <w:rFonts w:cs="Arial"/>
                <w:color w:val="222222"/>
                <w:sz w:val="20"/>
                <w:szCs w:val="20"/>
              </w:rPr>
              <w:t>1 0</w:t>
            </w:r>
            <w:r w:rsidRPr="0059325C">
              <w:rPr>
                <w:rFonts w:cs="Arial"/>
                <w:color w:val="222222"/>
                <w:sz w:val="20"/>
                <w:szCs w:val="20"/>
              </w:rPr>
              <w:t>00</w:t>
            </w:r>
            <w:r w:rsidR="00544B63">
              <w:rPr>
                <w:rFonts w:cs="Arial"/>
                <w:color w:val="222222"/>
                <w:sz w:val="20"/>
                <w:szCs w:val="20"/>
              </w:rPr>
              <w:t xml:space="preserve"> </w:t>
            </w:r>
            <w:r w:rsidRPr="0059325C">
              <w:rPr>
                <w:rFonts w:cs="Arial"/>
                <w:color w:val="222222"/>
                <w:sz w:val="20"/>
                <w:szCs w:val="20"/>
              </w:rPr>
              <w:t>000,00</w:t>
            </w:r>
          </w:p>
        </w:tc>
        <w:tc>
          <w:tcPr>
            <w:tcW w:w="1040" w:type="pct"/>
            <w:tcBorders>
              <w:top w:val="nil"/>
              <w:left w:val="nil"/>
              <w:bottom w:val="nil"/>
              <w:right w:val="single" w:sz="4" w:space="0" w:color="BFBFBF"/>
            </w:tcBorders>
            <w:shd w:val="clear" w:color="auto" w:fill="auto"/>
            <w:noWrap/>
            <w:vAlign w:val="center"/>
            <w:hideMark/>
          </w:tcPr>
          <w:p w14:paraId="4C23EB47" w14:textId="77777777" w:rsidR="0059325C" w:rsidRPr="0059325C" w:rsidRDefault="0059325C" w:rsidP="0059325C">
            <w:pPr>
              <w:spacing w:after="0" w:line="240" w:lineRule="auto"/>
              <w:jc w:val="right"/>
              <w:rPr>
                <w:rFonts w:cs="Arial"/>
                <w:color w:val="222222"/>
                <w:sz w:val="20"/>
                <w:szCs w:val="20"/>
              </w:rPr>
            </w:pPr>
          </w:p>
        </w:tc>
      </w:tr>
      <w:tr w:rsidR="0059325C" w:rsidRPr="0059325C" w14:paraId="24298B4A"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1440DE3F"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CAR-3762-00</w:t>
            </w:r>
          </w:p>
        </w:tc>
        <w:tc>
          <w:tcPr>
            <w:tcW w:w="1517" w:type="pct"/>
            <w:tcBorders>
              <w:top w:val="nil"/>
              <w:left w:val="nil"/>
              <w:bottom w:val="nil"/>
              <w:right w:val="nil"/>
            </w:tcBorders>
            <w:shd w:val="clear" w:color="D9D9D9" w:fill="D9D9D9"/>
            <w:noWrap/>
            <w:vAlign w:val="center"/>
            <w:hideMark/>
          </w:tcPr>
          <w:p w14:paraId="179AD1B5"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Carga General</w:t>
            </w:r>
          </w:p>
        </w:tc>
        <w:tc>
          <w:tcPr>
            <w:tcW w:w="1521" w:type="pct"/>
            <w:tcBorders>
              <w:top w:val="nil"/>
              <w:left w:val="nil"/>
              <w:bottom w:val="nil"/>
              <w:right w:val="nil"/>
            </w:tcBorders>
            <w:shd w:val="clear" w:color="D9D9D9" w:fill="D9D9D9"/>
            <w:noWrap/>
            <w:vAlign w:val="center"/>
            <w:hideMark/>
          </w:tcPr>
          <w:p w14:paraId="296BD6C9"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$1 500 000,00</w:t>
            </w:r>
          </w:p>
        </w:tc>
        <w:tc>
          <w:tcPr>
            <w:tcW w:w="1040" w:type="pct"/>
            <w:tcBorders>
              <w:top w:val="nil"/>
              <w:left w:val="nil"/>
              <w:bottom w:val="nil"/>
              <w:right w:val="single" w:sz="4" w:space="0" w:color="BFBFBF"/>
            </w:tcBorders>
            <w:shd w:val="clear" w:color="D9D9D9" w:fill="D9D9D9"/>
            <w:noWrap/>
            <w:vAlign w:val="center"/>
            <w:hideMark/>
          </w:tcPr>
          <w:p w14:paraId="291BA22E"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$1 618,15</w:t>
            </w:r>
          </w:p>
        </w:tc>
      </w:tr>
      <w:tr w:rsidR="00025947" w:rsidRPr="0059325C" w14:paraId="52077919"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68D161C8" w14:textId="77777777" w:rsidR="00025947" w:rsidRPr="0059325C" w:rsidRDefault="00025947" w:rsidP="00025947">
            <w:pPr>
              <w:spacing w:after="0" w:line="240" w:lineRule="auto"/>
              <w:jc w:val="left"/>
              <w:rPr>
                <w:rFonts w:cs="Arial"/>
                <w:color w:val="000000"/>
                <w:sz w:val="20"/>
                <w:szCs w:val="20"/>
              </w:rPr>
            </w:pPr>
            <w:r w:rsidRPr="0059325C">
              <w:rPr>
                <w:rFonts w:cs="Arial"/>
                <w:color w:val="000000"/>
                <w:sz w:val="20"/>
                <w:szCs w:val="20"/>
              </w:rPr>
              <w:t>CAR-9924-00</w:t>
            </w:r>
          </w:p>
        </w:tc>
        <w:tc>
          <w:tcPr>
            <w:tcW w:w="1517" w:type="pct"/>
            <w:tcBorders>
              <w:top w:val="nil"/>
              <w:left w:val="nil"/>
              <w:bottom w:val="nil"/>
              <w:right w:val="nil"/>
            </w:tcBorders>
            <w:shd w:val="clear" w:color="auto" w:fill="auto"/>
            <w:noWrap/>
            <w:vAlign w:val="center"/>
            <w:hideMark/>
          </w:tcPr>
          <w:p w14:paraId="43A135EF" w14:textId="77777777" w:rsidR="00025947" w:rsidRPr="0059325C" w:rsidRDefault="00025947" w:rsidP="00025947">
            <w:pPr>
              <w:spacing w:after="0" w:line="240" w:lineRule="auto"/>
              <w:jc w:val="left"/>
              <w:rPr>
                <w:rFonts w:cs="Arial"/>
                <w:color w:val="000000"/>
                <w:sz w:val="20"/>
                <w:szCs w:val="20"/>
              </w:rPr>
            </w:pPr>
            <w:r w:rsidRPr="0059325C">
              <w:rPr>
                <w:rFonts w:cs="Arial"/>
                <w:color w:val="000000"/>
                <w:sz w:val="20"/>
                <w:szCs w:val="20"/>
              </w:rPr>
              <w:t xml:space="preserve">Carga productos derivados </w:t>
            </w:r>
          </w:p>
        </w:tc>
        <w:tc>
          <w:tcPr>
            <w:tcW w:w="1521" w:type="pct"/>
            <w:tcBorders>
              <w:top w:val="nil"/>
              <w:left w:val="nil"/>
              <w:bottom w:val="nil"/>
              <w:right w:val="nil"/>
            </w:tcBorders>
            <w:shd w:val="clear" w:color="auto" w:fill="auto"/>
            <w:noWrap/>
            <w:vAlign w:val="bottom"/>
            <w:hideMark/>
          </w:tcPr>
          <w:p w14:paraId="1A9EEA78" w14:textId="1E833E84" w:rsidR="00025947" w:rsidRPr="0059325C" w:rsidRDefault="00025947" w:rsidP="00025947">
            <w:pPr>
              <w:spacing w:after="0" w:line="240" w:lineRule="auto"/>
              <w:jc w:val="right"/>
              <w:rPr>
                <w:rFonts w:cs="Arial"/>
                <w:color w:val="000000"/>
                <w:sz w:val="20"/>
                <w:szCs w:val="20"/>
              </w:rPr>
            </w:pPr>
            <w:r>
              <w:rPr>
                <w:rFonts w:cs="Arial"/>
                <w:sz w:val="20"/>
                <w:szCs w:val="20"/>
              </w:rPr>
              <w:t>US$650 000 000,00</w:t>
            </w:r>
          </w:p>
        </w:tc>
        <w:tc>
          <w:tcPr>
            <w:tcW w:w="1040" w:type="pct"/>
            <w:tcBorders>
              <w:top w:val="nil"/>
              <w:left w:val="nil"/>
              <w:bottom w:val="nil"/>
              <w:right w:val="single" w:sz="4" w:space="0" w:color="BFBFBF"/>
            </w:tcBorders>
            <w:shd w:val="clear" w:color="auto" w:fill="auto"/>
            <w:noWrap/>
            <w:vAlign w:val="bottom"/>
            <w:hideMark/>
          </w:tcPr>
          <w:p w14:paraId="5D95AC7F" w14:textId="2C0213A3" w:rsidR="00025947" w:rsidRPr="0059325C" w:rsidRDefault="00025947" w:rsidP="00025947">
            <w:pPr>
              <w:spacing w:after="0" w:line="240" w:lineRule="auto"/>
              <w:jc w:val="right"/>
              <w:rPr>
                <w:rFonts w:cs="Arial"/>
                <w:color w:val="000000"/>
                <w:sz w:val="20"/>
                <w:szCs w:val="20"/>
              </w:rPr>
            </w:pPr>
            <w:r>
              <w:rPr>
                <w:rFonts w:cs="Arial"/>
                <w:sz w:val="20"/>
                <w:szCs w:val="20"/>
              </w:rPr>
              <w:t>US$288 876,08</w:t>
            </w:r>
          </w:p>
        </w:tc>
      </w:tr>
      <w:tr w:rsidR="00630794" w:rsidRPr="0059325C" w14:paraId="71B82994"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03BDA2AE" w14:textId="77777777" w:rsidR="00630794" w:rsidRPr="0059325C" w:rsidRDefault="00630794" w:rsidP="00630794">
            <w:pPr>
              <w:spacing w:after="0" w:line="240" w:lineRule="auto"/>
              <w:jc w:val="left"/>
              <w:rPr>
                <w:rFonts w:cs="Arial"/>
                <w:color w:val="000000"/>
                <w:sz w:val="20"/>
                <w:szCs w:val="20"/>
              </w:rPr>
            </w:pPr>
            <w:r w:rsidRPr="0059325C">
              <w:rPr>
                <w:rFonts w:cs="Arial"/>
                <w:color w:val="000000"/>
                <w:sz w:val="20"/>
                <w:szCs w:val="20"/>
              </w:rPr>
              <w:t>RCG-0002977</w:t>
            </w:r>
          </w:p>
        </w:tc>
        <w:tc>
          <w:tcPr>
            <w:tcW w:w="1517" w:type="pct"/>
            <w:tcBorders>
              <w:top w:val="nil"/>
              <w:left w:val="nil"/>
              <w:bottom w:val="nil"/>
              <w:right w:val="nil"/>
            </w:tcBorders>
            <w:shd w:val="clear" w:color="D9D9D9" w:fill="D9D9D9"/>
            <w:noWrap/>
            <w:vAlign w:val="center"/>
            <w:hideMark/>
          </w:tcPr>
          <w:p w14:paraId="1D16A496" w14:textId="77777777" w:rsidR="00630794" w:rsidRPr="0059325C" w:rsidRDefault="00630794" w:rsidP="00630794">
            <w:pPr>
              <w:spacing w:after="0" w:line="240" w:lineRule="auto"/>
              <w:jc w:val="left"/>
              <w:rPr>
                <w:rFonts w:cs="Arial"/>
                <w:color w:val="000000"/>
                <w:sz w:val="20"/>
                <w:szCs w:val="20"/>
              </w:rPr>
            </w:pPr>
            <w:r w:rsidRPr="0059325C">
              <w:rPr>
                <w:rFonts w:cs="Arial"/>
                <w:color w:val="000000"/>
                <w:sz w:val="20"/>
                <w:szCs w:val="20"/>
              </w:rPr>
              <w:t>Responsabilidad Civil General</w:t>
            </w:r>
          </w:p>
        </w:tc>
        <w:tc>
          <w:tcPr>
            <w:tcW w:w="1521" w:type="pct"/>
            <w:tcBorders>
              <w:top w:val="nil"/>
              <w:left w:val="nil"/>
              <w:bottom w:val="nil"/>
              <w:right w:val="nil"/>
            </w:tcBorders>
            <w:shd w:val="clear" w:color="D9D9D9" w:fill="D9D9D9"/>
            <w:noWrap/>
            <w:vAlign w:val="bottom"/>
            <w:hideMark/>
          </w:tcPr>
          <w:p w14:paraId="08B4CAE3" w14:textId="425E65AC" w:rsidR="00630794" w:rsidRPr="0059325C" w:rsidRDefault="00630794" w:rsidP="00630794">
            <w:pPr>
              <w:spacing w:after="0" w:line="240" w:lineRule="auto"/>
              <w:jc w:val="right"/>
              <w:rPr>
                <w:rFonts w:cs="Arial"/>
                <w:color w:val="000000"/>
                <w:sz w:val="20"/>
                <w:szCs w:val="20"/>
              </w:rPr>
            </w:pPr>
            <w:r>
              <w:rPr>
                <w:rFonts w:cs="Arial"/>
                <w:sz w:val="20"/>
                <w:szCs w:val="20"/>
              </w:rPr>
              <w:t>US$2 000 000,00</w:t>
            </w:r>
          </w:p>
        </w:tc>
        <w:tc>
          <w:tcPr>
            <w:tcW w:w="1040" w:type="pct"/>
            <w:tcBorders>
              <w:top w:val="nil"/>
              <w:left w:val="nil"/>
              <w:bottom w:val="nil"/>
              <w:right w:val="single" w:sz="4" w:space="0" w:color="BFBFBF"/>
            </w:tcBorders>
            <w:shd w:val="clear" w:color="D9D9D9" w:fill="D9D9D9"/>
            <w:noWrap/>
            <w:vAlign w:val="bottom"/>
            <w:hideMark/>
          </w:tcPr>
          <w:p w14:paraId="1AD82961" w14:textId="3A6F5405" w:rsidR="00630794" w:rsidRPr="0059325C" w:rsidRDefault="00630794" w:rsidP="00630794">
            <w:pPr>
              <w:spacing w:after="0" w:line="240" w:lineRule="auto"/>
              <w:jc w:val="right"/>
              <w:rPr>
                <w:rFonts w:cs="Arial"/>
                <w:color w:val="000000"/>
                <w:sz w:val="20"/>
                <w:szCs w:val="20"/>
              </w:rPr>
            </w:pPr>
            <w:r>
              <w:rPr>
                <w:rFonts w:cs="Arial"/>
                <w:sz w:val="20"/>
                <w:szCs w:val="20"/>
              </w:rPr>
              <w:t>US$91 812,50</w:t>
            </w:r>
          </w:p>
        </w:tc>
      </w:tr>
      <w:tr w:rsidR="0059325C" w:rsidRPr="0059325C" w14:paraId="743550CC"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41200D93"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RCU-427</w:t>
            </w:r>
          </w:p>
        </w:tc>
        <w:tc>
          <w:tcPr>
            <w:tcW w:w="1517" w:type="pct"/>
            <w:tcBorders>
              <w:top w:val="nil"/>
              <w:left w:val="nil"/>
              <w:bottom w:val="nil"/>
              <w:right w:val="nil"/>
            </w:tcBorders>
            <w:shd w:val="clear" w:color="auto" w:fill="auto"/>
            <w:noWrap/>
            <w:vAlign w:val="center"/>
            <w:hideMark/>
          </w:tcPr>
          <w:p w14:paraId="05B58F28"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 xml:space="preserve">Responsabilidad Civil </w:t>
            </w:r>
            <w:r w:rsidR="004D0CB6">
              <w:rPr>
                <w:rFonts w:cs="Arial"/>
                <w:color w:val="000000"/>
                <w:sz w:val="20"/>
                <w:szCs w:val="20"/>
              </w:rPr>
              <w:t>“</w:t>
            </w:r>
            <w:r w:rsidRPr="0059325C">
              <w:rPr>
                <w:rFonts w:cs="Arial"/>
                <w:color w:val="000000"/>
                <w:sz w:val="20"/>
                <w:szCs w:val="20"/>
              </w:rPr>
              <w:t>Umbrella</w:t>
            </w:r>
            <w:r w:rsidR="004D0CB6">
              <w:rPr>
                <w:rFonts w:cs="Arial"/>
                <w:color w:val="000000"/>
                <w:sz w:val="20"/>
                <w:szCs w:val="20"/>
              </w:rPr>
              <w:t>”</w:t>
            </w:r>
          </w:p>
        </w:tc>
        <w:tc>
          <w:tcPr>
            <w:tcW w:w="1521" w:type="pct"/>
            <w:tcBorders>
              <w:top w:val="nil"/>
              <w:left w:val="nil"/>
              <w:bottom w:val="nil"/>
              <w:right w:val="nil"/>
            </w:tcBorders>
            <w:shd w:val="clear" w:color="auto" w:fill="auto"/>
            <w:noWrap/>
            <w:vAlign w:val="center"/>
            <w:hideMark/>
          </w:tcPr>
          <w:p w14:paraId="2141A156" w14:textId="797EBC73" w:rsidR="0059325C" w:rsidRPr="0059325C" w:rsidRDefault="009C47C9" w:rsidP="0059325C">
            <w:pPr>
              <w:spacing w:after="0" w:line="240" w:lineRule="auto"/>
              <w:jc w:val="right"/>
              <w:rPr>
                <w:rFonts w:cs="Arial"/>
                <w:color w:val="000000"/>
                <w:sz w:val="20"/>
                <w:szCs w:val="20"/>
              </w:rPr>
            </w:pPr>
            <w:r>
              <w:rPr>
                <w:rFonts w:cs="Arial"/>
                <w:color w:val="000000"/>
                <w:sz w:val="20"/>
                <w:szCs w:val="20"/>
              </w:rPr>
              <w:t>US</w:t>
            </w:r>
            <w:r w:rsidR="0059325C" w:rsidRPr="0059325C">
              <w:rPr>
                <w:rFonts w:cs="Arial"/>
                <w:color w:val="000000"/>
                <w:sz w:val="20"/>
                <w:szCs w:val="20"/>
              </w:rPr>
              <w:t>$5.000.000,00</w:t>
            </w:r>
          </w:p>
        </w:tc>
        <w:tc>
          <w:tcPr>
            <w:tcW w:w="1040" w:type="pct"/>
            <w:tcBorders>
              <w:top w:val="nil"/>
              <w:left w:val="nil"/>
              <w:bottom w:val="nil"/>
              <w:right w:val="single" w:sz="4" w:space="0" w:color="BFBFBF"/>
            </w:tcBorders>
            <w:shd w:val="clear" w:color="auto" w:fill="auto"/>
            <w:noWrap/>
            <w:vAlign w:val="center"/>
            <w:hideMark/>
          </w:tcPr>
          <w:p w14:paraId="6DD735BC" w14:textId="5406F185" w:rsidR="0059325C" w:rsidRPr="0059325C" w:rsidRDefault="009C47C9" w:rsidP="0059325C">
            <w:pPr>
              <w:spacing w:after="0" w:line="240" w:lineRule="auto"/>
              <w:jc w:val="right"/>
              <w:rPr>
                <w:rFonts w:cs="Arial"/>
                <w:color w:val="000000"/>
                <w:sz w:val="20"/>
                <w:szCs w:val="20"/>
              </w:rPr>
            </w:pPr>
            <w:r>
              <w:rPr>
                <w:rFonts w:cs="Arial"/>
                <w:color w:val="000000"/>
                <w:sz w:val="20"/>
                <w:szCs w:val="20"/>
              </w:rPr>
              <w:t>US</w:t>
            </w:r>
            <w:r w:rsidR="0059325C" w:rsidRPr="0059325C">
              <w:rPr>
                <w:rFonts w:cs="Arial"/>
                <w:color w:val="000000"/>
                <w:sz w:val="20"/>
                <w:szCs w:val="20"/>
              </w:rPr>
              <w:t>$</w:t>
            </w:r>
            <w:r w:rsidR="008F20A5" w:rsidRPr="0059325C">
              <w:rPr>
                <w:rFonts w:cs="Arial"/>
                <w:color w:val="000000"/>
                <w:sz w:val="20"/>
                <w:szCs w:val="20"/>
              </w:rPr>
              <w:t>6</w:t>
            </w:r>
            <w:r w:rsidR="008F20A5">
              <w:rPr>
                <w:rFonts w:cs="Arial"/>
                <w:color w:val="000000"/>
                <w:sz w:val="20"/>
                <w:szCs w:val="20"/>
              </w:rPr>
              <w:t>7 558</w:t>
            </w:r>
            <w:r w:rsidR="0059325C" w:rsidRPr="0059325C">
              <w:rPr>
                <w:rFonts w:cs="Arial"/>
                <w:color w:val="000000"/>
                <w:sz w:val="20"/>
                <w:szCs w:val="20"/>
              </w:rPr>
              <w:t>,</w:t>
            </w:r>
            <w:r w:rsidR="008F20A5">
              <w:rPr>
                <w:rFonts w:cs="Arial"/>
                <w:color w:val="000000"/>
                <w:sz w:val="20"/>
                <w:szCs w:val="20"/>
              </w:rPr>
              <w:t>61</w:t>
            </w:r>
          </w:p>
        </w:tc>
      </w:tr>
      <w:tr w:rsidR="0059325C" w:rsidRPr="0059325C" w14:paraId="4E8A8B8A" w14:textId="77777777" w:rsidTr="008E2266">
        <w:trPr>
          <w:trHeight w:val="258"/>
        </w:trPr>
        <w:tc>
          <w:tcPr>
            <w:tcW w:w="922" w:type="pct"/>
            <w:tcBorders>
              <w:top w:val="nil"/>
              <w:left w:val="single" w:sz="4" w:space="0" w:color="BFBFBF"/>
              <w:bottom w:val="nil"/>
              <w:right w:val="nil"/>
            </w:tcBorders>
            <w:shd w:val="clear" w:color="D9D9D9" w:fill="D9D9D9"/>
            <w:noWrap/>
            <w:vAlign w:val="center"/>
            <w:hideMark/>
          </w:tcPr>
          <w:p w14:paraId="3C69AAB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RCG-2214</w:t>
            </w:r>
          </w:p>
        </w:tc>
        <w:tc>
          <w:tcPr>
            <w:tcW w:w="1517" w:type="pct"/>
            <w:tcBorders>
              <w:top w:val="nil"/>
              <w:left w:val="nil"/>
              <w:bottom w:val="nil"/>
              <w:right w:val="nil"/>
            </w:tcBorders>
            <w:shd w:val="clear" w:color="D9D9D9" w:fill="D9D9D9"/>
            <w:noWrap/>
            <w:vAlign w:val="center"/>
            <w:hideMark/>
          </w:tcPr>
          <w:p w14:paraId="3CC69A53"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Responsabilidad Civil Aeropuertos</w:t>
            </w:r>
          </w:p>
        </w:tc>
        <w:tc>
          <w:tcPr>
            <w:tcW w:w="1521" w:type="pct"/>
            <w:tcBorders>
              <w:top w:val="nil"/>
              <w:left w:val="nil"/>
              <w:bottom w:val="nil"/>
              <w:right w:val="nil"/>
            </w:tcBorders>
            <w:shd w:val="clear" w:color="D9D9D9" w:fill="D9D9D9"/>
            <w:noWrap/>
            <w:vAlign w:val="center"/>
            <w:hideMark/>
          </w:tcPr>
          <w:p w14:paraId="2A1B4150" w14:textId="7440118A" w:rsidR="0059325C" w:rsidRPr="0059325C" w:rsidRDefault="009C47C9" w:rsidP="0059325C">
            <w:pPr>
              <w:spacing w:after="0" w:line="240" w:lineRule="auto"/>
              <w:jc w:val="right"/>
              <w:rPr>
                <w:rFonts w:cs="Arial"/>
                <w:color w:val="000000"/>
                <w:sz w:val="20"/>
                <w:szCs w:val="20"/>
              </w:rPr>
            </w:pPr>
            <w:r>
              <w:rPr>
                <w:rFonts w:cs="Arial"/>
                <w:color w:val="000000"/>
                <w:sz w:val="20"/>
                <w:szCs w:val="20"/>
              </w:rPr>
              <w:t>US</w:t>
            </w:r>
            <w:r w:rsidR="0059325C" w:rsidRPr="0059325C">
              <w:rPr>
                <w:rFonts w:cs="Arial"/>
                <w:color w:val="000000"/>
                <w:sz w:val="20"/>
                <w:szCs w:val="20"/>
              </w:rPr>
              <w:t>$100.000.000,00</w:t>
            </w:r>
          </w:p>
        </w:tc>
        <w:tc>
          <w:tcPr>
            <w:tcW w:w="1040" w:type="pct"/>
            <w:tcBorders>
              <w:top w:val="nil"/>
              <w:left w:val="nil"/>
              <w:bottom w:val="nil"/>
              <w:right w:val="single" w:sz="4" w:space="0" w:color="BFBFBF"/>
            </w:tcBorders>
            <w:shd w:val="clear" w:color="D9D9D9" w:fill="D9D9D9"/>
            <w:noWrap/>
            <w:vAlign w:val="center"/>
            <w:hideMark/>
          </w:tcPr>
          <w:p w14:paraId="72A567C3" w14:textId="05CF6EEA"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w:t>
            </w:r>
            <w:r w:rsidR="009C47C9" w:rsidRPr="0059325C">
              <w:rPr>
                <w:rFonts w:cs="Arial"/>
                <w:color w:val="000000"/>
                <w:sz w:val="20"/>
                <w:szCs w:val="20"/>
              </w:rPr>
              <w:t>7</w:t>
            </w:r>
            <w:r w:rsidR="009C47C9">
              <w:rPr>
                <w:rFonts w:cs="Arial"/>
                <w:color w:val="000000"/>
                <w:sz w:val="20"/>
                <w:szCs w:val="20"/>
              </w:rPr>
              <w:t>8</w:t>
            </w:r>
            <w:r w:rsidR="009C47C9" w:rsidRPr="0059325C">
              <w:rPr>
                <w:rFonts w:cs="Arial"/>
                <w:color w:val="000000"/>
                <w:sz w:val="20"/>
                <w:szCs w:val="20"/>
              </w:rPr>
              <w:t xml:space="preserve"> </w:t>
            </w:r>
            <w:r w:rsidR="009C47C9">
              <w:rPr>
                <w:rFonts w:cs="Arial"/>
                <w:color w:val="000000"/>
                <w:sz w:val="20"/>
                <w:szCs w:val="20"/>
              </w:rPr>
              <w:t>141</w:t>
            </w:r>
            <w:r w:rsidRPr="0059325C">
              <w:rPr>
                <w:rFonts w:cs="Arial"/>
                <w:color w:val="000000"/>
                <w:sz w:val="20"/>
                <w:szCs w:val="20"/>
              </w:rPr>
              <w:t>,</w:t>
            </w:r>
            <w:r w:rsidR="009C47C9">
              <w:rPr>
                <w:rFonts w:cs="Arial"/>
                <w:color w:val="000000"/>
                <w:sz w:val="20"/>
                <w:szCs w:val="20"/>
              </w:rPr>
              <w:t>43</w:t>
            </w:r>
          </w:p>
        </w:tc>
      </w:tr>
      <w:tr w:rsidR="0059325C" w:rsidRPr="0059325C" w14:paraId="340870C8" w14:textId="77777777" w:rsidTr="008E2266">
        <w:trPr>
          <w:trHeight w:val="258"/>
        </w:trPr>
        <w:tc>
          <w:tcPr>
            <w:tcW w:w="922" w:type="pct"/>
            <w:tcBorders>
              <w:top w:val="nil"/>
              <w:left w:val="single" w:sz="4" w:space="0" w:color="BFBFBF"/>
              <w:bottom w:val="nil"/>
              <w:right w:val="nil"/>
            </w:tcBorders>
            <w:shd w:val="clear" w:color="auto" w:fill="auto"/>
            <w:noWrap/>
            <w:vAlign w:val="center"/>
            <w:hideMark/>
          </w:tcPr>
          <w:p w14:paraId="341815F5"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CAL098-08</w:t>
            </w:r>
          </w:p>
        </w:tc>
        <w:tc>
          <w:tcPr>
            <w:tcW w:w="1517" w:type="pct"/>
            <w:tcBorders>
              <w:top w:val="nil"/>
              <w:left w:val="nil"/>
              <w:bottom w:val="nil"/>
              <w:right w:val="nil"/>
            </w:tcBorders>
            <w:shd w:val="clear" w:color="auto" w:fill="auto"/>
            <w:noWrap/>
            <w:vAlign w:val="center"/>
            <w:hideMark/>
          </w:tcPr>
          <w:p w14:paraId="1B0F3644"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Responsabilidad Civil Calderas</w:t>
            </w:r>
          </w:p>
        </w:tc>
        <w:tc>
          <w:tcPr>
            <w:tcW w:w="1521" w:type="pct"/>
            <w:tcBorders>
              <w:top w:val="nil"/>
              <w:left w:val="nil"/>
              <w:bottom w:val="nil"/>
              <w:right w:val="nil"/>
            </w:tcBorders>
            <w:shd w:val="clear" w:color="auto" w:fill="auto"/>
            <w:noWrap/>
            <w:vAlign w:val="center"/>
            <w:hideMark/>
          </w:tcPr>
          <w:p w14:paraId="31A19583"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₡750 000 000,00 </w:t>
            </w:r>
          </w:p>
        </w:tc>
        <w:tc>
          <w:tcPr>
            <w:tcW w:w="1040" w:type="pct"/>
            <w:tcBorders>
              <w:top w:val="nil"/>
              <w:left w:val="nil"/>
              <w:bottom w:val="nil"/>
              <w:right w:val="single" w:sz="4" w:space="0" w:color="BFBFBF"/>
            </w:tcBorders>
            <w:shd w:val="clear" w:color="auto" w:fill="auto"/>
            <w:noWrap/>
            <w:vAlign w:val="center"/>
            <w:hideMark/>
          </w:tcPr>
          <w:p w14:paraId="1EF18F05"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186 110,00</w:t>
            </w:r>
          </w:p>
        </w:tc>
      </w:tr>
      <w:tr w:rsidR="0059325C" w:rsidRPr="0059325C" w14:paraId="5E285357" w14:textId="77777777" w:rsidTr="008E2266">
        <w:trPr>
          <w:trHeight w:val="746"/>
        </w:trPr>
        <w:tc>
          <w:tcPr>
            <w:tcW w:w="922" w:type="pct"/>
            <w:tcBorders>
              <w:top w:val="nil"/>
              <w:left w:val="single" w:sz="4" w:space="0" w:color="BFBFBF"/>
              <w:bottom w:val="nil"/>
              <w:right w:val="nil"/>
            </w:tcBorders>
            <w:shd w:val="clear" w:color="D9D9D9" w:fill="D9D9D9"/>
            <w:noWrap/>
            <w:vAlign w:val="center"/>
            <w:hideMark/>
          </w:tcPr>
          <w:p w14:paraId="42DB8AD0"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AVI-600</w:t>
            </w:r>
          </w:p>
        </w:tc>
        <w:tc>
          <w:tcPr>
            <w:tcW w:w="1517" w:type="pct"/>
            <w:tcBorders>
              <w:top w:val="nil"/>
              <w:left w:val="nil"/>
              <w:bottom w:val="nil"/>
              <w:right w:val="nil"/>
            </w:tcBorders>
            <w:shd w:val="clear" w:color="D9D9D9" w:fill="D9D9D9"/>
            <w:noWrap/>
            <w:vAlign w:val="center"/>
            <w:hideMark/>
          </w:tcPr>
          <w:p w14:paraId="7B692573" w14:textId="77777777" w:rsidR="0059325C" w:rsidRPr="0059325C" w:rsidRDefault="0059325C" w:rsidP="0059325C">
            <w:pPr>
              <w:spacing w:after="0" w:line="240" w:lineRule="auto"/>
              <w:jc w:val="left"/>
              <w:rPr>
                <w:rFonts w:cs="Arial"/>
                <w:color w:val="000000"/>
                <w:sz w:val="20"/>
                <w:szCs w:val="20"/>
              </w:rPr>
            </w:pPr>
            <w:r w:rsidRPr="0059325C">
              <w:rPr>
                <w:rFonts w:cs="Arial"/>
                <w:color w:val="000000"/>
                <w:sz w:val="20"/>
                <w:szCs w:val="20"/>
              </w:rPr>
              <w:t>Seguro de Drones</w:t>
            </w:r>
          </w:p>
        </w:tc>
        <w:tc>
          <w:tcPr>
            <w:tcW w:w="1521" w:type="pct"/>
            <w:tcBorders>
              <w:top w:val="nil"/>
              <w:left w:val="nil"/>
              <w:bottom w:val="nil"/>
              <w:right w:val="nil"/>
            </w:tcBorders>
            <w:shd w:val="clear" w:color="D9D9D9" w:fill="D9D9D9"/>
            <w:noWrap/>
            <w:vAlign w:val="center"/>
            <w:hideMark/>
          </w:tcPr>
          <w:p w14:paraId="0BCEAF75" w14:textId="77777777"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 xml:space="preserve">₡24 000 000,00 </w:t>
            </w:r>
          </w:p>
        </w:tc>
        <w:tc>
          <w:tcPr>
            <w:tcW w:w="1040" w:type="pct"/>
            <w:tcBorders>
              <w:top w:val="nil"/>
              <w:left w:val="nil"/>
              <w:bottom w:val="nil"/>
              <w:right w:val="single" w:sz="4" w:space="0" w:color="BFBFBF"/>
            </w:tcBorders>
            <w:shd w:val="clear" w:color="D9D9D9" w:fill="D9D9D9"/>
            <w:noWrap/>
            <w:vAlign w:val="center"/>
            <w:hideMark/>
          </w:tcPr>
          <w:p w14:paraId="132DC697" w14:textId="517C1352" w:rsidR="0059325C" w:rsidRPr="0059325C" w:rsidRDefault="0059325C" w:rsidP="0059325C">
            <w:pPr>
              <w:spacing w:after="0" w:line="240" w:lineRule="auto"/>
              <w:jc w:val="right"/>
              <w:rPr>
                <w:rFonts w:cs="Arial"/>
                <w:color w:val="000000"/>
                <w:sz w:val="20"/>
                <w:szCs w:val="20"/>
              </w:rPr>
            </w:pPr>
            <w:r w:rsidRPr="0059325C">
              <w:rPr>
                <w:rFonts w:cs="Arial"/>
                <w:color w:val="000000"/>
                <w:sz w:val="20"/>
                <w:szCs w:val="20"/>
              </w:rPr>
              <w:t>₡</w:t>
            </w:r>
            <w:r w:rsidR="009C47C9">
              <w:rPr>
                <w:rFonts w:cs="Arial"/>
                <w:color w:val="000000"/>
                <w:sz w:val="20"/>
                <w:szCs w:val="20"/>
              </w:rPr>
              <w:t>6 041</w:t>
            </w:r>
            <w:r w:rsidRPr="0059325C">
              <w:rPr>
                <w:rFonts w:cs="Arial"/>
                <w:color w:val="000000"/>
                <w:sz w:val="20"/>
                <w:szCs w:val="20"/>
              </w:rPr>
              <w:t xml:space="preserve"> </w:t>
            </w:r>
            <w:r w:rsidR="009C47C9">
              <w:rPr>
                <w:rFonts w:cs="Arial"/>
                <w:color w:val="000000"/>
                <w:sz w:val="20"/>
                <w:szCs w:val="20"/>
              </w:rPr>
              <w:t>838</w:t>
            </w:r>
            <w:r w:rsidRPr="0059325C">
              <w:rPr>
                <w:rFonts w:cs="Arial"/>
                <w:color w:val="000000"/>
                <w:sz w:val="20"/>
                <w:szCs w:val="20"/>
              </w:rPr>
              <w:t>,00</w:t>
            </w:r>
          </w:p>
        </w:tc>
      </w:tr>
      <w:tr w:rsidR="00D64C44" w:rsidRPr="0059325C" w14:paraId="6B4447CA" w14:textId="77777777" w:rsidTr="008E2266">
        <w:trPr>
          <w:trHeight w:val="498"/>
        </w:trPr>
        <w:tc>
          <w:tcPr>
            <w:tcW w:w="4998" w:type="pct"/>
            <w:gridSpan w:val="4"/>
            <w:tcBorders>
              <w:top w:val="nil"/>
              <w:left w:val="single" w:sz="4" w:space="0" w:color="BFBFBF"/>
              <w:bottom w:val="nil"/>
              <w:right w:val="single" w:sz="4" w:space="0" w:color="BFBFBF"/>
            </w:tcBorders>
            <w:shd w:val="clear" w:color="auto" w:fill="auto"/>
            <w:noWrap/>
            <w:vAlign w:val="center"/>
            <w:hideMark/>
          </w:tcPr>
          <w:p w14:paraId="4C120B32" w14:textId="2EF1414C" w:rsidR="00D64C44" w:rsidRPr="0059325C" w:rsidRDefault="009C47C9" w:rsidP="0059325C">
            <w:pPr>
              <w:spacing w:after="0" w:line="240" w:lineRule="auto"/>
              <w:jc w:val="left"/>
              <w:rPr>
                <w:rFonts w:cs="Arial"/>
                <w:color w:val="000000"/>
                <w:sz w:val="20"/>
                <w:szCs w:val="20"/>
              </w:rPr>
            </w:pPr>
            <w:r w:rsidRPr="009C47C9">
              <w:rPr>
                <w:rFonts w:cs="Arial"/>
                <w:color w:val="000000"/>
                <w:sz w:val="20"/>
                <w:szCs w:val="20"/>
              </w:rPr>
              <w:t>(1)  Prima neta anual pagadera en tractos trimestrales de ₡58 943 555,00</w:t>
            </w:r>
          </w:p>
        </w:tc>
      </w:tr>
      <w:tr w:rsidR="00D64C44" w:rsidRPr="0059325C" w14:paraId="7FA1A1ED" w14:textId="77777777" w:rsidTr="008E2266">
        <w:trPr>
          <w:trHeight w:val="498"/>
        </w:trPr>
        <w:tc>
          <w:tcPr>
            <w:tcW w:w="4998" w:type="pct"/>
            <w:gridSpan w:val="4"/>
            <w:tcBorders>
              <w:top w:val="nil"/>
              <w:left w:val="single" w:sz="4" w:space="0" w:color="BFBFBF"/>
              <w:bottom w:val="nil"/>
              <w:right w:val="single" w:sz="4" w:space="0" w:color="BFBFBF"/>
            </w:tcBorders>
            <w:shd w:val="clear" w:color="D9D9D9" w:fill="D9D9D9"/>
            <w:noWrap/>
            <w:vAlign w:val="center"/>
            <w:hideMark/>
          </w:tcPr>
          <w:p w14:paraId="35830D4A" w14:textId="7862C6E1" w:rsidR="00D64C44" w:rsidRPr="0059325C" w:rsidRDefault="009C47C9" w:rsidP="0059325C">
            <w:pPr>
              <w:spacing w:after="0" w:line="240" w:lineRule="auto"/>
              <w:jc w:val="left"/>
              <w:rPr>
                <w:rFonts w:cs="Arial"/>
                <w:color w:val="000000"/>
                <w:sz w:val="20"/>
                <w:szCs w:val="20"/>
              </w:rPr>
            </w:pPr>
            <w:r w:rsidRPr="009C47C9">
              <w:rPr>
                <w:rFonts w:cs="Arial"/>
                <w:color w:val="000000"/>
                <w:sz w:val="20"/>
                <w:szCs w:val="20"/>
              </w:rPr>
              <w:t>(2)  La póliza se renueva a partir de 30 de julio de 2023.</w:t>
            </w:r>
          </w:p>
        </w:tc>
      </w:tr>
      <w:tr w:rsidR="00D64C44" w:rsidRPr="0059325C" w14:paraId="577C5FA6" w14:textId="77777777" w:rsidTr="008E2266">
        <w:trPr>
          <w:trHeight w:val="498"/>
        </w:trPr>
        <w:tc>
          <w:tcPr>
            <w:tcW w:w="4998" w:type="pct"/>
            <w:gridSpan w:val="4"/>
            <w:tcBorders>
              <w:top w:val="nil"/>
              <w:left w:val="single" w:sz="4" w:space="0" w:color="BFBFBF"/>
              <w:bottom w:val="nil"/>
              <w:right w:val="single" w:sz="4" w:space="0" w:color="BFBFBF"/>
            </w:tcBorders>
            <w:shd w:val="clear" w:color="auto" w:fill="auto"/>
            <w:noWrap/>
            <w:vAlign w:val="center"/>
            <w:hideMark/>
          </w:tcPr>
          <w:p w14:paraId="69F7C837" w14:textId="77777777" w:rsidR="009C47C9" w:rsidRDefault="009C47C9" w:rsidP="009C47C9">
            <w:pPr>
              <w:spacing w:after="0" w:line="240" w:lineRule="auto"/>
              <w:jc w:val="left"/>
              <w:rPr>
                <w:rFonts w:cs="Arial"/>
                <w:sz w:val="20"/>
                <w:szCs w:val="20"/>
              </w:rPr>
            </w:pPr>
            <w:r>
              <w:rPr>
                <w:rFonts w:cs="Arial"/>
                <w:sz w:val="20"/>
                <w:szCs w:val="20"/>
              </w:rPr>
              <w:t>(3)  Prima correspondiente a dos semestres de 2023.</w:t>
            </w:r>
          </w:p>
          <w:p w14:paraId="76CDFD53" w14:textId="3C214612" w:rsidR="00D64C44" w:rsidRPr="0059325C" w:rsidRDefault="00D64C44" w:rsidP="0059325C">
            <w:pPr>
              <w:spacing w:after="0" w:line="240" w:lineRule="auto"/>
              <w:jc w:val="left"/>
              <w:rPr>
                <w:rFonts w:cs="Arial"/>
                <w:sz w:val="20"/>
                <w:szCs w:val="20"/>
              </w:rPr>
            </w:pPr>
          </w:p>
        </w:tc>
      </w:tr>
      <w:tr w:rsidR="00D64C44" w:rsidRPr="0059325C" w14:paraId="75718302" w14:textId="77777777" w:rsidTr="008E2266">
        <w:trPr>
          <w:trHeight w:val="506"/>
        </w:trPr>
        <w:tc>
          <w:tcPr>
            <w:tcW w:w="4998" w:type="pct"/>
            <w:gridSpan w:val="4"/>
            <w:tcBorders>
              <w:top w:val="nil"/>
              <w:left w:val="single" w:sz="4" w:space="0" w:color="BFBFBF"/>
              <w:bottom w:val="nil"/>
              <w:right w:val="single" w:sz="4" w:space="0" w:color="BFBFBF"/>
            </w:tcBorders>
            <w:shd w:val="clear" w:color="D9D9D9" w:fill="D9D9D9"/>
            <w:noWrap/>
            <w:vAlign w:val="center"/>
            <w:hideMark/>
          </w:tcPr>
          <w:p w14:paraId="596E3EF1" w14:textId="638A07D3" w:rsidR="00D64C44" w:rsidRPr="0059325C" w:rsidRDefault="009C47C9" w:rsidP="0059325C">
            <w:pPr>
              <w:spacing w:after="0" w:line="240" w:lineRule="auto"/>
              <w:jc w:val="left"/>
              <w:rPr>
                <w:rFonts w:cs="Arial"/>
                <w:sz w:val="20"/>
                <w:szCs w:val="20"/>
              </w:rPr>
            </w:pPr>
            <w:r w:rsidRPr="009C47C9">
              <w:rPr>
                <w:rFonts w:cs="Arial"/>
                <w:color w:val="000000"/>
                <w:sz w:val="20"/>
                <w:szCs w:val="20"/>
              </w:rPr>
              <w:t>(4)  La prima del período fue cubierta con la liquidación de períodos anteriores.</w:t>
            </w:r>
          </w:p>
        </w:tc>
      </w:tr>
      <w:tr w:rsidR="00D64C44" w:rsidRPr="0059325C" w14:paraId="25BFDA44" w14:textId="77777777" w:rsidTr="008E2266">
        <w:trPr>
          <w:trHeight w:val="249"/>
        </w:trPr>
        <w:tc>
          <w:tcPr>
            <w:tcW w:w="4998" w:type="pct"/>
            <w:gridSpan w:val="4"/>
            <w:tcBorders>
              <w:top w:val="nil"/>
              <w:left w:val="single" w:sz="4" w:space="0" w:color="BFBFBF"/>
              <w:bottom w:val="nil"/>
              <w:right w:val="single" w:sz="4" w:space="0" w:color="BFBFBF"/>
            </w:tcBorders>
            <w:shd w:val="clear" w:color="auto" w:fill="auto"/>
            <w:noWrap/>
            <w:vAlign w:val="center"/>
            <w:hideMark/>
          </w:tcPr>
          <w:p w14:paraId="1EBBCD4E" w14:textId="449358D6" w:rsidR="00D64C44" w:rsidRPr="0059325C" w:rsidRDefault="009C47C9" w:rsidP="0059325C">
            <w:pPr>
              <w:spacing w:after="0" w:line="240" w:lineRule="auto"/>
              <w:jc w:val="left"/>
              <w:rPr>
                <w:rFonts w:cs="Arial"/>
                <w:sz w:val="20"/>
                <w:szCs w:val="20"/>
              </w:rPr>
            </w:pPr>
            <w:r w:rsidRPr="009C47C9">
              <w:rPr>
                <w:rFonts w:cs="Arial"/>
                <w:color w:val="000000"/>
                <w:sz w:val="20"/>
                <w:szCs w:val="20"/>
              </w:rPr>
              <w:t>(5)  La póliza renueva a partir del 1 de octubre 2023.</w:t>
            </w:r>
          </w:p>
        </w:tc>
      </w:tr>
      <w:tr w:rsidR="009C47C9" w:rsidRPr="0059325C" w14:paraId="7CCDB15F" w14:textId="77777777" w:rsidTr="008E2266">
        <w:trPr>
          <w:trHeight w:val="249"/>
        </w:trPr>
        <w:tc>
          <w:tcPr>
            <w:tcW w:w="4998" w:type="pct"/>
            <w:gridSpan w:val="4"/>
            <w:tcBorders>
              <w:top w:val="nil"/>
              <w:left w:val="single" w:sz="4" w:space="0" w:color="BFBFBF"/>
              <w:bottom w:val="nil"/>
              <w:right w:val="single" w:sz="4" w:space="0" w:color="BFBFBF"/>
            </w:tcBorders>
            <w:shd w:val="clear" w:color="auto" w:fill="auto"/>
            <w:noWrap/>
            <w:vAlign w:val="center"/>
          </w:tcPr>
          <w:p w14:paraId="3BE289CF" w14:textId="7DD92009" w:rsidR="009C47C9" w:rsidRPr="009C47C9" w:rsidRDefault="009C47C9" w:rsidP="0059325C">
            <w:pPr>
              <w:spacing w:after="0" w:line="240" w:lineRule="auto"/>
              <w:jc w:val="left"/>
              <w:rPr>
                <w:rFonts w:cs="Arial"/>
                <w:color w:val="000000"/>
                <w:sz w:val="20"/>
                <w:szCs w:val="20"/>
              </w:rPr>
            </w:pPr>
            <w:r w:rsidRPr="009C47C9">
              <w:rPr>
                <w:rFonts w:cs="Arial"/>
                <w:color w:val="000000"/>
                <w:sz w:val="20"/>
                <w:szCs w:val="20"/>
              </w:rPr>
              <w:t>(6)  La póliza renueva a partir de 9 de mayo 2023.</w:t>
            </w:r>
          </w:p>
        </w:tc>
      </w:tr>
      <w:tr w:rsidR="009C47C9" w:rsidRPr="0059325C" w14:paraId="62679C42" w14:textId="77777777" w:rsidTr="008E2266">
        <w:trPr>
          <w:trHeight w:val="249"/>
        </w:trPr>
        <w:tc>
          <w:tcPr>
            <w:tcW w:w="4998" w:type="pct"/>
            <w:gridSpan w:val="4"/>
            <w:tcBorders>
              <w:top w:val="nil"/>
              <w:left w:val="single" w:sz="4" w:space="0" w:color="BFBFBF"/>
              <w:bottom w:val="single" w:sz="4" w:space="0" w:color="BFBFBF"/>
              <w:right w:val="single" w:sz="4" w:space="0" w:color="BFBFBF"/>
            </w:tcBorders>
            <w:shd w:val="clear" w:color="auto" w:fill="auto"/>
            <w:noWrap/>
            <w:vAlign w:val="center"/>
          </w:tcPr>
          <w:p w14:paraId="548DE3C3" w14:textId="77777777" w:rsidR="009C47C9" w:rsidRPr="009C47C9" w:rsidRDefault="009C47C9" w:rsidP="0059325C">
            <w:pPr>
              <w:spacing w:after="0" w:line="240" w:lineRule="auto"/>
              <w:jc w:val="left"/>
              <w:rPr>
                <w:rFonts w:cs="Arial"/>
                <w:color w:val="000000"/>
                <w:sz w:val="20"/>
                <w:szCs w:val="20"/>
              </w:rPr>
            </w:pPr>
          </w:p>
        </w:tc>
      </w:tr>
    </w:tbl>
    <w:p w14:paraId="4C252DA2" w14:textId="77777777" w:rsidR="009277B4" w:rsidRPr="008E2266" w:rsidRDefault="00D2311E" w:rsidP="00DA3BD5">
      <w:pPr>
        <w:pStyle w:val="piedepgina0"/>
        <w:tabs>
          <w:tab w:val="left" w:pos="9270"/>
        </w:tabs>
        <w:rPr>
          <w:rFonts w:cs="Arial"/>
          <w:sz w:val="22"/>
        </w:rPr>
      </w:pPr>
      <w:r w:rsidRPr="006E6390">
        <w:rPr>
          <w:rFonts w:cs="Arial"/>
          <w:sz w:val="20"/>
          <w:szCs w:val="20"/>
        </w:rPr>
        <w:t>F</w:t>
      </w:r>
      <w:r w:rsidR="009277B4" w:rsidRPr="006E6390">
        <w:rPr>
          <w:rFonts w:cs="Arial"/>
          <w:sz w:val="20"/>
          <w:szCs w:val="20"/>
        </w:rPr>
        <w:t>uente: RECOPE</w:t>
      </w:r>
      <w:r w:rsidR="00FB444D" w:rsidRPr="006E6390">
        <w:rPr>
          <w:rFonts w:cs="Arial"/>
          <w:sz w:val="20"/>
          <w:szCs w:val="20"/>
        </w:rPr>
        <w:t xml:space="preserve"> Dirección </w:t>
      </w:r>
      <w:r w:rsidRPr="006E6390">
        <w:rPr>
          <w:rFonts w:cs="Arial"/>
          <w:sz w:val="20"/>
          <w:szCs w:val="20"/>
        </w:rPr>
        <w:t>Administrativa</w:t>
      </w:r>
    </w:p>
    <w:p w14:paraId="49546BE7" w14:textId="63C3E9B9" w:rsidR="009277B4" w:rsidRDefault="009277B4" w:rsidP="009277B4">
      <w:pPr>
        <w:tabs>
          <w:tab w:val="left" w:pos="9270"/>
        </w:tabs>
        <w:spacing w:after="200"/>
        <w:jc w:val="left"/>
        <w:rPr>
          <w:rFonts w:cs="Arial"/>
        </w:rPr>
      </w:pPr>
    </w:p>
    <w:p w14:paraId="4E4E808B" w14:textId="77777777" w:rsidR="00B86698" w:rsidRPr="008E2266" w:rsidRDefault="00B86698" w:rsidP="009277B4">
      <w:pPr>
        <w:tabs>
          <w:tab w:val="left" w:pos="9270"/>
        </w:tabs>
        <w:spacing w:after="200"/>
        <w:jc w:val="left"/>
        <w:rPr>
          <w:rFonts w:cs="Arial"/>
          <w:kern w:val="32"/>
          <w:lang w:eastAsia="es-MX"/>
        </w:rPr>
      </w:pPr>
    </w:p>
    <w:p w14:paraId="46BC64C5" w14:textId="77777777" w:rsidR="009277B4" w:rsidRPr="006E6390" w:rsidRDefault="009277B4" w:rsidP="00514A16">
      <w:pPr>
        <w:pStyle w:val="Ttulo1"/>
      </w:pPr>
      <w:bookmarkStart w:id="130" w:name="_Toc38630834"/>
      <w:r w:rsidRPr="006E6390">
        <w:lastRenderedPageBreak/>
        <w:t>5. Resultados de operación y financieros e información prospectiva (Opinión de la Gerencia)</w:t>
      </w:r>
      <w:bookmarkEnd w:id="130"/>
    </w:p>
    <w:p w14:paraId="4472A9F7" w14:textId="77777777" w:rsidR="009277B4" w:rsidRPr="006E6390" w:rsidRDefault="005C12EC" w:rsidP="005C12EC">
      <w:pPr>
        <w:pStyle w:val="Ttulo2"/>
      </w:pPr>
      <w:bookmarkStart w:id="131" w:name="_Toc38630835"/>
      <w:r w:rsidRPr="006E6390">
        <w:t xml:space="preserve">5.1 </w:t>
      </w:r>
      <w:r w:rsidR="009277B4" w:rsidRPr="006E6390">
        <w:t>Bases estratégicas de los últimos años</w:t>
      </w:r>
      <w:bookmarkEnd w:id="131"/>
    </w:p>
    <w:p w14:paraId="7DEF3EBF" w14:textId="4C2533CD" w:rsidR="005B1C40" w:rsidRDefault="005B1C40" w:rsidP="008E2266">
      <w:pPr>
        <w:spacing w:after="0"/>
      </w:pPr>
      <w:r w:rsidRPr="006E6390">
        <w:t>Dada la naturaleza de RECOPE de empresa pública, su desarrollo está enmarcado dentro de un conjunto de políticas públicas, articuladas a través del Plan Nacional de Desarrollo (PND), el Plan Nacional de Energía y la Estrategia Energética, las cuales se hacen extensivas a la Estrategia Nacional de Cambio Climático, Carbono Neutral y Paz con la Naturaleza.</w:t>
      </w:r>
    </w:p>
    <w:p w14:paraId="4A411112" w14:textId="77777777" w:rsidR="006F5C19" w:rsidRPr="006E6390" w:rsidRDefault="006F5C19" w:rsidP="008E2266">
      <w:pPr>
        <w:spacing w:after="0"/>
      </w:pPr>
    </w:p>
    <w:p w14:paraId="316A5223" w14:textId="3089AEB2" w:rsidR="00724F26" w:rsidRDefault="005B1C40">
      <w:pPr>
        <w:spacing w:after="0"/>
      </w:pPr>
      <w:r w:rsidRPr="00724F26">
        <w:t xml:space="preserve">El Plan Nacional de Desarrollo y de Inversión Pública </w:t>
      </w:r>
      <w:r w:rsidR="00724F26" w:rsidRPr="00724F26">
        <w:t>20</w:t>
      </w:r>
      <w:r w:rsidR="00724F26">
        <w:t>23</w:t>
      </w:r>
      <w:r w:rsidRPr="00724F26">
        <w:t>-</w:t>
      </w:r>
      <w:r w:rsidR="00724F26" w:rsidRPr="00724F26">
        <w:t>202</w:t>
      </w:r>
      <w:r w:rsidR="00724F26">
        <w:t>6 “Rogelio Fernández Güell”, en las páginas 63-64 señala los objetivos sectoriales del Sector Ambiente y Energía, dentro de ellos, el objetivo B establece lo siguiente:</w:t>
      </w:r>
    </w:p>
    <w:p w14:paraId="33F18624" w14:textId="63532584" w:rsidR="00724F26" w:rsidRDefault="00724F26">
      <w:pPr>
        <w:spacing w:after="0"/>
      </w:pPr>
    </w:p>
    <w:p w14:paraId="07D33749" w14:textId="7BCC9361" w:rsidR="00724F26" w:rsidRPr="008E2266" w:rsidRDefault="00724F26" w:rsidP="008E2266">
      <w:pPr>
        <w:spacing w:after="0"/>
        <w:ind w:left="567"/>
        <w:rPr>
          <w:i/>
          <w:iCs/>
        </w:rPr>
      </w:pPr>
      <w:r w:rsidRPr="008E2266">
        <w:rPr>
          <w:i/>
          <w:iCs/>
        </w:rPr>
        <w:t>“B. Mejorar la intensidad energética del país y el uso de energías renovables mediante la eficiencia energética, la electrificación de la matriz energética y la bioenergía, contribuyendo en la reducción de las emisiones”.</w:t>
      </w:r>
    </w:p>
    <w:p w14:paraId="723EE62C" w14:textId="0B5E2944" w:rsidR="00724F26" w:rsidRDefault="00724F26">
      <w:pPr>
        <w:spacing w:after="0"/>
      </w:pPr>
    </w:p>
    <w:p w14:paraId="3661D76B" w14:textId="54A1C70F" w:rsidR="00724F26" w:rsidRDefault="00724F26">
      <w:pPr>
        <w:spacing w:after="0"/>
      </w:pPr>
      <w:r>
        <w:t>Se establece como indicador relacionado con RECOPE el de “energía renovable utilizada por año y se establecen hitos anuales en Terajulios.</w:t>
      </w:r>
    </w:p>
    <w:p w14:paraId="5D5E7944" w14:textId="6301B6F7" w:rsidR="00724F26" w:rsidRDefault="00724F26">
      <w:pPr>
        <w:spacing w:after="0"/>
      </w:pPr>
    </w:p>
    <w:p w14:paraId="53D4FEF1" w14:textId="62A0584F" w:rsidR="00724F26" w:rsidRDefault="00724F26">
      <w:pPr>
        <w:spacing w:after="0"/>
      </w:pPr>
      <w:r>
        <w:t>Luego en la página 72 se encarga una tarea específica a RECOPE relacionada con el Plan Nacional de Energía, con el objetivo de:</w:t>
      </w:r>
    </w:p>
    <w:p w14:paraId="6CCEFC4F" w14:textId="782E67EE" w:rsidR="00724F26" w:rsidRDefault="00724F26">
      <w:pPr>
        <w:spacing w:after="0"/>
      </w:pPr>
    </w:p>
    <w:p w14:paraId="275611D8" w14:textId="1CADE9BE" w:rsidR="00724F26" w:rsidRPr="008E2266" w:rsidRDefault="00724F26" w:rsidP="008E2266">
      <w:pPr>
        <w:spacing w:after="0"/>
        <w:ind w:left="567"/>
        <w:rPr>
          <w:i/>
          <w:iCs/>
        </w:rPr>
      </w:pPr>
      <w:r w:rsidRPr="008E2266">
        <w:rPr>
          <w:i/>
          <w:iCs/>
        </w:rPr>
        <w:t>“Contribuir en la descarbonización de la matriz energética mediante la diversificación con fuentes bajas en carbono”.</w:t>
      </w:r>
    </w:p>
    <w:p w14:paraId="2E133918" w14:textId="032AD52F" w:rsidR="00724F26" w:rsidRDefault="00724F26">
      <w:pPr>
        <w:spacing w:after="0"/>
      </w:pPr>
    </w:p>
    <w:p w14:paraId="05CA4166" w14:textId="77777777" w:rsidR="00724F26" w:rsidRDefault="00724F26">
      <w:pPr>
        <w:spacing w:after="0"/>
      </w:pPr>
      <w:r>
        <w:t>Como indicador se establece el “porcentaje de etanol mezclado con gasolina”, que para 2026 deberá ser del 8%. Según la nota al pie 28 donde se señala que:</w:t>
      </w:r>
    </w:p>
    <w:p w14:paraId="4CC60097" w14:textId="77777777" w:rsidR="00724F26" w:rsidRDefault="00724F26">
      <w:pPr>
        <w:spacing w:after="0"/>
      </w:pPr>
    </w:p>
    <w:p w14:paraId="1D4119B5" w14:textId="40937EB6" w:rsidR="00724F26" w:rsidRPr="008E2266" w:rsidRDefault="00724F26" w:rsidP="008E2266">
      <w:pPr>
        <w:spacing w:after="0"/>
        <w:ind w:left="567"/>
        <w:rPr>
          <w:i/>
          <w:iCs/>
        </w:rPr>
      </w:pPr>
      <w:r>
        <w:t>“</w:t>
      </w:r>
      <w:r w:rsidRPr="008E2266">
        <w:rPr>
          <w:i/>
          <w:iCs/>
        </w:rPr>
        <w:t>el porcentaje de mezcla de 8% deberá ser oficializado y podrá ser modificado por el Ministerio del Ambiente y Energía (MINAE) mediante el instrumento jurídico correspondiente.  Como parte de las acciones complementarias para el año 2023 se programa el acondicionamiento de las instalaciones en las terminales de RECOPE para comercializar gasolinas mezcladas con etanol, y para los años 2024-2025 incorporar la mecla en las gasolinas de forma gradual incremental.  Por lo que se establece el cumplimiento de la meta al final del período”</w:t>
      </w:r>
    </w:p>
    <w:p w14:paraId="5FBC9CBB" w14:textId="415CDFAA" w:rsidR="00724F26" w:rsidRDefault="00724F26">
      <w:pPr>
        <w:spacing w:after="0"/>
      </w:pPr>
    </w:p>
    <w:p w14:paraId="22FD44C4" w14:textId="4601866D" w:rsidR="00724F26" w:rsidRDefault="00724F26">
      <w:pPr>
        <w:spacing w:after="0"/>
      </w:pPr>
      <w:r>
        <w:t>Se estima una inversión de US$17 millones.</w:t>
      </w:r>
    </w:p>
    <w:p w14:paraId="078D602F" w14:textId="77777777" w:rsidR="00724F26" w:rsidRDefault="00724F26">
      <w:pPr>
        <w:spacing w:after="0"/>
      </w:pPr>
    </w:p>
    <w:p w14:paraId="67FC8964" w14:textId="1DDFFF3D" w:rsidR="00724F26" w:rsidRPr="00724F26" w:rsidRDefault="00724F26" w:rsidP="008E2266">
      <w:pPr>
        <w:spacing w:after="0"/>
      </w:pPr>
      <w:r w:rsidRPr="008E2266">
        <w:t>Esta meta tiene cierta similitud a la establecida en el PNDI 2019-2022, por lo que se requieren algunos ajustes en el Plan Estratégico Empresarial que a la fecha se encuentra en revisión</w:t>
      </w:r>
      <w:r w:rsidR="00F23008">
        <w:t xml:space="preserve">, durante lo que resta de 2023 se espera que sea de conocimiento de la Junta </w:t>
      </w:r>
      <w:r w:rsidR="00F23008">
        <w:lastRenderedPageBreak/>
        <w:t xml:space="preserve">Directiva.  También </w:t>
      </w:r>
      <w:r w:rsidR="008E2266">
        <w:t>podrían</w:t>
      </w:r>
      <w:r w:rsidR="00F23008">
        <w:t xml:space="preserve"> requerirse algún ajuste de tipo normativo para implementar la meta establecida en el Plan Nacional de Desarrollo e Inversión Pública 2023-2026.</w:t>
      </w:r>
    </w:p>
    <w:p w14:paraId="0DF91EC6" w14:textId="77777777" w:rsidR="00724F26" w:rsidRDefault="00724F26">
      <w:pPr>
        <w:spacing w:after="0"/>
        <w:rPr>
          <w:rFonts w:cs="Arial"/>
        </w:rPr>
      </w:pPr>
    </w:p>
    <w:p w14:paraId="1BEDE7F8" w14:textId="0B1730FC" w:rsidR="005B1C40" w:rsidRDefault="005B1C40" w:rsidP="008E2266">
      <w:pPr>
        <w:spacing w:after="0"/>
        <w:rPr>
          <w:rFonts w:cs="Arial"/>
        </w:rPr>
      </w:pPr>
      <w:r w:rsidRPr="006E6390">
        <w:rPr>
          <w:rFonts w:cs="Arial"/>
        </w:rPr>
        <w:t>Este marco de políticas públicas es el fundamento de los principios rectores que RECOPE ha establecido para el desarrollo armónico del SNC</w:t>
      </w:r>
      <w:r w:rsidR="00724F26">
        <w:rPr>
          <w:rFonts w:cs="Arial"/>
        </w:rPr>
        <w:t>, pero que se encuentran también en este momento en revisión</w:t>
      </w:r>
      <w:r w:rsidRPr="006E6390">
        <w:rPr>
          <w:rFonts w:cs="Arial"/>
        </w:rPr>
        <w:t>:</w:t>
      </w:r>
    </w:p>
    <w:p w14:paraId="503459BD" w14:textId="77777777" w:rsidR="006F5C19" w:rsidRPr="006E6390" w:rsidRDefault="006F5C19" w:rsidP="008E2266">
      <w:pPr>
        <w:spacing w:after="0"/>
        <w:rPr>
          <w:rFonts w:cs="Arial"/>
        </w:rPr>
      </w:pPr>
    </w:p>
    <w:p w14:paraId="10E8CA25" w14:textId="77777777" w:rsidR="005B1C40" w:rsidRPr="006E6390" w:rsidRDefault="005B1C40" w:rsidP="005B1C40">
      <w:pPr>
        <w:rPr>
          <w:rFonts w:cs="Arial"/>
        </w:rPr>
      </w:pPr>
      <w:r w:rsidRPr="006E6390">
        <w:rPr>
          <w:rFonts w:cs="Arial"/>
          <w:b/>
        </w:rPr>
        <w:t>Disminuir la vulnerabilidad en el abastecimiento de los combustibles.</w:t>
      </w:r>
      <w:r w:rsidRPr="006E6390">
        <w:rPr>
          <w:rFonts w:cs="Arial"/>
        </w:rPr>
        <w:t xml:space="preserve"> Esto implica el desarrollo de proyectos que permitan un aprovisionamiento flexible de combustibles, aprovechando que el país cuenta con costas en el Pacífico y el Atlántico.  También se incluyen proyectos que tiendan a distribuir geográficamente el almacenamiento de inventarios estratégicos y la incorporación fuentes limpias de energía, particularmente de producción nacional, dentro de la matriz energética.</w:t>
      </w:r>
    </w:p>
    <w:p w14:paraId="4D9FB7FF" w14:textId="5BD7CBF0" w:rsidR="005B1C40" w:rsidRDefault="005B1C40" w:rsidP="008E2266">
      <w:pPr>
        <w:spacing w:after="0"/>
        <w:rPr>
          <w:rFonts w:cs="Arial"/>
        </w:rPr>
      </w:pPr>
      <w:r w:rsidRPr="006E6390">
        <w:rPr>
          <w:rFonts w:cs="Arial"/>
          <w:b/>
        </w:rPr>
        <w:t>Aumentar la capacidad de producción local.</w:t>
      </w:r>
      <w:r w:rsidRPr="006E6390">
        <w:rPr>
          <w:rFonts w:cs="Arial"/>
        </w:rPr>
        <w:t xml:space="preserve"> Se busca la implementación de proyectos que permitan aumentar el valor agregado de la empresa, en sus actividades industriales, mediante la apropiación de la renta petrolera.  De igual forma, se incorporan proyectos que permitan el desarrollo de encadenamientos productivos, que potencien el desarrollo regional y la calidad ambiental del país.</w:t>
      </w:r>
    </w:p>
    <w:p w14:paraId="00B7ABD4" w14:textId="77777777" w:rsidR="00A9486E" w:rsidRPr="006E6390" w:rsidRDefault="00A9486E" w:rsidP="005B1C40">
      <w:pPr>
        <w:rPr>
          <w:rFonts w:cs="Arial"/>
        </w:rPr>
      </w:pPr>
    </w:p>
    <w:p w14:paraId="03628137" w14:textId="71562317" w:rsidR="005B1C40" w:rsidRDefault="005B1C40" w:rsidP="008E2266">
      <w:pPr>
        <w:tabs>
          <w:tab w:val="left" w:pos="7371"/>
        </w:tabs>
        <w:spacing w:after="0"/>
        <w:rPr>
          <w:rFonts w:cs="Arial"/>
        </w:rPr>
      </w:pPr>
      <w:r w:rsidRPr="006E6390">
        <w:rPr>
          <w:rFonts w:cs="Arial"/>
          <w:b/>
        </w:rPr>
        <w:t>Profundizar el sistema de distribución.</w:t>
      </w:r>
      <w:r w:rsidRPr="006E6390">
        <w:rPr>
          <w:rFonts w:cs="Arial"/>
        </w:rPr>
        <w:t xml:space="preserve"> El desarrollo de proyectos que acerque a la empresa con los consumidores resulta necesario para mejorar la calidad del servicio que se brinda, potenciar oportunidades de desarrollo de nuevos productos y nichos de mercado.  Asimismo, se busca el desarrollo de proyectos que permitan realizar una distribución más eficiente y limpia de combustibles, por medio de una reducción en los recorridos promedio de punto a punto, del transporte por carretera.</w:t>
      </w:r>
    </w:p>
    <w:p w14:paraId="108D3001" w14:textId="77777777" w:rsidR="00A9486E" w:rsidRPr="006E6390" w:rsidRDefault="00A9486E" w:rsidP="008E2266">
      <w:pPr>
        <w:tabs>
          <w:tab w:val="left" w:pos="7371"/>
        </w:tabs>
        <w:spacing w:after="0"/>
        <w:rPr>
          <w:rFonts w:cs="Arial"/>
        </w:rPr>
      </w:pPr>
    </w:p>
    <w:p w14:paraId="7503CAB5" w14:textId="12E0943F" w:rsidR="005B1C40" w:rsidRDefault="005B1C40" w:rsidP="008E2266">
      <w:pPr>
        <w:spacing w:after="0"/>
        <w:rPr>
          <w:rFonts w:cs="Arial"/>
        </w:rPr>
      </w:pPr>
      <w:r w:rsidRPr="006E6390">
        <w:rPr>
          <w:rFonts w:cs="Arial"/>
        </w:rPr>
        <w:t>Dichos principios deben estar presentes, individual o conjuntamente, en el desarrollo de los diferentes subsistemas que conforman el SNC y que se materializan en la planificación y desarrollo de los proyectos de inversión.  El resultado esperado es disponer de un sistema que atienda las necesidades, actuales y futuras, de combustibles para la producción nacional.</w:t>
      </w:r>
    </w:p>
    <w:p w14:paraId="4CA401FD" w14:textId="77777777" w:rsidR="00A9486E" w:rsidRPr="006E6390" w:rsidRDefault="00A9486E" w:rsidP="008E2266">
      <w:pPr>
        <w:spacing w:after="0"/>
        <w:rPr>
          <w:rFonts w:cs="Arial"/>
        </w:rPr>
      </w:pPr>
    </w:p>
    <w:p w14:paraId="2D8476A5" w14:textId="14337126" w:rsidR="009277B4" w:rsidRDefault="009277B4" w:rsidP="008E2266">
      <w:pPr>
        <w:spacing w:after="0"/>
        <w:rPr>
          <w:rFonts w:cs="Arial"/>
          <w:noProof/>
          <w:lang w:val="es-MX"/>
        </w:rPr>
      </w:pPr>
      <w:r w:rsidRPr="006E6390">
        <w:rPr>
          <w:rFonts w:cs="Arial"/>
          <w:noProof/>
          <w:lang w:val="es-MX"/>
        </w:rPr>
        <w:t>El Plan Nacional de Desarrollo 2015-2018 “</w:t>
      </w:r>
      <w:r w:rsidRPr="006E6390">
        <w:rPr>
          <w:rFonts w:cs="Arial"/>
          <w:i/>
          <w:noProof/>
          <w:lang w:val="es-MX"/>
        </w:rPr>
        <w:t>Alberto Cañas Escalante</w:t>
      </w:r>
      <w:r w:rsidRPr="006E6390">
        <w:rPr>
          <w:rFonts w:cs="Arial"/>
          <w:noProof/>
          <w:lang w:val="es-MX"/>
        </w:rPr>
        <w:t>”, señala en su página 474 lo siguiente:</w:t>
      </w:r>
    </w:p>
    <w:p w14:paraId="148879DA" w14:textId="77777777" w:rsidR="00A9486E" w:rsidRPr="006E6390" w:rsidRDefault="00A9486E" w:rsidP="009277B4">
      <w:pPr>
        <w:rPr>
          <w:rFonts w:cs="Arial"/>
          <w:noProof/>
          <w:lang w:val="es-MX"/>
        </w:rPr>
      </w:pPr>
    </w:p>
    <w:p w14:paraId="4DC85934" w14:textId="3858C50F" w:rsidR="009277B4" w:rsidRDefault="009277B4" w:rsidP="008E2266">
      <w:pPr>
        <w:spacing w:after="0"/>
        <w:ind w:left="567" w:right="616"/>
        <w:rPr>
          <w:rFonts w:cs="Arial"/>
          <w:noProof/>
          <w:lang w:val="es-MX"/>
        </w:rPr>
      </w:pPr>
      <w:r w:rsidRPr="006E6390">
        <w:rPr>
          <w:rFonts w:cs="Arial"/>
          <w:i/>
          <w:noProof/>
          <w:lang w:val="es-MX"/>
        </w:rPr>
        <w:t>“…para fortalecer la estrategia de diversificación de la matriz energética del país se considera conveniente que RECOPE, en el marco del Plan Nacional de Desarrollo y como integrante del Sector Energía, subsector combustibles, continúe participando en la investigación, evaluación y desarrollo de proyectos relacionados con las energías alternativas como son el alcohol, el biodiesel, la biomasa, el hidrógeno, el gas natural, entre otras, como forma de producción de energías sostenibles, alternativas y amigables con el ambiente.</w:t>
      </w:r>
      <w:r w:rsidRPr="006E6390">
        <w:rPr>
          <w:rFonts w:cs="Arial"/>
          <w:noProof/>
          <w:lang w:val="es-MX"/>
        </w:rPr>
        <w:t>”</w:t>
      </w:r>
    </w:p>
    <w:p w14:paraId="408CAC63" w14:textId="77777777" w:rsidR="00A9486E" w:rsidRPr="006E6390" w:rsidRDefault="00A9486E" w:rsidP="005B1C40">
      <w:pPr>
        <w:ind w:left="567" w:right="616"/>
        <w:rPr>
          <w:rFonts w:cs="Arial"/>
          <w:noProof/>
          <w:lang w:val="es-MX"/>
        </w:rPr>
      </w:pPr>
    </w:p>
    <w:p w14:paraId="1A1301C0" w14:textId="77777777" w:rsidR="009277B4" w:rsidRPr="006E6390" w:rsidRDefault="005C12EC" w:rsidP="005C12EC">
      <w:pPr>
        <w:pStyle w:val="Ttulo2"/>
      </w:pPr>
      <w:bookmarkStart w:id="132" w:name="_Toc38630836"/>
      <w:r w:rsidRPr="006E6390">
        <w:t xml:space="preserve">5.2 </w:t>
      </w:r>
      <w:r w:rsidR="009277B4" w:rsidRPr="006E6390">
        <w:t>Desarrollo de la infraestructura</w:t>
      </w:r>
      <w:bookmarkEnd w:id="132"/>
    </w:p>
    <w:p w14:paraId="6636DEC4" w14:textId="42432BA7" w:rsidR="009277B4" w:rsidRDefault="009277B4" w:rsidP="008E2266">
      <w:pPr>
        <w:tabs>
          <w:tab w:val="left" w:pos="9270"/>
        </w:tabs>
        <w:spacing w:after="0"/>
        <w:rPr>
          <w:rFonts w:cs="Arial"/>
        </w:rPr>
      </w:pPr>
      <w:r w:rsidRPr="006E6390">
        <w:rPr>
          <w:rFonts w:cs="Arial"/>
        </w:rPr>
        <w:t>En el Plan de Acción se establecen objetivos concretos en relación con el desarrollo de una serie de proyectos de infraestructura, pues su consecución permitiría mejorar las condiciones de operación y reducir costos operativos y eliminación de cuellos de botella, sino también a reducir la vulnerabilidad en el abastecimiento.</w:t>
      </w:r>
    </w:p>
    <w:p w14:paraId="25EE8341" w14:textId="77777777" w:rsidR="00A9486E" w:rsidRPr="006E6390" w:rsidRDefault="00A9486E" w:rsidP="008E2266">
      <w:pPr>
        <w:tabs>
          <w:tab w:val="left" w:pos="9270"/>
        </w:tabs>
        <w:spacing w:after="0"/>
        <w:rPr>
          <w:rFonts w:cs="Arial"/>
        </w:rPr>
      </w:pPr>
    </w:p>
    <w:p w14:paraId="620CF1FF" w14:textId="7580980D" w:rsidR="009277B4" w:rsidRDefault="009277B4" w:rsidP="008E2266">
      <w:pPr>
        <w:tabs>
          <w:tab w:val="left" w:pos="9270"/>
        </w:tabs>
        <w:spacing w:after="0"/>
        <w:rPr>
          <w:rFonts w:cs="Arial"/>
        </w:rPr>
      </w:pPr>
      <w:r w:rsidRPr="006E6390">
        <w:rPr>
          <w:rFonts w:cs="Arial"/>
        </w:rPr>
        <w:t>Desde el año 2012, la empresa inició el desarrollo de un importante conjunto de proyectos de inversión, que buscan ampliar el Sistema Nacional de Combustibles, a saber:</w:t>
      </w:r>
    </w:p>
    <w:p w14:paraId="61562501" w14:textId="77777777" w:rsidR="00A9486E" w:rsidRPr="006E6390" w:rsidRDefault="00A9486E" w:rsidP="009277B4">
      <w:pPr>
        <w:tabs>
          <w:tab w:val="left" w:pos="9270"/>
        </w:tabs>
        <w:rPr>
          <w:rFonts w:cs="Arial"/>
        </w:rPr>
      </w:pPr>
    </w:p>
    <w:p w14:paraId="25ACB9F3" w14:textId="3B7ABB7E" w:rsidR="009277B4" w:rsidRDefault="009277B4" w:rsidP="00F275AD">
      <w:pPr>
        <w:pStyle w:val="Prrafodelista"/>
        <w:numPr>
          <w:ilvl w:val="0"/>
          <w:numId w:val="8"/>
        </w:numPr>
        <w:tabs>
          <w:tab w:val="left" w:pos="9270"/>
        </w:tabs>
        <w:ind w:left="284" w:hanging="284"/>
        <w:rPr>
          <w:rFonts w:cs="Arial"/>
        </w:rPr>
      </w:pPr>
      <w:r w:rsidRPr="006E6390">
        <w:rPr>
          <w:rFonts w:cs="Arial"/>
        </w:rPr>
        <w:t xml:space="preserve">Ampliación del Terminal Portuario Petrolera del Atlántico (ATPPA). Se </w:t>
      </w:r>
      <w:r w:rsidR="00E50F61" w:rsidRPr="006E6390">
        <w:rPr>
          <w:rFonts w:cs="Arial"/>
        </w:rPr>
        <w:t xml:space="preserve">construyó el puesto 5.0 contiguo </w:t>
      </w:r>
      <w:r w:rsidRPr="006E6390">
        <w:rPr>
          <w:rFonts w:cs="Arial"/>
        </w:rPr>
        <w:t>al actual puesto de atraque 5.1, en el Complejo Portuario de Moín, y como una ampliación del rompeolas norte de 200 m medidos en la cresta.  La dársena de maniobras tendrá un radio de giro de 170 m y 17,25 m de profundidad se ubica frente a la plataforma de carga y el canal de acceso tendrá dirección norte franco y 16,25 m profundidad.</w:t>
      </w:r>
    </w:p>
    <w:p w14:paraId="6E779C73" w14:textId="77777777" w:rsidR="00A9486E" w:rsidRPr="006E6390" w:rsidRDefault="00A9486E" w:rsidP="008E2266">
      <w:pPr>
        <w:pStyle w:val="Prrafodelista"/>
        <w:tabs>
          <w:tab w:val="left" w:pos="9270"/>
        </w:tabs>
        <w:spacing w:after="0"/>
        <w:ind w:left="284"/>
        <w:rPr>
          <w:rFonts w:cs="Arial"/>
        </w:rPr>
      </w:pPr>
    </w:p>
    <w:p w14:paraId="6E6671D9" w14:textId="6149038B" w:rsidR="00EA2D63" w:rsidRDefault="00ED11F0" w:rsidP="008E2266">
      <w:pPr>
        <w:pStyle w:val="Default"/>
        <w:spacing w:line="276" w:lineRule="auto"/>
        <w:ind w:left="284"/>
        <w:jc w:val="both"/>
        <w:rPr>
          <w:rFonts w:ascii="Arial" w:hAnsi="Arial" w:cs="Arial"/>
          <w:color w:val="auto"/>
          <w:sz w:val="22"/>
          <w:szCs w:val="22"/>
        </w:rPr>
      </w:pPr>
      <w:r w:rsidRPr="006E6390">
        <w:rPr>
          <w:rFonts w:ascii="Arial" w:hAnsi="Arial" w:cs="Arial"/>
          <w:color w:val="auto"/>
          <w:sz w:val="22"/>
          <w:szCs w:val="22"/>
        </w:rPr>
        <w:t>S</w:t>
      </w:r>
      <w:r w:rsidR="009277B4" w:rsidRPr="006E6390">
        <w:rPr>
          <w:rFonts w:ascii="Arial" w:hAnsi="Arial" w:cs="Arial"/>
          <w:color w:val="auto"/>
          <w:sz w:val="22"/>
          <w:szCs w:val="22"/>
        </w:rPr>
        <w:t>e realizó el dragado y se extrajo un volumen de 2</w:t>
      </w:r>
      <w:r w:rsidR="0015017B" w:rsidRPr="006E6390">
        <w:rPr>
          <w:rFonts w:ascii="Arial" w:hAnsi="Arial" w:cs="Arial"/>
          <w:color w:val="auto"/>
          <w:sz w:val="22"/>
          <w:szCs w:val="22"/>
        </w:rPr>
        <w:t xml:space="preserve"> </w:t>
      </w:r>
      <w:r w:rsidR="009277B4" w:rsidRPr="006E6390">
        <w:rPr>
          <w:rFonts w:ascii="Arial" w:hAnsi="Arial" w:cs="Arial"/>
          <w:color w:val="auto"/>
          <w:sz w:val="22"/>
          <w:szCs w:val="22"/>
        </w:rPr>
        <w:t>276</w:t>
      </w:r>
      <w:r w:rsidR="0015017B" w:rsidRPr="006E6390">
        <w:rPr>
          <w:rFonts w:ascii="Arial" w:hAnsi="Arial" w:cs="Arial"/>
          <w:color w:val="auto"/>
          <w:sz w:val="22"/>
          <w:szCs w:val="22"/>
        </w:rPr>
        <w:t xml:space="preserve"> </w:t>
      </w:r>
      <w:r w:rsidR="009277B4" w:rsidRPr="006E6390">
        <w:rPr>
          <w:rFonts w:ascii="Arial" w:hAnsi="Arial" w:cs="Arial"/>
          <w:color w:val="auto"/>
          <w:sz w:val="22"/>
          <w:szCs w:val="22"/>
        </w:rPr>
        <w:t>083 metros cúbicos</w:t>
      </w:r>
      <w:r w:rsidRPr="006E6390">
        <w:rPr>
          <w:rFonts w:ascii="Arial" w:hAnsi="Arial" w:cs="Arial"/>
          <w:color w:val="auto"/>
          <w:sz w:val="22"/>
          <w:szCs w:val="22"/>
        </w:rPr>
        <w:t xml:space="preserve">, así como una </w:t>
      </w:r>
      <w:r w:rsidR="009277B4" w:rsidRPr="006E6390">
        <w:rPr>
          <w:rFonts w:ascii="Arial" w:hAnsi="Arial" w:cs="Arial"/>
          <w:color w:val="auto"/>
          <w:sz w:val="22"/>
          <w:szCs w:val="22"/>
        </w:rPr>
        <w:t xml:space="preserve">ampliación del rompeolas norte en 200 metros, </w:t>
      </w:r>
      <w:r w:rsidR="002D4F6A" w:rsidRPr="006E6390">
        <w:rPr>
          <w:rFonts w:ascii="Arial" w:hAnsi="Arial" w:cs="Arial"/>
          <w:color w:val="auto"/>
          <w:sz w:val="22"/>
          <w:szCs w:val="22"/>
        </w:rPr>
        <w:t>se construyeron</w:t>
      </w:r>
      <w:r w:rsidR="00EA2D63" w:rsidRPr="006E6390">
        <w:rPr>
          <w:rFonts w:ascii="Arial" w:hAnsi="Arial" w:cs="Arial"/>
          <w:color w:val="auto"/>
          <w:sz w:val="22"/>
          <w:szCs w:val="22"/>
        </w:rPr>
        <w:t xml:space="preserve"> </w:t>
      </w:r>
      <w:r w:rsidR="009277B4" w:rsidRPr="006E6390">
        <w:rPr>
          <w:rFonts w:ascii="Arial" w:hAnsi="Arial" w:cs="Arial"/>
          <w:color w:val="auto"/>
          <w:sz w:val="22"/>
          <w:szCs w:val="22"/>
        </w:rPr>
        <w:t xml:space="preserve">duques de </w:t>
      </w:r>
      <w:r w:rsidR="002D4F6A" w:rsidRPr="006E6390">
        <w:rPr>
          <w:rFonts w:ascii="Arial" w:hAnsi="Arial" w:cs="Arial"/>
          <w:color w:val="auto"/>
          <w:sz w:val="22"/>
          <w:szCs w:val="22"/>
        </w:rPr>
        <w:t xml:space="preserve">alba para el </w:t>
      </w:r>
      <w:r w:rsidR="009277B4" w:rsidRPr="006E6390">
        <w:rPr>
          <w:rFonts w:ascii="Arial" w:hAnsi="Arial" w:cs="Arial"/>
          <w:color w:val="auto"/>
          <w:sz w:val="22"/>
          <w:szCs w:val="22"/>
        </w:rPr>
        <w:t xml:space="preserve">atraque y amarre, bodega de derrames y </w:t>
      </w:r>
      <w:r w:rsidR="002D4F6A" w:rsidRPr="006E6390">
        <w:rPr>
          <w:rFonts w:ascii="Arial" w:hAnsi="Arial" w:cs="Arial"/>
          <w:color w:val="auto"/>
          <w:sz w:val="22"/>
          <w:szCs w:val="22"/>
        </w:rPr>
        <w:t xml:space="preserve">la </w:t>
      </w:r>
      <w:r w:rsidR="009277B4" w:rsidRPr="006E6390">
        <w:rPr>
          <w:rFonts w:ascii="Arial" w:hAnsi="Arial" w:cs="Arial"/>
          <w:color w:val="auto"/>
          <w:sz w:val="22"/>
          <w:szCs w:val="22"/>
        </w:rPr>
        <w:t xml:space="preserve">Sala de Control. </w:t>
      </w:r>
    </w:p>
    <w:p w14:paraId="4919DA17" w14:textId="77777777" w:rsidR="00A9486E" w:rsidRPr="006E6390" w:rsidRDefault="00A9486E" w:rsidP="008E2266">
      <w:pPr>
        <w:pStyle w:val="Default"/>
        <w:spacing w:line="276" w:lineRule="auto"/>
        <w:ind w:left="284"/>
        <w:jc w:val="both"/>
        <w:rPr>
          <w:rFonts w:ascii="Arial" w:hAnsi="Arial" w:cs="Arial"/>
          <w:color w:val="auto"/>
          <w:sz w:val="22"/>
          <w:szCs w:val="22"/>
        </w:rPr>
      </w:pPr>
    </w:p>
    <w:p w14:paraId="6B2A721D" w14:textId="65AF98C7" w:rsidR="00484802" w:rsidRDefault="009277B4" w:rsidP="004822A3">
      <w:pPr>
        <w:pStyle w:val="Prrafodelista"/>
        <w:numPr>
          <w:ilvl w:val="0"/>
          <w:numId w:val="8"/>
        </w:numPr>
        <w:tabs>
          <w:tab w:val="left" w:pos="9270"/>
        </w:tabs>
        <w:spacing w:after="0"/>
        <w:ind w:left="284" w:hanging="284"/>
        <w:contextualSpacing w:val="0"/>
        <w:rPr>
          <w:rFonts w:cs="Arial"/>
        </w:rPr>
      </w:pPr>
      <w:r w:rsidRPr="006E6390">
        <w:rPr>
          <w:rFonts w:cs="Arial"/>
        </w:rPr>
        <w:t>Aún se encuentran en fase de ejecución un conjunto de tanques</w:t>
      </w:r>
      <w:r w:rsidR="00E21667" w:rsidRPr="006E6390">
        <w:rPr>
          <w:rFonts w:cs="Arial"/>
        </w:rPr>
        <w:t xml:space="preserve"> complementarios a la construcción de la nue</w:t>
      </w:r>
      <w:r w:rsidR="00484802" w:rsidRPr="006E6390">
        <w:rPr>
          <w:rFonts w:cs="Arial"/>
        </w:rPr>
        <w:t xml:space="preserve">va Terminal Portuaria, a saber: </w:t>
      </w:r>
      <w:r w:rsidR="00E21667" w:rsidRPr="006E6390">
        <w:rPr>
          <w:rFonts w:cs="Arial"/>
        </w:rPr>
        <w:t>un tanque de búnker con capacidad total de 15</w:t>
      </w:r>
      <w:r w:rsidR="0015017B" w:rsidRPr="006E6390">
        <w:rPr>
          <w:rFonts w:cs="Arial"/>
        </w:rPr>
        <w:t xml:space="preserve"> </w:t>
      </w:r>
      <w:r w:rsidR="00E21667" w:rsidRPr="006E6390">
        <w:rPr>
          <w:rFonts w:cs="Arial"/>
        </w:rPr>
        <w:t>899 m³ (100</w:t>
      </w:r>
      <w:r w:rsidR="0015017B" w:rsidRPr="006E6390">
        <w:rPr>
          <w:rFonts w:cs="Arial"/>
        </w:rPr>
        <w:t xml:space="preserve"> </w:t>
      </w:r>
      <w:r w:rsidR="00E21667" w:rsidRPr="006E6390">
        <w:rPr>
          <w:rFonts w:cs="Arial"/>
        </w:rPr>
        <w:t xml:space="preserve">000 bls), </w:t>
      </w:r>
      <w:r w:rsidR="00484802" w:rsidRPr="006E6390">
        <w:rPr>
          <w:rFonts w:cs="Arial"/>
        </w:rPr>
        <w:t>tanque para almacenamiento de diésel de 55</w:t>
      </w:r>
      <w:r w:rsidR="0015017B" w:rsidRPr="006E6390">
        <w:rPr>
          <w:rFonts w:cs="Arial"/>
        </w:rPr>
        <w:t xml:space="preserve"> </w:t>
      </w:r>
      <w:r w:rsidR="00484802" w:rsidRPr="006E6390">
        <w:rPr>
          <w:rFonts w:cs="Arial"/>
        </w:rPr>
        <w:t>740 m³ (350</w:t>
      </w:r>
      <w:r w:rsidR="0015017B" w:rsidRPr="006E6390">
        <w:rPr>
          <w:rFonts w:cs="Arial"/>
        </w:rPr>
        <w:t xml:space="preserve"> </w:t>
      </w:r>
      <w:r w:rsidR="00484802" w:rsidRPr="006E6390">
        <w:rPr>
          <w:rFonts w:cs="Arial"/>
        </w:rPr>
        <w:t>545 barriles) de capacidad nominal</w:t>
      </w:r>
      <w:r w:rsidR="00484802" w:rsidRPr="00015FF3">
        <w:rPr>
          <w:rFonts w:cs="Arial"/>
        </w:rPr>
        <w:t xml:space="preserve">. </w:t>
      </w:r>
      <w:r w:rsidR="00A72966" w:rsidRPr="00015FF3">
        <w:rPr>
          <w:rFonts w:cs="Arial"/>
        </w:rPr>
        <w:t xml:space="preserve"> </w:t>
      </w:r>
      <w:r w:rsidR="00484802" w:rsidRPr="00015FF3">
        <w:rPr>
          <w:rFonts w:cs="Arial"/>
        </w:rPr>
        <w:t xml:space="preserve">Estos </w:t>
      </w:r>
      <w:r w:rsidR="004822A3">
        <w:rPr>
          <w:rFonts w:cs="Arial"/>
        </w:rPr>
        <w:t>do</w:t>
      </w:r>
      <w:r w:rsidR="004822A3" w:rsidRPr="00015FF3">
        <w:rPr>
          <w:rFonts w:cs="Arial"/>
        </w:rPr>
        <w:t xml:space="preserve">s </w:t>
      </w:r>
      <w:r w:rsidR="00484802" w:rsidRPr="00015FF3">
        <w:rPr>
          <w:rFonts w:cs="Arial"/>
        </w:rPr>
        <w:t>tanques estaban siendo construidos por la misma empresa contratista y debido a los atrasos en la ejecución, RECOPE inició el proceso de resolución contractual</w:t>
      </w:r>
      <w:r w:rsidR="00BA23A7" w:rsidRPr="00015FF3">
        <w:rPr>
          <w:rFonts w:cs="Arial"/>
        </w:rPr>
        <w:t xml:space="preserve">; el avance acumulado al 31 de diciembre de </w:t>
      </w:r>
      <w:r w:rsidR="00E50F61" w:rsidRPr="00015FF3">
        <w:rPr>
          <w:rFonts w:cs="Arial"/>
        </w:rPr>
        <w:t xml:space="preserve">2020 </w:t>
      </w:r>
      <w:r w:rsidR="00BA23A7" w:rsidRPr="00015FF3">
        <w:rPr>
          <w:rFonts w:cs="Arial"/>
        </w:rPr>
        <w:t xml:space="preserve">era del 86,4%.  </w:t>
      </w:r>
    </w:p>
    <w:p w14:paraId="7A3B71C2" w14:textId="77777777" w:rsidR="004822A3" w:rsidRPr="006E6390" w:rsidRDefault="004822A3" w:rsidP="008E2266">
      <w:pPr>
        <w:pStyle w:val="Prrafodelista"/>
        <w:tabs>
          <w:tab w:val="left" w:pos="9270"/>
        </w:tabs>
        <w:spacing w:after="0"/>
        <w:ind w:left="284"/>
        <w:contextualSpacing w:val="0"/>
        <w:rPr>
          <w:rFonts w:cs="Arial"/>
        </w:rPr>
      </w:pPr>
    </w:p>
    <w:p w14:paraId="5668AC1C" w14:textId="1C850182" w:rsidR="00484802" w:rsidRDefault="009277B4" w:rsidP="008E2266">
      <w:pPr>
        <w:pStyle w:val="Prrafodelista"/>
        <w:numPr>
          <w:ilvl w:val="0"/>
          <w:numId w:val="8"/>
        </w:numPr>
        <w:tabs>
          <w:tab w:val="left" w:pos="9270"/>
        </w:tabs>
        <w:spacing w:after="0"/>
        <w:ind w:left="284" w:hanging="284"/>
        <w:contextualSpacing w:val="0"/>
        <w:rPr>
          <w:rFonts w:cs="Arial"/>
        </w:rPr>
      </w:pPr>
      <w:r w:rsidRPr="006E6390">
        <w:rPr>
          <w:rFonts w:cs="Arial"/>
        </w:rPr>
        <w:t xml:space="preserve">Sistema de Almacenamiento de Gas Licuado de Petróleo. </w:t>
      </w:r>
      <w:r w:rsidR="00A72966">
        <w:rPr>
          <w:rFonts w:cs="Arial"/>
        </w:rPr>
        <w:t xml:space="preserve"> </w:t>
      </w:r>
      <w:r w:rsidRPr="006E6390">
        <w:rPr>
          <w:rFonts w:cs="Arial"/>
        </w:rPr>
        <w:t xml:space="preserve">El proyecto abarca todo el proceso del gas licuado de petróleo (GLP), desde la importación hasta la venta en el </w:t>
      </w:r>
      <w:r w:rsidR="00465C19">
        <w:rPr>
          <w:rFonts w:cs="Arial"/>
        </w:rPr>
        <w:t>terminal</w:t>
      </w:r>
      <w:r w:rsidRPr="006E6390">
        <w:rPr>
          <w:rFonts w:cs="Arial"/>
        </w:rPr>
        <w:t xml:space="preserve"> de Distribución en Moín, consiste en la ampliación de las capacidades de importación, almacenamiento y ventas de GLP. </w:t>
      </w:r>
      <w:r w:rsidR="008132E9" w:rsidRPr="006E6390">
        <w:rPr>
          <w:rFonts w:cs="Arial"/>
        </w:rPr>
        <w:t xml:space="preserve"> </w:t>
      </w:r>
      <w:r w:rsidR="00484802" w:rsidRPr="006E6390">
        <w:rPr>
          <w:rFonts w:cs="Arial"/>
        </w:rPr>
        <w:t>Algunos componentes del proyecto (Etapas A y B) ya fueron capitalizados y se encuentran en la fase operativa, a saber: Esfera de GLP (7711) con una capacidad total de 3</w:t>
      </w:r>
      <w:r w:rsidR="00A94B2D" w:rsidRPr="006E6390">
        <w:rPr>
          <w:rFonts w:cs="Arial"/>
        </w:rPr>
        <w:t xml:space="preserve"> </w:t>
      </w:r>
      <w:r w:rsidR="00484802" w:rsidRPr="006E6390">
        <w:rPr>
          <w:rFonts w:cs="Arial"/>
        </w:rPr>
        <w:t>385 m³ (21</w:t>
      </w:r>
      <w:r w:rsidR="002D4F6A" w:rsidRPr="006E6390">
        <w:rPr>
          <w:rFonts w:cs="Arial"/>
        </w:rPr>
        <w:t xml:space="preserve"> </w:t>
      </w:r>
      <w:r w:rsidR="00484802" w:rsidRPr="006E6390">
        <w:rPr>
          <w:rFonts w:cs="Arial"/>
        </w:rPr>
        <w:t>293 barriles), y seis recipientes cilíndricos horizontales de GLP de 259 m³ cada uno (1</w:t>
      </w:r>
      <w:r w:rsidR="00A94B2D" w:rsidRPr="006E6390">
        <w:rPr>
          <w:rFonts w:cs="Arial"/>
        </w:rPr>
        <w:t xml:space="preserve"> </w:t>
      </w:r>
      <w:r w:rsidR="00484802" w:rsidRPr="006E6390">
        <w:rPr>
          <w:rFonts w:cs="Arial"/>
        </w:rPr>
        <w:t>632 barriles).</w:t>
      </w:r>
    </w:p>
    <w:p w14:paraId="1D959FD8" w14:textId="77777777" w:rsidR="00A9486E" w:rsidRPr="006E6390" w:rsidRDefault="00A9486E" w:rsidP="008E2266">
      <w:pPr>
        <w:pStyle w:val="Prrafodelista"/>
        <w:tabs>
          <w:tab w:val="left" w:pos="9270"/>
        </w:tabs>
        <w:spacing w:after="0"/>
        <w:ind w:left="284"/>
        <w:contextualSpacing w:val="0"/>
        <w:rPr>
          <w:rFonts w:cs="Arial"/>
        </w:rPr>
      </w:pPr>
    </w:p>
    <w:p w14:paraId="089F8578" w14:textId="143E7405" w:rsidR="009277B4" w:rsidRDefault="00484802" w:rsidP="008E2266">
      <w:pPr>
        <w:spacing w:after="0"/>
        <w:ind w:left="284"/>
      </w:pPr>
      <w:r w:rsidRPr="006E6390">
        <w:t xml:space="preserve">La </w:t>
      </w:r>
      <w:r w:rsidR="009277B4" w:rsidRPr="006E6390">
        <w:t>Etapa C</w:t>
      </w:r>
      <w:r w:rsidRPr="006E6390">
        <w:t xml:space="preserve"> del Proyecto consiste en la construcción de c</w:t>
      </w:r>
      <w:r w:rsidR="009277B4" w:rsidRPr="006E6390">
        <w:t>uatro esferas con capacidad de 3</w:t>
      </w:r>
      <w:r w:rsidR="00A94B2D" w:rsidRPr="006E6390">
        <w:t xml:space="preserve"> </w:t>
      </w:r>
      <w:r w:rsidR="009277B4" w:rsidRPr="006E6390">
        <w:t>385 m³ (21</w:t>
      </w:r>
      <w:r w:rsidR="00A94B2D" w:rsidRPr="006E6390">
        <w:t xml:space="preserve"> </w:t>
      </w:r>
      <w:r w:rsidR="009277B4" w:rsidRPr="006E6390">
        <w:t>293 barriles), sus interconexiones, cuarto de control, sistema de recuperación de vapores y desmantelamiento de la esfera YT-770.  Fue adjudicada a Felguera I.H.I. mediante la Lici</w:t>
      </w:r>
      <w:r w:rsidRPr="006E6390">
        <w:t>tación Pública 2011LN-000009-02 y a</w:t>
      </w:r>
      <w:r w:rsidR="009277B4" w:rsidRPr="006E6390">
        <w:t xml:space="preserve">ctualmente se </w:t>
      </w:r>
      <w:r w:rsidR="009277B4" w:rsidRPr="006E6390">
        <w:lastRenderedPageBreak/>
        <w:t>encuentra en proceso de resolución contractual</w:t>
      </w:r>
      <w:r w:rsidRPr="006E6390">
        <w:t>,</w:t>
      </w:r>
      <w:r w:rsidR="009277B4" w:rsidRPr="006E6390">
        <w:t xml:space="preserve"> dado que contratista prácticamente detuvo trabajos en primer semestre de 2018.</w:t>
      </w:r>
    </w:p>
    <w:p w14:paraId="3AF5AF1F" w14:textId="77777777" w:rsidR="00A9486E" w:rsidRPr="006E6390" w:rsidRDefault="00A9486E" w:rsidP="008E2266">
      <w:pPr>
        <w:spacing w:after="0"/>
        <w:ind w:left="284"/>
      </w:pPr>
    </w:p>
    <w:p w14:paraId="6ACFF128" w14:textId="77777777" w:rsidR="00250049" w:rsidRDefault="005D2CA9" w:rsidP="008E2266">
      <w:pPr>
        <w:spacing w:after="0"/>
        <w:ind w:left="284"/>
      </w:pPr>
      <w:r w:rsidRPr="006E6390">
        <w:t>C</w:t>
      </w:r>
      <w:r w:rsidR="009277B4" w:rsidRPr="006E6390">
        <w:t xml:space="preserve">on personal propio de la empresa, se </w:t>
      </w:r>
      <w:r w:rsidRPr="006E6390">
        <w:t xml:space="preserve">trabajó </w:t>
      </w:r>
      <w:r w:rsidR="009277B4" w:rsidRPr="006E6390">
        <w:t xml:space="preserve">en las pruebas y puesta en marcha de dos esferas que estaban prácticamente listas: YT-7714 e YT-7715, </w:t>
      </w:r>
      <w:r w:rsidR="00B80EE5" w:rsidRPr="006E6390">
        <w:t xml:space="preserve">ambas fueron puestas en operación en el último trimestre de </w:t>
      </w:r>
      <w:r w:rsidR="009277B4" w:rsidRPr="006E6390">
        <w:t>2020</w:t>
      </w:r>
      <w:r w:rsidR="00250049" w:rsidRPr="006E6390">
        <w:t>.</w:t>
      </w:r>
    </w:p>
    <w:p w14:paraId="161CBCF6" w14:textId="77777777" w:rsidR="00A9486E" w:rsidRDefault="00A9486E" w:rsidP="008E2266">
      <w:pPr>
        <w:spacing w:after="0"/>
      </w:pPr>
    </w:p>
    <w:p w14:paraId="46637DF2" w14:textId="35978B54" w:rsidR="00495327" w:rsidRDefault="008D197B" w:rsidP="008E2266">
      <w:pPr>
        <w:spacing w:after="0"/>
      </w:pPr>
      <w:r>
        <w:t xml:space="preserve">Durante el año 2021 la relación Deuda/PIB del Gobierno superó el 60%, con lo cual se activó la restricción prevista en el Título IV de la Ley 9635 conocida como “Regla Fiscal” no solamente al gasto </w:t>
      </w:r>
      <w:r w:rsidR="002B1782">
        <w:t>corriente,</w:t>
      </w:r>
      <w:r>
        <w:t xml:space="preserve"> sino que también a la inversión o gasto de capital.  En ese sentido, de acuerdo con los escenarios valorados en las proyecciones plurianuales 2021-2025 realizadas en el marco del proyecto de Presupuesto Ordinario 2022 se identificó que la inversión anual debía rondar los </w:t>
      </w:r>
      <w:r>
        <w:rPr>
          <w:rFonts w:cs="Arial"/>
        </w:rPr>
        <w:t>₡</w:t>
      </w:r>
      <w:r>
        <w:t>14 mil millones en 2022, lo cual es poco más de la mitad de lo que usualmente RECOPE invierte.  Esto f</w:t>
      </w:r>
      <w:r w:rsidR="00495327">
        <w:t xml:space="preserve">ue señalado por la Contraloría General de la República acerca del proyecto de Terminal Pacífico, por esta razón se recomendó y así la Junta Directiva lo avaló, utilizar figuras como el Fideicomiso de Obra Pública (FOP) o Alianza Público Privada (APP), la que resultara más económica.  Si bien se optó por el FOP para el caso de la Terminal Pacífico; dicho proyecto pasó por una revisión exhaustiva del estudio de factibilidad que conllevó semanas de trabajo conjunto, al final, no se logró el aval para el inicio de negociaciones que hubiera permitido la selección de un fiduciario.  La actual Administración </w:t>
      </w:r>
      <w:r w:rsidR="003E6AF0">
        <w:t>decidió,</w:t>
      </w:r>
      <w:r w:rsidR="00495327">
        <w:t xml:space="preserve"> por lo tanto, realizar un estudio exhaustivo de si se continuaba o no con dicho proyecto y la decisión fue la de no continuar</w:t>
      </w:r>
      <w:r w:rsidR="008E030E">
        <w:t xml:space="preserve">, tal y como consta en el </w:t>
      </w:r>
      <w:r w:rsidR="003E6AF0">
        <w:t xml:space="preserve">Artículo </w:t>
      </w:r>
      <w:r w:rsidR="0073050D">
        <w:t>#4</w:t>
      </w:r>
      <w:r w:rsidR="003E6AF0">
        <w:t xml:space="preserve"> de la Sesión Ordinaria </w:t>
      </w:r>
      <w:r w:rsidR="0073050D">
        <w:t>#5318</w:t>
      </w:r>
      <w:r w:rsidR="003E6AF0">
        <w:t>-</w:t>
      </w:r>
      <w:r w:rsidR="0073050D">
        <w:t>16</w:t>
      </w:r>
      <w:r w:rsidR="003E6AF0">
        <w:t xml:space="preserve"> de </w:t>
      </w:r>
      <w:r w:rsidR="0073050D">
        <w:t>20</w:t>
      </w:r>
      <w:r w:rsidR="003E6AF0">
        <w:t xml:space="preserve"> de septiembre de 2022 (se adjunta nota JD-0</w:t>
      </w:r>
      <w:r w:rsidR="0073050D">
        <w:t>274</w:t>
      </w:r>
      <w:r w:rsidR="003E6AF0">
        <w:t>-2022).</w:t>
      </w:r>
    </w:p>
    <w:p w14:paraId="5D716892" w14:textId="77777777" w:rsidR="00C21605" w:rsidRDefault="00C21605" w:rsidP="008E2266">
      <w:pPr>
        <w:spacing w:after="0"/>
      </w:pPr>
    </w:p>
    <w:p w14:paraId="71E394D6" w14:textId="016E2E53" w:rsidR="008D197B" w:rsidRDefault="00500876" w:rsidP="008E2266">
      <w:pPr>
        <w:spacing w:after="0"/>
      </w:pPr>
      <w:r>
        <w:t xml:space="preserve">Por lo tanto, las posibilidades de financiación por medio de créditos directos, emisiones de valores, entre otros, quedan muy limitadas de utilizarse </w:t>
      </w:r>
      <w:r w:rsidR="00726F41">
        <w:t xml:space="preserve">al menos hasta 2026- debido al tope de ejecución presupuestaria que impone la Regla Fiscal en el actual contexto económico del país.  Se visualiza la posibilidad de utilizar el FOP, los </w:t>
      </w:r>
      <w:r w:rsidR="00FF6B65">
        <w:t>leasings operativos</w:t>
      </w:r>
      <w:r w:rsidR="00726F41">
        <w:t xml:space="preserve"> u otras figuras similares, mientras los aportes o gastos asociados queden dentro de los límites de gasto total permitidos.</w:t>
      </w:r>
    </w:p>
    <w:p w14:paraId="7AF3C7A4" w14:textId="77777777" w:rsidR="00C21605" w:rsidRPr="006E6390" w:rsidRDefault="00C21605" w:rsidP="008D197B"/>
    <w:p w14:paraId="42D1D379" w14:textId="77777777" w:rsidR="009277B4" w:rsidRPr="006E6390" w:rsidRDefault="005C12EC" w:rsidP="005C12EC">
      <w:pPr>
        <w:pStyle w:val="Ttulo2"/>
      </w:pPr>
      <w:bookmarkStart w:id="133" w:name="_Toc38630837"/>
      <w:r w:rsidRPr="006E6390">
        <w:t xml:space="preserve">5.3 </w:t>
      </w:r>
      <w:r w:rsidR="009277B4" w:rsidRPr="006E6390">
        <w:t>Compromiso con el ambiente</w:t>
      </w:r>
      <w:bookmarkEnd w:id="133"/>
    </w:p>
    <w:p w14:paraId="06AA9B02" w14:textId="336D8F06" w:rsidR="009277B4" w:rsidRDefault="009277B4" w:rsidP="008E2266">
      <w:pPr>
        <w:tabs>
          <w:tab w:val="left" w:pos="9270"/>
        </w:tabs>
        <w:spacing w:after="0"/>
        <w:rPr>
          <w:rFonts w:cs="Arial"/>
        </w:rPr>
      </w:pPr>
      <w:r w:rsidRPr="006E6390">
        <w:rPr>
          <w:rFonts w:cs="Arial"/>
        </w:rPr>
        <w:t>RECOPE, en el marco de la política ambiental definida en el Plan Nacional de Desarrollo 2011-2014 “María Teresa Obregón Zamora” y considerando los efectos que sobre el ambiente y la salud de las personas provoca el azufre de los combustibles, impulsó la reducción del contenido de azufre en el diésel de 500ppm a 50ppm; razón por la cual, desde noviembre 2010, empezó la importación de diésel con un contenido de azufre de 15ppm, a efectos de “limpiar”, por medio de la rotación de inventarios, el sistema de suministro de diésel y, de esta forma, estar en capacidad de ofrecer al mercado dicho producto con un contenido de azufre de 50ppm a partir de enero de 2011.</w:t>
      </w:r>
    </w:p>
    <w:p w14:paraId="0D14ABE7" w14:textId="77777777" w:rsidR="00C21605" w:rsidRPr="006E6390" w:rsidRDefault="00C21605" w:rsidP="008E2266">
      <w:pPr>
        <w:tabs>
          <w:tab w:val="left" w:pos="9270"/>
        </w:tabs>
        <w:spacing w:after="0"/>
        <w:rPr>
          <w:rFonts w:cs="Arial"/>
        </w:rPr>
      </w:pPr>
    </w:p>
    <w:p w14:paraId="5A094B3B" w14:textId="21AABE1D" w:rsidR="009277B4" w:rsidRPr="007B446F" w:rsidRDefault="009277B4" w:rsidP="008E2266">
      <w:pPr>
        <w:tabs>
          <w:tab w:val="left" w:pos="9270"/>
        </w:tabs>
        <w:spacing w:after="0"/>
        <w:rPr>
          <w:rFonts w:cs="Arial"/>
          <w:color w:val="000000" w:themeColor="text1"/>
        </w:rPr>
      </w:pPr>
      <w:r w:rsidRPr="007B446F">
        <w:rPr>
          <w:rFonts w:cs="Arial"/>
          <w:color w:val="000000" w:themeColor="text1"/>
        </w:rPr>
        <w:lastRenderedPageBreak/>
        <w:t xml:space="preserve">De esta forma </w:t>
      </w:r>
      <w:r w:rsidR="00DF1EB1" w:rsidRPr="007B446F">
        <w:rPr>
          <w:rFonts w:cs="Arial"/>
          <w:color w:val="000000" w:themeColor="text1"/>
        </w:rPr>
        <w:t xml:space="preserve">se </w:t>
      </w:r>
      <w:r w:rsidRPr="007B446F">
        <w:rPr>
          <w:rFonts w:cs="Arial"/>
          <w:color w:val="000000" w:themeColor="text1"/>
        </w:rPr>
        <w:t xml:space="preserve">promovió </w:t>
      </w:r>
      <w:r w:rsidR="00DF1EB1" w:rsidRPr="007B446F">
        <w:rPr>
          <w:rFonts w:cs="Arial"/>
          <w:color w:val="000000" w:themeColor="text1"/>
        </w:rPr>
        <w:t>la firma en</w:t>
      </w:r>
      <w:r w:rsidRPr="007B446F">
        <w:rPr>
          <w:rFonts w:cs="Arial"/>
          <w:color w:val="000000" w:themeColor="text1"/>
        </w:rPr>
        <w:t xml:space="preserve"> 19 de enero de 2011 </w:t>
      </w:r>
      <w:r w:rsidR="00DF1EB1" w:rsidRPr="007B446F">
        <w:rPr>
          <w:rFonts w:cs="Arial"/>
          <w:color w:val="000000" w:themeColor="text1"/>
        </w:rPr>
        <w:t>d</w:t>
      </w:r>
      <w:r w:rsidRPr="007B446F">
        <w:rPr>
          <w:rFonts w:cs="Arial"/>
          <w:color w:val="000000" w:themeColor="text1"/>
        </w:rPr>
        <w:t>el Decreto Nº36372-MINAET, mediante el cual se establecía que, a partir de su publicación, el contenido de azufre en el diésel será de 0,005%m/m como límite máximo. Dicha reducción permitirá que las emisiones de SO</w:t>
      </w:r>
      <w:r w:rsidRPr="007B446F">
        <w:rPr>
          <w:rFonts w:cs="Arial"/>
          <w:b/>
          <w:color w:val="000000" w:themeColor="text1"/>
          <w:vertAlign w:val="subscript"/>
        </w:rPr>
        <w:t>2</w:t>
      </w:r>
      <w:r w:rsidRPr="007B446F">
        <w:rPr>
          <w:rFonts w:cs="Arial"/>
          <w:color w:val="000000" w:themeColor="text1"/>
        </w:rPr>
        <w:t xml:space="preserve"> en la atmósfera se reduzcan en 799 toneladas al año.  En el año 2012 se realizaron especificaciones adicionales dentro de los contratos de importación para incrementar la calidad de los combustibles que se expenden en el país. </w:t>
      </w:r>
      <w:r w:rsidR="00DF201A" w:rsidRPr="00DF201A">
        <w:rPr>
          <w:rFonts w:cs="Arial"/>
          <w:color w:val="000000" w:themeColor="text1"/>
        </w:rPr>
        <w:t>Así,</w:t>
      </w:r>
      <w:r w:rsidRPr="007B446F">
        <w:rPr>
          <w:rFonts w:cs="Arial"/>
          <w:color w:val="000000" w:themeColor="text1"/>
        </w:rPr>
        <w:t xml:space="preserve"> por ejemplo, en lo que se refiere a la gasolina súper, los nuevos contratos especifican deben venir sin ningún tipo de aditivo para subir el octanaje, lo cual eleva el precio de compra al ser un corte de mayor calidad que sale de las refinerías de origen. </w:t>
      </w:r>
    </w:p>
    <w:p w14:paraId="619E5C31" w14:textId="77777777" w:rsidR="00C21605" w:rsidRPr="007B446F" w:rsidRDefault="00C21605" w:rsidP="008E2266">
      <w:pPr>
        <w:tabs>
          <w:tab w:val="left" w:pos="9270"/>
        </w:tabs>
        <w:spacing w:after="0"/>
        <w:rPr>
          <w:rFonts w:cs="Arial"/>
          <w:color w:val="000000" w:themeColor="text1"/>
        </w:rPr>
      </w:pPr>
    </w:p>
    <w:p w14:paraId="3197F66B" w14:textId="5CCCEAA5" w:rsidR="001775D5" w:rsidRPr="007B446F" w:rsidRDefault="30554478" w:rsidP="30554478">
      <w:pPr>
        <w:tabs>
          <w:tab w:val="left" w:pos="9270"/>
        </w:tabs>
        <w:spacing w:after="0"/>
        <w:rPr>
          <w:rFonts w:cs="Arial"/>
          <w:color w:val="000000" w:themeColor="text1"/>
        </w:rPr>
      </w:pPr>
      <w:r w:rsidRPr="007B446F">
        <w:rPr>
          <w:rFonts w:cs="Arial"/>
          <w:color w:val="000000" w:themeColor="text1"/>
        </w:rPr>
        <w:t>En noviembre de 2019, RECOPE de adhirió a la iniciativa de la Bolsa Nacional de Valores (BNV) de bolsas de valores sustentables (SSE, por sus siglas en inglés) de la Organización de las Naciones Unidas (ONU) para lo cual trabajó en una Memoria de Sustentabilidad.</w:t>
      </w:r>
      <w:r w:rsidRPr="007B446F">
        <w:rPr>
          <w:rFonts w:eastAsia="Arial" w:cs="Arial"/>
          <w:color w:val="000000" w:themeColor="text1"/>
        </w:rPr>
        <w:t xml:space="preserve">  La última versión está disponible en: https://www.recope.go.cr/wp-content/uploads/2021/01/Memoria-de-Sostenibilidad-2020.pdf</w:t>
      </w:r>
    </w:p>
    <w:p w14:paraId="67E8B298" w14:textId="77777777" w:rsidR="00C21605" w:rsidRPr="007B446F" w:rsidRDefault="00C21605" w:rsidP="008E2266">
      <w:pPr>
        <w:tabs>
          <w:tab w:val="left" w:pos="9270"/>
        </w:tabs>
        <w:spacing w:after="0"/>
        <w:rPr>
          <w:rFonts w:cs="Arial"/>
          <w:color w:val="000000" w:themeColor="text1"/>
        </w:rPr>
      </w:pPr>
    </w:p>
    <w:p w14:paraId="2DD53480" w14:textId="73F4B378" w:rsidR="007C1974" w:rsidRPr="007B446F" w:rsidRDefault="006B1C33" w:rsidP="008E2266">
      <w:pPr>
        <w:tabs>
          <w:tab w:val="left" w:pos="9270"/>
        </w:tabs>
        <w:spacing w:after="0"/>
        <w:rPr>
          <w:rFonts w:cs="Arial"/>
          <w:color w:val="000000" w:themeColor="text1"/>
          <w:shd w:val="clear" w:color="auto" w:fill="FFFFFF"/>
        </w:rPr>
      </w:pPr>
      <w:r w:rsidRPr="007B446F">
        <w:rPr>
          <w:rFonts w:cs="Arial"/>
          <w:color w:val="000000" w:themeColor="text1"/>
          <w:shd w:val="clear" w:color="auto" w:fill="FFFFFF"/>
        </w:rPr>
        <w:t xml:space="preserve">Con la publicación del </w:t>
      </w:r>
      <w:r w:rsidRPr="007B446F">
        <w:rPr>
          <w:rFonts w:cs="Arial"/>
          <w:i/>
          <w:iCs/>
          <w:color w:val="000000" w:themeColor="text1"/>
          <w:shd w:val="clear" w:color="auto" w:fill="FFFFFF"/>
        </w:rPr>
        <w:t>“Reglamento sobre emisiones de contaminantes atmosféricos provenientes de calderas y hornos de tipo directo e indirecto”</w:t>
      </w:r>
      <w:r w:rsidRPr="007B446F">
        <w:rPr>
          <w:rFonts w:cs="Arial"/>
          <w:color w:val="000000" w:themeColor="text1"/>
          <w:shd w:val="clear" w:color="auto" w:fill="FFFFFF"/>
        </w:rPr>
        <w:t xml:space="preserve">, en el Alcance N°93 a La Gaceta N°86 de </w:t>
      </w:r>
      <w:r w:rsidR="00EE12CE" w:rsidRPr="007B446F">
        <w:rPr>
          <w:rFonts w:cs="Arial"/>
          <w:color w:val="000000" w:themeColor="text1"/>
          <w:shd w:val="clear" w:color="auto" w:fill="FFFFFF"/>
        </w:rPr>
        <w:t>11 de mayo de 2022</w:t>
      </w:r>
      <w:r w:rsidRPr="007B446F">
        <w:rPr>
          <w:rFonts w:cs="Arial"/>
          <w:color w:val="000000" w:themeColor="text1"/>
          <w:shd w:val="clear" w:color="auto" w:fill="FFFFFF"/>
        </w:rPr>
        <w:t>, se establece</w:t>
      </w:r>
      <w:r w:rsidR="00EE12CE" w:rsidRPr="007B446F">
        <w:rPr>
          <w:rFonts w:cs="Arial"/>
          <w:color w:val="000000" w:themeColor="text1"/>
          <w:shd w:val="clear" w:color="auto" w:fill="FFFFFF"/>
        </w:rPr>
        <w:t>n</w:t>
      </w:r>
      <w:r w:rsidRPr="007B446F">
        <w:rPr>
          <w:rFonts w:cs="Arial"/>
          <w:color w:val="000000" w:themeColor="text1"/>
          <w:shd w:val="clear" w:color="auto" w:fill="FFFFFF"/>
        </w:rPr>
        <w:t xml:space="preserve"> en su artículo 8 y el Transitorio 9 elementos vinculantes para RECOPE que deberá cumplir en un plazo de 30 meses.</w:t>
      </w:r>
    </w:p>
    <w:p w14:paraId="0D95EF9E" w14:textId="77777777" w:rsidR="00C21605" w:rsidRPr="006E6390" w:rsidRDefault="00C21605" w:rsidP="009277B4">
      <w:pPr>
        <w:tabs>
          <w:tab w:val="left" w:pos="9270"/>
        </w:tabs>
        <w:rPr>
          <w:rFonts w:cs="Arial"/>
        </w:rPr>
      </w:pPr>
    </w:p>
    <w:p w14:paraId="674BCCDE" w14:textId="77777777" w:rsidR="009277B4" w:rsidRPr="006E6390" w:rsidRDefault="005C12EC" w:rsidP="005C12EC">
      <w:pPr>
        <w:pStyle w:val="Ttulo2"/>
        <w:rPr>
          <w:rFonts w:cs="Arial"/>
        </w:rPr>
      </w:pPr>
      <w:bookmarkStart w:id="134" w:name="_Toc38630838"/>
      <w:r w:rsidRPr="006E6390">
        <w:rPr>
          <w:rFonts w:cs="Arial"/>
        </w:rPr>
        <w:t xml:space="preserve">5.4 </w:t>
      </w:r>
      <w:r w:rsidR="009277B4" w:rsidRPr="006E6390">
        <w:rPr>
          <w:rFonts w:cs="Arial"/>
        </w:rPr>
        <w:t>Eficiencia administrativa</w:t>
      </w:r>
      <w:bookmarkEnd w:id="134"/>
    </w:p>
    <w:p w14:paraId="61FF4D98" w14:textId="51629A7A" w:rsidR="009277B4" w:rsidRDefault="009277B4" w:rsidP="008E2266">
      <w:pPr>
        <w:tabs>
          <w:tab w:val="left" w:pos="9270"/>
        </w:tabs>
        <w:spacing w:after="0"/>
        <w:rPr>
          <w:rFonts w:cs="Arial"/>
        </w:rPr>
      </w:pPr>
      <w:r w:rsidRPr="006E6390">
        <w:rPr>
          <w:rFonts w:cs="Arial"/>
        </w:rPr>
        <w:t xml:space="preserve">En </w:t>
      </w:r>
      <w:r w:rsidR="009D4324">
        <w:rPr>
          <w:rFonts w:cs="Arial"/>
        </w:rPr>
        <w:t>n</w:t>
      </w:r>
      <w:r w:rsidRPr="006E6390">
        <w:rPr>
          <w:rFonts w:cs="Arial"/>
        </w:rPr>
        <w:t>oviembre de 2007 RECOPE contrató a la empresa Consorcio Soluziona – Alquileres El Orbe para la implementación un Sistema Integrado de Administración Financiera, mediante la aplicación de herramientas SAP (Soluciones, Aplicaciones y Productos) e ERP (</w:t>
      </w:r>
      <w:r w:rsidRPr="006E6390">
        <w:rPr>
          <w:rFonts w:cs="Arial"/>
          <w:i/>
        </w:rPr>
        <w:t>Enterprise Resource Planning</w:t>
      </w:r>
      <w:r w:rsidRPr="006E6390">
        <w:rPr>
          <w:rFonts w:cs="Arial"/>
        </w:rPr>
        <w:t>) que le permiten la integración de los procesos del negocio (financiero - contable y costos), con lo cual se mejora el control y seguimiento de procesos, se da confiabilidad y oportunidad a la información y se disminuyen los tiempos de respuesta.</w:t>
      </w:r>
    </w:p>
    <w:p w14:paraId="68DC436A" w14:textId="77777777" w:rsidR="00C21605" w:rsidRPr="006E6390" w:rsidRDefault="00C21605" w:rsidP="008E2266">
      <w:pPr>
        <w:tabs>
          <w:tab w:val="left" w:pos="9270"/>
        </w:tabs>
        <w:spacing w:after="0"/>
        <w:rPr>
          <w:rFonts w:cs="Arial"/>
        </w:rPr>
      </w:pPr>
    </w:p>
    <w:p w14:paraId="12EEC316" w14:textId="45B3776C" w:rsidR="30554478" w:rsidRDefault="30554478" w:rsidP="30554478">
      <w:pPr>
        <w:tabs>
          <w:tab w:val="left" w:pos="9270"/>
        </w:tabs>
        <w:spacing w:after="0"/>
        <w:rPr>
          <w:rFonts w:eastAsia="Arial" w:cs="Arial"/>
        </w:rPr>
      </w:pPr>
      <w:r w:rsidRPr="30554478">
        <w:rPr>
          <w:rFonts w:ascii="Roboto" w:eastAsia="Roboto" w:hAnsi="Roboto" w:cs="Roboto"/>
          <w:color w:val="202124"/>
          <w:sz w:val="21"/>
          <w:szCs w:val="21"/>
        </w:rPr>
        <w:t>La implementación del Sistema Integrado de Gestión SAP se ha consolidado e incluso se han realizado desarrollos posteriores que han permitido una eficiencia mayor en el uso de la herramienta, tales como el desarrollo del módulo de Mantenimiento, sin duda, la SIG- SAP ha conducido a un cambio en la cultura empresarial, la cual se ha potenciado en conjunto con otras aplicaciones que permiten obtener informes de salida de acuerdo a las necesidades empresariales.</w:t>
      </w:r>
    </w:p>
    <w:p w14:paraId="73456196" w14:textId="77777777" w:rsidR="00C21605" w:rsidRPr="006E6390" w:rsidRDefault="00C21605" w:rsidP="008E2266">
      <w:pPr>
        <w:tabs>
          <w:tab w:val="left" w:pos="9270"/>
        </w:tabs>
        <w:spacing w:after="0"/>
        <w:rPr>
          <w:rFonts w:cs="Arial"/>
        </w:rPr>
      </w:pPr>
    </w:p>
    <w:p w14:paraId="21CE3C24" w14:textId="1ED86810" w:rsidR="009277B4" w:rsidRDefault="009277B4" w:rsidP="008E2266">
      <w:pPr>
        <w:tabs>
          <w:tab w:val="left" w:pos="9270"/>
        </w:tabs>
        <w:spacing w:after="0"/>
        <w:rPr>
          <w:rFonts w:cs="Arial"/>
        </w:rPr>
      </w:pPr>
      <w:r w:rsidRPr="006E6390">
        <w:rPr>
          <w:rFonts w:cs="Arial"/>
        </w:rPr>
        <w:t xml:space="preserve">Importante es señalar que haciendo uso de la aplicación </w:t>
      </w:r>
      <w:r w:rsidRPr="006E6390">
        <w:rPr>
          <w:rFonts w:cs="Arial"/>
          <w:i/>
        </w:rPr>
        <w:t xml:space="preserve">business intelligence, </w:t>
      </w:r>
      <w:r w:rsidRPr="006E6390">
        <w:rPr>
          <w:rFonts w:cs="Arial"/>
        </w:rPr>
        <w:t>para el año 2012 se concluyó el Sistema de Información Ejecutiva como herramienta de apoyo a la gestión gerencial, se incorporó la generación de estadísticas de ventas de la empresa y se construyó el Modelo de Gastos de Almacenamiento, Trasiego y Distribución, todos ellos con el fin de monitorear el cumplimiento de los objetivos financieros establecidos en el Plan de Acción.</w:t>
      </w:r>
    </w:p>
    <w:p w14:paraId="6F1CFAB0" w14:textId="77777777" w:rsidR="00C21605" w:rsidRPr="006E6390" w:rsidRDefault="00C21605" w:rsidP="008E2266">
      <w:pPr>
        <w:tabs>
          <w:tab w:val="left" w:pos="9270"/>
        </w:tabs>
        <w:spacing w:after="0"/>
        <w:rPr>
          <w:rFonts w:cs="Arial"/>
        </w:rPr>
      </w:pPr>
    </w:p>
    <w:p w14:paraId="7FE5EBBE" w14:textId="428D94F9" w:rsidR="009277B4" w:rsidRDefault="009277B4" w:rsidP="008E2266">
      <w:pPr>
        <w:tabs>
          <w:tab w:val="left" w:pos="9270"/>
        </w:tabs>
        <w:spacing w:after="0"/>
        <w:rPr>
          <w:rFonts w:cs="Arial"/>
        </w:rPr>
      </w:pPr>
      <w:r w:rsidRPr="006E6390">
        <w:rPr>
          <w:rFonts w:cs="Arial"/>
        </w:rPr>
        <w:lastRenderedPageBreak/>
        <w:t xml:space="preserve">Como parte del proceso de aumentar la eficiencia </w:t>
      </w:r>
      <w:r w:rsidR="00476F26" w:rsidRPr="006E6390">
        <w:rPr>
          <w:rFonts w:cs="Arial"/>
        </w:rPr>
        <w:t>administrativa, el</w:t>
      </w:r>
      <w:r w:rsidRPr="006E6390">
        <w:rPr>
          <w:rFonts w:cs="Arial"/>
        </w:rPr>
        <w:t xml:space="preserve"> Edificio Garrón </w:t>
      </w:r>
      <w:r w:rsidR="009E118F">
        <w:rPr>
          <w:rFonts w:cs="Arial"/>
        </w:rPr>
        <w:t>se ha venido</w:t>
      </w:r>
      <w:r w:rsidRPr="006E6390">
        <w:rPr>
          <w:rFonts w:cs="Arial"/>
        </w:rPr>
        <w:t xml:space="preserve"> acondiciona</w:t>
      </w:r>
      <w:r w:rsidR="009E118F">
        <w:rPr>
          <w:rFonts w:cs="Arial"/>
        </w:rPr>
        <w:t>n</w:t>
      </w:r>
      <w:r w:rsidRPr="006E6390">
        <w:rPr>
          <w:rFonts w:cs="Arial"/>
        </w:rPr>
        <w:t xml:space="preserve">do para hacer un mejor aprovechamiento del espacio y de las condiciones de trabajo de los funcionarios de la empresa, </w:t>
      </w:r>
      <w:r w:rsidR="009E118F">
        <w:rPr>
          <w:rFonts w:cs="Arial"/>
        </w:rPr>
        <w:t xml:space="preserve">además, de </w:t>
      </w:r>
      <w:r w:rsidR="00C21605">
        <w:rPr>
          <w:rFonts w:cs="Arial"/>
        </w:rPr>
        <w:t>las mejoras</w:t>
      </w:r>
      <w:r w:rsidR="009E118F">
        <w:rPr>
          <w:rFonts w:cs="Arial"/>
        </w:rPr>
        <w:t xml:space="preserve"> de equipos de cómputo y acciones de seguridad informática</w:t>
      </w:r>
      <w:r w:rsidR="00742AA0">
        <w:rPr>
          <w:rFonts w:cs="Arial"/>
        </w:rPr>
        <w:t>, ante las amenazas de ciberataques</w:t>
      </w:r>
      <w:r w:rsidR="00C21605">
        <w:rPr>
          <w:rFonts w:cs="Arial"/>
        </w:rPr>
        <w:t>.</w:t>
      </w:r>
    </w:p>
    <w:p w14:paraId="30B5200C" w14:textId="77777777" w:rsidR="00C21605" w:rsidRPr="006E6390" w:rsidRDefault="00C21605" w:rsidP="009277B4">
      <w:pPr>
        <w:tabs>
          <w:tab w:val="left" w:pos="9270"/>
        </w:tabs>
        <w:rPr>
          <w:rFonts w:cs="Arial"/>
        </w:rPr>
      </w:pPr>
    </w:p>
    <w:p w14:paraId="3291E0D8" w14:textId="77777777" w:rsidR="009277B4" w:rsidRPr="006E6390" w:rsidRDefault="005C12EC" w:rsidP="005C12EC">
      <w:pPr>
        <w:pStyle w:val="Ttulo2"/>
        <w:rPr>
          <w:rFonts w:cs="Arial"/>
        </w:rPr>
      </w:pPr>
      <w:bookmarkStart w:id="135" w:name="_Toc38630839"/>
      <w:r w:rsidRPr="006E6390">
        <w:rPr>
          <w:rFonts w:cs="Arial"/>
        </w:rPr>
        <w:t xml:space="preserve">5.5 </w:t>
      </w:r>
      <w:r w:rsidR="009277B4" w:rsidRPr="006E6390">
        <w:rPr>
          <w:rFonts w:cs="Arial"/>
        </w:rPr>
        <w:t>Evolución de las ventas</w:t>
      </w:r>
      <w:bookmarkEnd w:id="135"/>
    </w:p>
    <w:p w14:paraId="216B8C06" w14:textId="699E8DCE" w:rsidR="000F7126" w:rsidRDefault="009277B4" w:rsidP="008E2266">
      <w:pPr>
        <w:tabs>
          <w:tab w:val="left" w:pos="9270"/>
        </w:tabs>
        <w:spacing w:after="0"/>
        <w:rPr>
          <w:rFonts w:cs="Arial"/>
        </w:rPr>
      </w:pPr>
      <w:r w:rsidRPr="00015FF3">
        <w:rPr>
          <w:rFonts w:cs="Arial"/>
        </w:rPr>
        <w:t>El comportamiento de las ventas de la empresa responde, principalmente, a dos variables: el volumen</w:t>
      </w:r>
      <w:r w:rsidR="000F7126" w:rsidRPr="00015FF3">
        <w:rPr>
          <w:rFonts w:cs="Arial"/>
        </w:rPr>
        <w:t xml:space="preserve"> de ventas</w:t>
      </w:r>
      <w:r w:rsidRPr="00015FF3">
        <w:rPr>
          <w:rFonts w:cs="Arial"/>
        </w:rPr>
        <w:t xml:space="preserve"> y el precio internacional de los combustibles</w:t>
      </w:r>
      <w:r w:rsidR="000F7126" w:rsidRPr="00015FF3">
        <w:rPr>
          <w:rFonts w:cs="Arial"/>
        </w:rPr>
        <w:t xml:space="preserve">, </w:t>
      </w:r>
      <w:r w:rsidR="00FA512E" w:rsidRPr="00015FF3">
        <w:rPr>
          <w:rFonts w:cs="Arial"/>
        </w:rPr>
        <w:t>dado que es la variable de</w:t>
      </w:r>
      <w:r w:rsidR="000F7126" w:rsidRPr="00015FF3">
        <w:rPr>
          <w:rFonts w:cs="Arial"/>
        </w:rPr>
        <w:t xml:space="preserve"> referencia con la que se fijan los precios internos.</w:t>
      </w:r>
    </w:p>
    <w:p w14:paraId="02B3132C" w14:textId="77777777" w:rsidR="00076B31" w:rsidRPr="00015FF3" w:rsidRDefault="00076B31" w:rsidP="002F689B">
      <w:pPr>
        <w:tabs>
          <w:tab w:val="left" w:pos="9270"/>
        </w:tabs>
        <w:spacing w:after="0"/>
        <w:rPr>
          <w:rFonts w:cs="Arial"/>
        </w:rPr>
      </w:pPr>
    </w:p>
    <w:p w14:paraId="35E77595" w14:textId="7F747C02" w:rsidR="00954D34" w:rsidRDefault="00FA512E" w:rsidP="002F689B">
      <w:pPr>
        <w:spacing w:after="0"/>
        <w:rPr>
          <w:rFonts w:cs="Arial"/>
        </w:rPr>
      </w:pPr>
      <w:r w:rsidRPr="00015FF3">
        <w:rPr>
          <w:rFonts w:cs="Arial"/>
        </w:rPr>
        <w:t xml:space="preserve">En el cuadro </w:t>
      </w:r>
      <w:r w:rsidR="0031432C" w:rsidRPr="00015FF3">
        <w:rPr>
          <w:rFonts w:cs="Arial"/>
        </w:rPr>
        <w:t>N°</w:t>
      </w:r>
      <w:r w:rsidR="006B7171" w:rsidRPr="00015FF3">
        <w:rPr>
          <w:rFonts w:cs="Arial"/>
        </w:rPr>
        <w:t xml:space="preserve">27 </w:t>
      </w:r>
      <w:r w:rsidRPr="00015FF3">
        <w:rPr>
          <w:rFonts w:cs="Arial"/>
        </w:rPr>
        <w:t xml:space="preserve">se presentan los ingresos por ventas y el volumen vendido por producto para el periodo </w:t>
      </w:r>
      <w:r w:rsidR="00954D34" w:rsidRPr="00015FF3">
        <w:rPr>
          <w:rFonts w:cs="Arial"/>
        </w:rPr>
        <w:t>20</w:t>
      </w:r>
      <w:r w:rsidR="00954D34">
        <w:rPr>
          <w:rFonts w:cs="Arial"/>
        </w:rPr>
        <w:t>20</w:t>
      </w:r>
      <w:r w:rsidRPr="00015FF3">
        <w:rPr>
          <w:rFonts w:cs="Arial"/>
        </w:rPr>
        <w:t>-</w:t>
      </w:r>
      <w:r w:rsidR="00954D34" w:rsidRPr="00015FF3">
        <w:rPr>
          <w:rFonts w:cs="Arial"/>
        </w:rPr>
        <w:t>202</w:t>
      </w:r>
      <w:r w:rsidR="00954D34">
        <w:rPr>
          <w:rFonts w:cs="Arial"/>
        </w:rPr>
        <w:t>2</w:t>
      </w:r>
      <w:r w:rsidRPr="00015FF3">
        <w:rPr>
          <w:rFonts w:cs="Arial"/>
        </w:rPr>
        <w:t xml:space="preserve">. </w:t>
      </w:r>
      <w:r w:rsidR="000D2250" w:rsidRPr="00015FF3">
        <w:rPr>
          <w:rFonts w:cs="Arial"/>
        </w:rPr>
        <w:t xml:space="preserve"> </w:t>
      </w:r>
      <w:r w:rsidRPr="00015FF3">
        <w:rPr>
          <w:rFonts w:cs="Arial"/>
        </w:rPr>
        <w:t xml:space="preserve">Se observa </w:t>
      </w:r>
      <w:r w:rsidR="00B37094" w:rsidRPr="00015FF3">
        <w:rPr>
          <w:rFonts w:cs="Arial"/>
        </w:rPr>
        <w:t>en el año 2020 la tasa de crecimiento disminuye en</w:t>
      </w:r>
      <w:r w:rsidRPr="00015FF3">
        <w:rPr>
          <w:rFonts w:cs="Arial"/>
        </w:rPr>
        <w:t xml:space="preserve"> </w:t>
      </w:r>
      <w:r w:rsidR="00B37094" w:rsidRPr="00015FF3">
        <w:rPr>
          <w:rFonts w:cs="Arial"/>
        </w:rPr>
        <w:t>19</w:t>
      </w:r>
      <w:r w:rsidRPr="00015FF3">
        <w:rPr>
          <w:rFonts w:cs="Arial"/>
        </w:rPr>
        <w:t>,</w:t>
      </w:r>
      <w:r w:rsidR="00B37094" w:rsidRPr="00015FF3">
        <w:rPr>
          <w:rFonts w:cs="Arial"/>
        </w:rPr>
        <w:t>1</w:t>
      </w:r>
      <w:r w:rsidRPr="00015FF3">
        <w:rPr>
          <w:rFonts w:cs="Arial"/>
        </w:rPr>
        <w:t>%</w:t>
      </w:r>
      <w:r w:rsidR="00B37094" w:rsidRPr="00015FF3">
        <w:rPr>
          <w:rFonts w:cs="Arial"/>
        </w:rPr>
        <w:t xml:space="preserve"> por efectos directos de la pandemia </w:t>
      </w:r>
      <w:r w:rsidRPr="00015FF3">
        <w:rPr>
          <w:rFonts w:cs="Arial"/>
        </w:rPr>
        <w:t xml:space="preserve">y </w:t>
      </w:r>
      <w:r w:rsidR="00B37094" w:rsidRPr="00015FF3">
        <w:rPr>
          <w:rFonts w:cs="Arial"/>
        </w:rPr>
        <w:t>crece en el periodo 2021 un 15,8% por las medidas de reactivación económica</w:t>
      </w:r>
      <w:r w:rsidRPr="00015FF3">
        <w:rPr>
          <w:rFonts w:cs="Arial"/>
        </w:rPr>
        <w:t xml:space="preserve">; sin embargo, los productos individualmente presentan un comportamiento diferente. </w:t>
      </w:r>
      <w:r w:rsidR="004D0CB6" w:rsidRPr="00015FF3">
        <w:rPr>
          <w:rFonts w:cs="Arial"/>
        </w:rPr>
        <w:t xml:space="preserve"> </w:t>
      </w:r>
    </w:p>
    <w:p w14:paraId="2D9C779B" w14:textId="77777777" w:rsidR="00076B31" w:rsidRDefault="00076B31" w:rsidP="002F689B">
      <w:pPr>
        <w:spacing w:after="0"/>
        <w:rPr>
          <w:rFonts w:cs="Arial"/>
        </w:rPr>
      </w:pPr>
    </w:p>
    <w:p w14:paraId="2C7E8BE4" w14:textId="3B000FC1" w:rsidR="00847201" w:rsidRDefault="008F0A5B" w:rsidP="002F689B">
      <w:pPr>
        <w:spacing w:after="0"/>
        <w:rPr>
          <w:rFonts w:cs="Arial"/>
        </w:rPr>
      </w:pPr>
      <w:r w:rsidRPr="00015FF3">
        <w:rPr>
          <w:rFonts w:cs="Arial"/>
        </w:rPr>
        <w:t>Para el año 2021 d</w:t>
      </w:r>
      <w:r w:rsidR="00900B8F" w:rsidRPr="00015FF3">
        <w:rPr>
          <w:rFonts w:cs="Arial"/>
        </w:rPr>
        <w:t xml:space="preserve">estaca el caso del </w:t>
      </w:r>
      <w:r w:rsidR="004D0CB6" w:rsidRPr="00015FF3">
        <w:rPr>
          <w:rFonts w:cs="Arial"/>
        </w:rPr>
        <w:t>J</w:t>
      </w:r>
      <w:r w:rsidR="00900B8F" w:rsidRPr="00015FF3">
        <w:rPr>
          <w:rFonts w:cs="Arial"/>
        </w:rPr>
        <w:t xml:space="preserve">et fuel, donde el volumen vendido ha crecido por </w:t>
      </w:r>
      <w:r w:rsidRPr="00015FF3">
        <w:rPr>
          <w:rFonts w:cs="Arial"/>
        </w:rPr>
        <w:t>las medidas de reactivación económica en el sector turismo por la apertura aérea a todos los países</w:t>
      </w:r>
      <w:r w:rsidR="00900B8F" w:rsidRPr="00015FF3">
        <w:rPr>
          <w:rFonts w:cs="Arial"/>
        </w:rPr>
        <w:t xml:space="preserve">, debido al aumento de líneas aéreas que realizan operaciones en el país, particularmente después de la apertura del Aeropuerto Internacional Daniel Oduber. </w:t>
      </w:r>
    </w:p>
    <w:p w14:paraId="0C693309" w14:textId="77777777" w:rsidR="00076B31" w:rsidRDefault="00076B31" w:rsidP="002F689B">
      <w:pPr>
        <w:spacing w:after="0"/>
        <w:rPr>
          <w:rFonts w:cs="Arial"/>
        </w:rPr>
      </w:pPr>
    </w:p>
    <w:p w14:paraId="520947BB" w14:textId="77777777" w:rsidR="009D4324" w:rsidRDefault="00900B8F" w:rsidP="009D4324">
      <w:pPr>
        <w:spacing w:after="0"/>
        <w:rPr>
          <w:rFonts w:cs="Arial"/>
        </w:rPr>
      </w:pPr>
      <w:r w:rsidRPr="00015FF3">
        <w:rPr>
          <w:rFonts w:cs="Arial"/>
        </w:rPr>
        <w:t xml:space="preserve">De igual forma, el GLP presenta tasa de crecimiento </w:t>
      </w:r>
      <w:r w:rsidR="00ED2E4A">
        <w:rPr>
          <w:rFonts w:cs="Arial"/>
        </w:rPr>
        <w:t>e</w:t>
      </w:r>
      <w:r w:rsidR="00120F9D" w:rsidRPr="00015FF3">
        <w:rPr>
          <w:rFonts w:cs="Arial"/>
        </w:rPr>
        <w:t xml:space="preserve">n el año 2021 con respecto al </w:t>
      </w:r>
      <w:r w:rsidR="00ED2E4A" w:rsidRPr="00015FF3">
        <w:rPr>
          <w:rFonts w:cs="Arial"/>
        </w:rPr>
        <w:t>202</w:t>
      </w:r>
      <w:r w:rsidR="00ED2E4A">
        <w:rPr>
          <w:rFonts w:cs="Arial"/>
        </w:rPr>
        <w:t>0</w:t>
      </w:r>
      <w:r w:rsidR="00ED2E4A" w:rsidRPr="00015FF3">
        <w:rPr>
          <w:rFonts w:cs="Arial"/>
        </w:rPr>
        <w:t xml:space="preserve"> </w:t>
      </w:r>
      <w:r w:rsidRPr="00015FF3">
        <w:rPr>
          <w:rFonts w:cs="Arial"/>
        </w:rPr>
        <w:t xml:space="preserve">por encima de la media nacional y ha aumentado su participación </w:t>
      </w:r>
      <w:r w:rsidR="00ED2E4A">
        <w:rPr>
          <w:rFonts w:cs="Arial"/>
        </w:rPr>
        <w:t xml:space="preserve">relativa </w:t>
      </w:r>
      <w:r w:rsidR="00120F9D" w:rsidRPr="00015FF3">
        <w:rPr>
          <w:rFonts w:cs="Arial"/>
        </w:rPr>
        <w:t>a</w:t>
      </w:r>
      <w:r w:rsidRPr="00015FF3">
        <w:rPr>
          <w:rFonts w:cs="Arial"/>
        </w:rPr>
        <w:t xml:space="preserve"> </w:t>
      </w:r>
      <w:r w:rsidR="00120F9D" w:rsidRPr="00015FF3">
        <w:rPr>
          <w:rFonts w:cs="Arial"/>
        </w:rPr>
        <w:t>6,7%</w:t>
      </w:r>
      <w:r w:rsidRPr="00015FF3">
        <w:rPr>
          <w:rFonts w:cs="Arial"/>
        </w:rPr>
        <w:t>% en</w:t>
      </w:r>
      <w:r w:rsidR="00120F9D" w:rsidRPr="00015FF3">
        <w:rPr>
          <w:rFonts w:cs="Arial"/>
        </w:rPr>
        <w:t xml:space="preserve"> 2021</w:t>
      </w:r>
      <w:r w:rsidRPr="00015FF3">
        <w:rPr>
          <w:rFonts w:cs="Arial"/>
        </w:rPr>
        <w:t>.</w:t>
      </w:r>
      <w:r w:rsidR="00847201">
        <w:rPr>
          <w:rFonts w:cs="Arial"/>
        </w:rPr>
        <w:t xml:space="preserve">  </w:t>
      </w:r>
      <w:r w:rsidR="009D4324">
        <w:rPr>
          <w:rFonts w:cs="Arial"/>
        </w:rPr>
        <w:t>En el año 2022, continúa la recuperación del volumen de ventas, acompañados de altos precios por la situación económica internacional.</w:t>
      </w:r>
    </w:p>
    <w:p w14:paraId="3CAEEA51" w14:textId="77777777" w:rsidR="00076B31" w:rsidRPr="006E6390" w:rsidRDefault="00076B31" w:rsidP="00361D33">
      <w:pPr>
        <w:spacing w:after="0"/>
        <w:rPr>
          <w:rFonts w:cs="Arial"/>
        </w:rPr>
      </w:pPr>
    </w:p>
    <w:p w14:paraId="05011D7D" w14:textId="558FF288" w:rsidR="00DC30B9" w:rsidRDefault="00DC30B9" w:rsidP="00361D33">
      <w:pPr>
        <w:tabs>
          <w:tab w:val="left" w:pos="9270"/>
        </w:tabs>
        <w:spacing w:after="0"/>
        <w:rPr>
          <w:rFonts w:cs="Arial"/>
        </w:rPr>
      </w:pPr>
      <w:r w:rsidRPr="00015FF3">
        <w:rPr>
          <w:rFonts w:cs="Arial"/>
        </w:rPr>
        <w:t xml:space="preserve">En relación con los ingresos por ventas, los mismos varían más en función de los precios de venta locales, que están indexados a los precios internacionales, </w:t>
      </w:r>
      <w:r w:rsidR="00517EEA">
        <w:rPr>
          <w:rFonts w:cs="Arial"/>
        </w:rPr>
        <w:t xml:space="preserve">que </w:t>
      </w:r>
      <w:r w:rsidR="006033BA" w:rsidRPr="00015FF3">
        <w:rPr>
          <w:rFonts w:cs="Arial"/>
        </w:rPr>
        <w:t>por</w:t>
      </w:r>
      <w:r w:rsidRPr="00015FF3">
        <w:rPr>
          <w:rFonts w:cs="Arial"/>
        </w:rPr>
        <w:t xml:space="preserve"> volumen de ventas, lo que resulta evidente cuando se comparan las tasas de crecimiento de los ingresos, con las correspondientes al volumen de ventas. </w:t>
      </w:r>
      <w:r w:rsidR="004D0CB6" w:rsidRPr="00015FF3">
        <w:rPr>
          <w:rFonts w:cs="Arial"/>
        </w:rPr>
        <w:t xml:space="preserve"> </w:t>
      </w:r>
      <w:r w:rsidR="00FF06B7" w:rsidRPr="00015FF3">
        <w:rPr>
          <w:rFonts w:cs="Arial"/>
        </w:rPr>
        <w:t xml:space="preserve">En el </w:t>
      </w:r>
      <w:r w:rsidR="00D162C7" w:rsidRPr="00015FF3">
        <w:rPr>
          <w:rFonts w:cs="Arial"/>
        </w:rPr>
        <w:t>202</w:t>
      </w:r>
      <w:r w:rsidR="00D162C7">
        <w:rPr>
          <w:rFonts w:cs="Arial"/>
        </w:rPr>
        <w:t>2</w:t>
      </w:r>
      <w:r w:rsidRPr="00015FF3">
        <w:rPr>
          <w:rFonts w:cs="Arial"/>
        </w:rPr>
        <w:t xml:space="preserve">, el volumen total </w:t>
      </w:r>
      <w:r w:rsidRPr="00AD09FD">
        <w:rPr>
          <w:rFonts w:cs="Arial"/>
        </w:rPr>
        <w:t xml:space="preserve">creció </w:t>
      </w:r>
      <w:r w:rsidR="00AD09FD" w:rsidRPr="00361D33">
        <w:rPr>
          <w:rFonts w:cs="Arial"/>
        </w:rPr>
        <w:t>6,3</w:t>
      </w:r>
      <w:r w:rsidRPr="00AD09FD">
        <w:rPr>
          <w:rFonts w:cs="Arial"/>
        </w:rPr>
        <w:t>%</w:t>
      </w:r>
      <w:r w:rsidR="00FF06B7" w:rsidRPr="00015FF3">
        <w:rPr>
          <w:rFonts w:cs="Arial"/>
        </w:rPr>
        <w:t xml:space="preserve"> y</w:t>
      </w:r>
      <w:r w:rsidRPr="00015FF3">
        <w:rPr>
          <w:rFonts w:cs="Arial"/>
        </w:rPr>
        <w:t xml:space="preserve"> los ingresos </w:t>
      </w:r>
      <w:r w:rsidR="00290950">
        <w:rPr>
          <w:rFonts w:cs="Arial"/>
        </w:rPr>
        <w:t>incrementaron</w:t>
      </w:r>
      <w:r w:rsidR="00290950" w:rsidRPr="00015FF3">
        <w:rPr>
          <w:rFonts w:cs="Arial"/>
        </w:rPr>
        <w:t xml:space="preserve"> </w:t>
      </w:r>
      <w:r w:rsidRPr="00015FF3">
        <w:rPr>
          <w:rFonts w:cs="Arial"/>
        </w:rPr>
        <w:t xml:space="preserve">en </w:t>
      </w:r>
      <w:r w:rsidR="00AD09FD">
        <w:rPr>
          <w:rFonts w:cs="Arial"/>
        </w:rPr>
        <w:t xml:space="preserve">46,8% respecto a 2021 (en 2021 lo habían </w:t>
      </w:r>
      <w:r w:rsidR="00AD09FD" w:rsidRPr="00AD09FD">
        <w:rPr>
          <w:rFonts w:cs="Arial"/>
        </w:rPr>
        <w:t xml:space="preserve">hecho </w:t>
      </w:r>
      <w:r w:rsidR="00FF06B7" w:rsidRPr="00AD09FD">
        <w:rPr>
          <w:rFonts w:cs="Arial"/>
        </w:rPr>
        <w:t>45</w:t>
      </w:r>
      <w:r w:rsidRPr="00AD09FD">
        <w:rPr>
          <w:rFonts w:cs="Arial"/>
        </w:rPr>
        <w:t>,</w:t>
      </w:r>
      <w:r w:rsidR="00FF06B7" w:rsidRPr="00AD09FD">
        <w:rPr>
          <w:rFonts w:cs="Arial"/>
        </w:rPr>
        <w:t>1</w:t>
      </w:r>
      <w:r w:rsidRPr="00AD09FD">
        <w:rPr>
          <w:rFonts w:cs="Arial"/>
        </w:rPr>
        <w:t>%</w:t>
      </w:r>
      <w:r w:rsidR="00AD09FD" w:rsidRPr="00361D33">
        <w:rPr>
          <w:rFonts w:cs="Arial"/>
        </w:rPr>
        <w:t>)</w:t>
      </w:r>
      <w:r w:rsidRPr="00AD09FD">
        <w:rPr>
          <w:rFonts w:cs="Arial"/>
        </w:rPr>
        <w:t>.</w:t>
      </w:r>
    </w:p>
    <w:p w14:paraId="509E8480" w14:textId="77777777" w:rsidR="00076B31" w:rsidRPr="006E6390" w:rsidRDefault="00076B31" w:rsidP="00361D33">
      <w:pPr>
        <w:tabs>
          <w:tab w:val="left" w:pos="9270"/>
        </w:tabs>
        <w:spacing w:after="0"/>
        <w:rPr>
          <w:rFonts w:cs="Arial"/>
        </w:rPr>
      </w:pPr>
    </w:p>
    <w:p w14:paraId="16D4FEA2" w14:textId="5F5DA896" w:rsidR="00DC30B9" w:rsidRDefault="00DC30B9" w:rsidP="009201D8">
      <w:pPr>
        <w:tabs>
          <w:tab w:val="left" w:pos="9270"/>
        </w:tabs>
        <w:spacing w:after="0"/>
        <w:rPr>
          <w:rFonts w:cs="Arial"/>
        </w:rPr>
      </w:pPr>
      <w:r w:rsidRPr="006E6390">
        <w:rPr>
          <w:rFonts w:cs="Arial"/>
        </w:rPr>
        <w:t xml:space="preserve">Por otro lado, la participación de cada producto dentro de los ingresos </w:t>
      </w:r>
      <w:r w:rsidR="00DB0D64" w:rsidRPr="006E6390">
        <w:rPr>
          <w:rFonts w:cs="Arial"/>
        </w:rPr>
        <w:t>totales</w:t>
      </w:r>
      <w:r w:rsidRPr="006E6390">
        <w:rPr>
          <w:rFonts w:cs="Arial"/>
        </w:rPr>
        <w:t xml:space="preserve"> obedece a la estructura del precio. </w:t>
      </w:r>
      <w:r w:rsidR="004D0CB6">
        <w:rPr>
          <w:rFonts w:cs="Arial"/>
        </w:rPr>
        <w:t xml:space="preserve"> </w:t>
      </w:r>
      <w:r w:rsidRPr="006E6390">
        <w:rPr>
          <w:rFonts w:cs="Arial"/>
        </w:rPr>
        <w:t xml:space="preserve">Se tiene el caso de las gasolinas, donde el volumen vendido de ambas es similar al del diésel; sin embargo, los ingresos son </w:t>
      </w:r>
      <w:r w:rsidR="00DB0D64" w:rsidRPr="006E6390">
        <w:rPr>
          <w:rFonts w:cs="Arial"/>
        </w:rPr>
        <w:t>24%</w:t>
      </w:r>
      <w:r w:rsidRPr="006E6390">
        <w:rPr>
          <w:rFonts w:cs="Arial"/>
        </w:rPr>
        <w:t xml:space="preserve"> mayores que los del diésel. </w:t>
      </w:r>
      <w:r w:rsidR="004D0CB6">
        <w:rPr>
          <w:rFonts w:cs="Arial"/>
        </w:rPr>
        <w:t xml:space="preserve"> </w:t>
      </w:r>
      <w:r w:rsidRPr="006E6390">
        <w:rPr>
          <w:rFonts w:cs="Arial"/>
        </w:rPr>
        <w:t>Esto obedece a que el impuesto único de las gasolinas es mayor al del diésel.</w:t>
      </w:r>
    </w:p>
    <w:p w14:paraId="27196639" w14:textId="06426B06" w:rsidR="002C1270" w:rsidRDefault="002C1270">
      <w:pPr>
        <w:spacing w:after="0" w:line="240" w:lineRule="auto"/>
        <w:jc w:val="left"/>
        <w:rPr>
          <w:rFonts w:cs="Arial"/>
        </w:rPr>
      </w:pPr>
      <w:r>
        <w:rPr>
          <w:rFonts w:cs="Arial"/>
        </w:rPr>
        <w:br w:type="page"/>
      </w:r>
    </w:p>
    <w:p w14:paraId="3D1073EF" w14:textId="77777777" w:rsidR="00076B31" w:rsidRPr="006E6390" w:rsidRDefault="00076B31" w:rsidP="00DC30B9">
      <w:pPr>
        <w:tabs>
          <w:tab w:val="left" w:pos="9270"/>
        </w:tabs>
        <w:rPr>
          <w:rFonts w:cs="Arial"/>
        </w:rPr>
      </w:pPr>
    </w:p>
    <w:p w14:paraId="04394580" w14:textId="77777777" w:rsidR="000F7126" w:rsidRPr="006E6390" w:rsidRDefault="00FA512E" w:rsidP="00FA512E">
      <w:pPr>
        <w:tabs>
          <w:tab w:val="left" w:pos="9270"/>
        </w:tabs>
        <w:contextualSpacing/>
        <w:jc w:val="center"/>
        <w:rPr>
          <w:rFonts w:cs="Arial"/>
          <w:b/>
        </w:rPr>
      </w:pPr>
      <w:r w:rsidRPr="006E6390">
        <w:rPr>
          <w:rFonts w:cs="Arial"/>
          <w:b/>
        </w:rPr>
        <w:t xml:space="preserve">Cuadro </w:t>
      </w:r>
      <w:r w:rsidR="00075776" w:rsidRPr="006E6390">
        <w:rPr>
          <w:rFonts w:cs="Arial"/>
          <w:b/>
        </w:rPr>
        <w:t>N°</w:t>
      </w:r>
      <w:r w:rsidR="007408DF" w:rsidRPr="006E6390">
        <w:rPr>
          <w:rFonts w:cs="Arial"/>
          <w:b/>
        </w:rPr>
        <w:t>2</w:t>
      </w:r>
      <w:r w:rsidR="006B7171" w:rsidRPr="006E6390">
        <w:rPr>
          <w:rFonts w:cs="Arial"/>
          <w:b/>
        </w:rPr>
        <w:t>7</w:t>
      </w:r>
    </w:p>
    <w:p w14:paraId="242BFF44" w14:textId="2A6575F6" w:rsidR="00FA512E" w:rsidRPr="006E6390" w:rsidRDefault="00FA512E" w:rsidP="00FA512E">
      <w:pPr>
        <w:tabs>
          <w:tab w:val="left" w:pos="9270"/>
        </w:tabs>
        <w:jc w:val="center"/>
        <w:rPr>
          <w:rFonts w:cs="Arial"/>
          <w:b/>
        </w:rPr>
      </w:pPr>
      <w:r w:rsidRPr="006E6390">
        <w:rPr>
          <w:rFonts w:cs="Arial"/>
          <w:b/>
        </w:rPr>
        <w:t xml:space="preserve">Ingresos por ventas y volumen vendido en el periodo </w:t>
      </w:r>
      <w:r w:rsidR="00847201" w:rsidRPr="006E6390">
        <w:rPr>
          <w:rFonts w:cs="Arial"/>
          <w:b/>
        </w:rPr>
        <w:t>20</w:t>
      </w:r>
      <w:r w:rsidR="00847201">
        <w:rPr>
          <w:rFonts w:cs="Arial"/>
          <w:b/>
        </w:rPr>
        <w:t>20</w:t>
      </w:r>
      <w:r w:rsidRPr="006E6390">
        <w:rPr>
          <w:rFonts w:cs="Arial"/>
          <w:b/>
        </w:rPr>
        <w:t>-</w:t>
      </w:r>
      <w:r w:rsidR="00847201" w:rsidRPr="006E6390">
        <w:rPr>
          <w:rFonts w:cs="Arial"/>
          <w:b/>
        </w:rPr>
        <w:t>202</w:t>
      </w:r>
      <w:r w:rsidR="00847201">
        <w:rPr>
          <w:rFonts w:cs="Arial"/>
          <w:b/>
        </w:rPr>
        <w:t>2</w:t>
      </w:r>
    </w:p>
    <w:tbl>
      <w:tblPr>
        <w:tblW w:w="8848" w:type="dxa"/>
        <w:tblLayout w:type="fixed"/>
        <w:tblCellMar>
          <w:left w:w="70" w:type="dxa"/>
          <w:right w:w="70" w:type="dxa"/>
        </w:tblCellMar>
        <w:tblLook w:val="04A0" w:firstRow="1" w:lastRow="0" w:firstColumn="1" w:lastColumn="0" w:noHBand="0" w:noVBand="1"/>
      </w:tblPr>
      <w:tblGrid>
        <w:gridCol w:w="1833"/>
        <w:gridCol w:w="1109"/>
        <w:gridCol w:w="1110"/>
        <w:gridCol w:w="1110"/>
        <w:gridCol w:w="289"/>
        <w:gridCol w:w="1132"/>
        <w:gridCol w:w="1132"/>
        <w:gridCol w:w="1133"/>
      </w:tblGrid>
      <w:tr w:rsidR="00F26F01" w:rsidRPr="00F26F01" w14:paraId="169DE92D" w14:textId="77777777" w:rsidTr="00361D33">
        <w:trPr>
          <w:trHeight w:val="315"/>
          <w:tblHeader/>
        </w:trPr>
        <w:tc>
          <w:tcPr>
            <w:tcW w:w="1833" w:type="dxa"/>
            <w:tcBorders>
              <w:top w:val="single" w:sz="8" w:space="0" w:color="BFBFBF"/>
              <w:left w:val="single" w:sz="8" w:space="0" w:color="BFBFBF"/>
              <w:bottom w:val="single" w:sz="8" w:space="0" w:color="BFBFBF"/>
              <w:right w:val="single" w:sz="8" w:space="0" w:color="BFBFBF"/>
            </w:tcBorders>
            <w:shd w:val="clear" w:color="auto" w:fill="auto"/>
            <w:noWrap/>
            <w:hideMark/>
          </w:tcPr>
          <w:p w14:paraId="189CEFC1" w14:textId="77777777" w:rsidR="00F26F01" w:rsidRPr="00F26F01" w:rsidRDefault="00F26F01" w:rsidP="00F26F01">
            <w:pPr>
              <w:spacing w:after="0" w:line="240" w:lineRule="auto"/>
              <w:jc w:val="left"/>
              <w:rPr>
                <w:rFonts w:ascii="Calibri" w:hAnsi="Calibri" w:cs="Calibri"/>
                <w:color w:val="000000"/>
                <w:sz w:val="20"/>
                <w:szCs w:val="20"/>
              </w:rPr>
            </w:pPr>
            <w:r w:rsidRPr="00F26F01">
              <w:rPr>
                <w:rFonts w:ascii="Calibri" w:hAnsi="Calibri" w:cs="Calibri"/>
                <w:color w:val="000000"/>
                <w:sz w:val="20"/>
                <w:szCs w:val="20"/>
              </w:rPr>
              <w:t> </w:t>
            </w:r>
          </w:p>
        </w:tc>
        <w:tc>
          <w:tcPr>
            <w:tcW w:w="1109" w:type="dxa"/>
            <w:tcBorders>
              <w:top w:val="single" w:sz="8" w:space="0" w:color="BFBFBF"/>
              <w:left w:val="nil"/>
              <w:bottom w:val="single" w:sz="8" w:space="0" w:color="BFBFBF"/>
              <w:right w:val="single" w:sz="8" w:space="0" w:color="BFBFBF"/>
            </w:tcBorders>
            <w:shd w:val="clear" w:color="auto" w:fill="auto"/>
            <w:noWrap/>
            <w:vAlign w:val="center"/>
            <w:hideMark/>
          </w:tcPr>
          <w:p w14:paraId="57A67057"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2020</w:t>
            </w:r>
          </w:p>
        </w:tc>
        <w:tc>
          <w:tcPr>
            <w:tcW w:w="1110" w:type="dxa"/>
            <w:tcBorders>
              <w:top w:val="single" w:sz="8" w:space="0" w:color="BFBFBF"/>
              <w:left w:val="nil"/>
              <w:bottom w:val="single" w:sz="8" w:space="0" w:color="BFBFBF"/>
              <w:right w:val="single" w:sz="8" w:space="0" w:color="BFBFBF"/>
            </w:tcBorders>
            <w:shd w:val="clear" w:color="auto" w:fill="auto"/>
            <w:noWrap/>
            <w:vAlign w:val="center"/>
            <w:hideMark/>
          </w:tcPr>
          <w:p w14:paraId="2730A069"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2021</w:t>
            </w:r>
          </w:p>
        </w:tc>
        <w:tc>
          <w:tcPr>
            <w:tcW w:w="1110" w:type="dxa"/>
            <w:tcBorders>
              <w:top w:val="single" w:sz="8" w:space="0" w:color="BFBFBF"/>
              <w:left w:val="nil"/>
              <w:bottom w:val="single" w:sz="8" w:space="0" w:color="BFBFBF"/>
              <w:right w:val="single" w:sz="8" w:space="0" w:color="BFBFBF"/>
            </w:tcBorders>
            <w:shd w:val="clear" w:color="auto" w:fill="auto"/>
            <w:noWrap/>
            <w:vAlign w:val="center"/>
            <w:hideMark/>
          </w:tcPr>
          <w:p w14:paraId="0F8697B7"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2022</w:t>
            </w:r>
          </w:p>
        </w:tc>
        <w:tc>
          <w:tcPr>
            <w:tcW w:w="289" w:type="dxa"/>
            <w:tcBorders>
              <w:top w:val="single" w:sz="8" w:space="0" w:color="BFBFBF"/>
              <w:left w:val="nil"/>
              <w:bottom w:val="single" w:sz="8" w:space="0" w:color="BFBFBF"/>
              <w:right w:val="single" w:sz="8" w:space="0" w:color="BFBFBF"/>
            </w:tcBorders>
            <w:shd w:val="clear" w:color="auto" w:fill="auto"/>
            <w:vAlign w:val="center"/>
            <w:hideMark/>
          </w:tcPr>
          <w:p w14:paraId="39770A78"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 </w:t>
            </w:r>
          </w:p>
        </w:tc>
        <w:tc>
          <w:tcPr>
            <w:tcW w:w="1132" w:type="dxa"/>
            <w:tcBorders>
              <w:top w:val="single" w:sz="8" w:space="0" w:color="BFBFBF"/>
              <w:left w:val="nil"/>
              <w:bottom w:val="single" w:sz="8" w:space="0" w:color="BFBFBF"/>
              <w:right w:val="single" w:sz="8" w:space="0" w:color="BFBFBF"/>
            </w:tcBorders>
            <w:shd w:val="clear" w:color="auto" w:fill="auto"/>
            <w:noWrap/>
            <w:vAlign w:val="center"/>
            <w:hideMark/>
          </w:tcPr>
          <w:p w14:paraId="26D95FE8"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2020</w:t>
            </w:r>
          </w:p>
        </w:tc>
        <w:tc>
          <w:tcPr>
            <w:tcW w:w="1132" w:type="dxa"/>
            <w:tcBorders>
              <w:top w:val="single" w:sz="8" w:space="0" w:color="BFBFBF"/>
              <w:left w:val="nil"/>
              <w:bottom w:val="single" w:sz="8" w:space="0" w:color="BFBFBF"/>
              <w:right w:val="single" w:sz="8" w:space="0" w:color="BFBFBF"/>
            </w:tcBorders>
            <w:shd w:val="clear" w:color="auto" w:fill="auto"/>
            <w:noWrap/>
            <w:vAlign w:val="center"/>
            <w:hideMark/>
          </w:tcPr>
          <w:p w14:paraId="7C41179A"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2021</w:t>
            </w:r>
          </w:p>
        </w:tc>
        <w:tc>
          <w:tcPr>
            <w:tcW w:w="1133" w:type="dxa"/>
            <w:tcBorders>
              <w:top w:val="single" w:sz="8" w:space="0" w:color="BFBFBF"/>
              <w:left w:val="nil"/>
              <w:bottom w:val="single" w:sz="8" w:space="0" w:color="BFBFBF"/>
              <w:right w:val="single" w:sz="8" w:space="0" w:color="BFBFBF"/>
            </w:tcBorders>
            <w:shd w:val="clear" w:color="auto" w:fill="auto"/>
            <w:noWrap/>
            <w:vAlign w:val="center"/>
            <w:hideMark/>
          </w:tcPr>
          <w:p w14:paraId="6833645B"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2022</w:t>
            </w:r>
          </w:p>
        </w:tc>
      </w:tr>
      <w:tr w:rsidR="00AD09FD" w:rsidRPr="00F26F01" w14:paraId="44092E83" w14:textId="77777777" w:rsidTr="00F418CC">
        <w:trPr>
          <w:trHeight w:val="300"/>
        </w:trPr>
        <w:tc>
          <w:tcPr>
            <w:tcW w:w="1833" w:type="dxa"/>
            <w:vMerge w:val="restart"/>
            <w:tcBorders>
              <w:top w:val="nil"/>
              <w:left w:val="single" w:sz="8" w:space="0" w:color="BFBFBF"/>
              <w:bottom w:val="single" w:sz="8" w:space="0" w:color="BFBFBF"/>
              <w:right w:val="single" w:sz="8" w:space="0" w:color="BFBFBF"/>
            </w:tcBorders>
            <w:shd w:val="clear" w:color="000000" w:fill="F2F2F2"/>
            <w:noWrap/>
            <w:vAlign w:val="center"/>
            <w:hideMark/>
          </w:tcPr>
          <w:p w14:paraId="43072F53"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 </w:t>
            </w:r>
          </w:p>
        </w:tc>
        <w:tc>
          <w:tcPr>
            <w:tcW w:w="3329" w:type="dxa"/>
            <w:gridSpan w:val="3"/>
            <w:tcBorders>
              <w:top w:val="single" w:sz="8" w:space="0" w:color="BFBFBF"/>
              <w:left w:val="nil"/>
              <w:bottom w:val="nil"/>
              <w:right w:val="single" w:sz="8" w:space="0" w:color="BFBFBF"/>
            </w:tcBorders>
            <w:shd w:val="clear" w:color="000000" w:fill="F2F2F2"/>
            <w:noWrap/>
            <w:vAlign w:val="center"/>
            <w:hideMark/>
          </w:tcPr>
          <w:p w14:paraId="05AF640A"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 xml:space="preserve">Ingreso por ventas </w:t>
            </w:r>
          </w:p>
        </w:tc>
        <w:tc>
          <w:tcPr>
            <w:tcW w:w="289" w:type="dxa"/>
            <w:vMerge w:val="restart"/>
            <w:tcBorders>
              <w:top w:val="nil"/>
              <w:left w:val="single" w:sz="8" w:space="0" w:color="BFBFBF"/>
              <w:bottom w:val="single" w:sz="8" w:space="0" w:color="BFBFBF"/>
              <w:right w:val="single" w:sz="8" w:space="0" w:color="BFBFBF"/>
            </w:tcBorders>
            <w:shd w:val="clear" w:color="000000" w:fill="F2F2F2"/>
            <w:vAlign w:val="center"/>
            <w:hideMark/>
          </w:tcPr>
          <w:p w14:paraId="349D81CA"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3397" w:type="dxa"/>
            <w:gridSpan w:val="3"/>
            <w:tcBorders>
              <w:top w:val="single" w:sz="8" w:space="0" w:color="BFBFBF"/>
              <w:left w:val="nil"/>
              <w:bottom w:val="nil"/>
              <w:right w:val="single" w:sz="8" w:space="0" w:color="BFBFBF"/>
            </w:tcBorders>
            <w:shd w:val="clear" w:color="000000" w:fill="F2F2F2"/>
            <w:noWrap/>
            <w:vAlign w:val="center"/>
            <w:hideMark/>
          </w:tcPr>
          <w:p w14:paraId="1988F807"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Volumen de ventas</w:t>
            </w:r>
          </w:p>
        </w:tc>
      </w:tr>
      <w:tr w:rsidR="00AD09FD" w:rsidRPr="00F26F01" w14:paraId="74CFC71B" w14:textId="77777777" w:rsidTr="00F418CC">
        <w:trPr>
          <w:trHeight w:val="315"/>
        </w:trPr>
        <w:tc>
          <w:tcPr>
            <w:tcW w:w="1833" w:type="dxa"/>
            <w:vMerge/>
            <w:tcBorders>
              <w:top w:val="nil"/>
              <w:left w:val="single" w:sz="8" w:space="0" w:color="BFBFBF"/>
              <w:bottom w:val="single" w:sz="8" w:space="0" w:color="BFBFBF"/>
              <w:right w:val="single" w:sz="8" w:space="0" w:color="BFBFBF"/>
            </w:tcBorders>
            <w:vAlign w:val="center"/>
            <w:hideMark/>
          </w:tcPr>
          <w:p w14:paraId="30B880C0" w14:textId="77777777" w:rsidR="00F26F01" w:rsidRPr="00F26F01" w:rsidRDefault="00F26F01" w:rsidP="00F26F01">
            <w:pPr>
              <w:spacing w:after="0" w:line="240" w:lineRule="auto"/>
              <w:jc w:val="left"/>
              <w:rPr>
                <w:rFonts w:cs="Arial"/>
                <w:b/>
                <w:bCs/>
                <w:color w:val="000000"/>
                <w:sz w:val="20"/>
                <w:szCs w:val="20"/>
              </w:rPr>
            </w:pPr>
          </w:p>
        </w:tc>
        <w:tc>
          <w:tcPr>
            <w:tcW w:w="3329" w:type="dxa"/>
            <w:gridSpan w:val="3"/>
            <w:tcBorders>
              <w:top w:val="nil"/>
              <w:left w:val="nil"/>
              <w:bottom w:val="single" w:sz="8" w:space="0" w:color="BFBFBF"/>
              <w:right w:val="single" w:sz="8" w:space="0" w:color="BFBFBF"/>
            </w:tcBorders>
            <w:shd w:val="clear" w:color="000000" w:fill="F2F2F2"/>
            <w:noWrap/>
            <w:vAlign w:val="center"/>
            <w:hideMark/>
          </w:tcPr>
          <w:p w14:paraId="3130255C"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(miles de millones ₡)</w:t>
            </w:r>
          </w:p>
        </w:tc>
        <w:tc>
          <w:tcPr>
            <w:tcW w:w="289" w:type="dxa"/>
            <w:vMerge/>
            <w:tcBorders>
              <w:top w:val="nil"/>
              <w:left w:val="single" w:sz="8" w:space="0" w:color="BFBFBF"/>
              <w:bottom w:val="single" w:sz="8" w:space="0" w:color="BFBFBF"/>
              <w:right w:val="single" w:sz="8" w:space="0" w:color="BFBFBF"/>
            </w:tcBorders>
            <w:vAlign w:val="center"/>
            <w:hideMark/>
          </w:tcPr>
          <w:p w14:paraId="1F160B92" w14:textId="77777777" w:rsidR="00F26F01" w:rsidRPr="00F26F01" w:rsidRDefault="00F26F01" w:rsidP="00F26F01">
            <w:pPr>
              <w:spacing w:after="0" w:line="240" w:lineRule="auto"/>
              <w:jc w:val="left"/>
              <w:rPr>
                <w:rFonts w:cs="Arial"/>
                <w:color w:val="000000"/>
                <w:sz w:val="20"/>
                <w:szCs w:val="20"/>
              </w:rPr>
            </w:pPr>
          </w:p>
        </w:tc>
        <w:tc>
          <w:tcPr>
            <w:tcW w:w="3397" w:type="dxa"/>
            <w:gridSpan w:val="3"/>
            <w:tcBorders>
              <w:top w:val="nil"/>
              <w:left w:val="nil"/>
              <w:bottom w:val="single" w:sz="8" w:space="0" w:color="BFBFBF"/>
              <w:right w:val="single" w:sz="8" w:space="0" w:color="BFBFBF"/>
            </w:tcBorders>
            <w:shd w:val="clear" w:color="000000" w:fill="F2F2F2"/>
            <w:noWrap/>
            <w:vAlign w:val="center"/>
            <w:hideMark/>
          </w:tcPr>
          <w:p w14:paraId="2BC6AF04"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(millones de litros)</w:t>
            </w:r>
          </w:p>
        </w:tc>
      </w:tr>
      <w:tr w:rsidR="00F26F01" w:rsidRPr="00F26F01" w14:paraId="791FDDC6"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0A14A164"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Diésel 50</w:t>
            </w:r>
          </w:p>
        </w:tc>
        <w:tc>
          <w:tcPr>
            <w:tcW w:w="1109" w:type="dxa"/>
            <w:tcBorders>
              <w:top w:val="nil"/>
              <w:left w:val="nil"/>
              <w:bottom w:val="single" w:sz="8" w:space="0" w:color="BFBFBF"/>
              <w:right w:val="single" w:sz="8" w:space="0" w:color="BFBFBF"/>
            </w:tcBorders>
            <w:shd w:val="clear" w:color="auto" w:fill="auto"/>
            <w:vAlign w:val="center"/>
            <w:hideMark/>
          </w:tcPr>
          <w:p w14:paraId="54803798"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424,9</w:t>
            </w:r>
          </w:p>
        </w:tc>
        <w:tc>
          <w:tcPr>
            <w:tcW w:w="1110" w:type="dxa"/>
            <w:tcBorders>
              <w:top w:val="nil"/>
              <w:left w:val="nil"/>
              <w:bottom w:val="single" w:sz="8" w:space="0" w:color="BFBFBF"/>
              <w:right w:val="single" w:sz="8" w:space="0" w:color="BFBFBF"/>
            </w:tcBorders>
            <w:shd w:val="clear" w:color="auto" w:fill="auto"/>
            <w:vAlign w:val="center"/>
            <w:hideMark/>
          </w:tcPr>
          <w:p w14:paraId="55E1A84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596,5</w:t>
            </w:r>
          </w:p>
        </w:tc>
        <w:tc>
          <w:tcPr>
            <w:tcW w:w="1110" w:type="dxa"/>
            <w:tcBorders>
              <w:top w:val="nil"/>
              <w:left w:val="nil"/>
              <w:bottom w:val="single" w:sz="8" w:space="0" w:color="BFBFBF"/>
              <w:right w:val="single" w:sz="8" w:space="0" w:color="BFBFBF"/>
            </w:tcBorders>
            <w:shd w:val="clear" w:color="auto" w:fill="auto"/>
            <w:vAlign w:val="center"/>
            <w:hideMark/>
          </w:tcPr>
          <w:p w14:paraId="4D00EC0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918,8</w:t>
            </w:r>
          </w:p>
        </w:tc>
        <w:tc>
          <w:tcPr>
            <w:tcW w:w="289" w:type="dxa"/>
            <w:tcBorders>
              <w:top w:val="nil"/>
              <w:left w:val="nil"/>
              <w:bottom w:val="single" w:sz="8" w:space="0" w:color="BFBFBF"/>
              <w:right w:val="single" w:sz="8" w:space="0" w:color="BFBFBF"/>
            </w:tcBorders>
            <w:shd w:val="clear" w:color="auto" w:fill="auto"/>
            <w:vAlign w:val="center"/>
            <w:hideMark/>
          </w:tcPr>
          <w:p w14:paraId="376BB2A4"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39B11F36"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1 069,50</w:t>
            </w:r>
          </w:p>
        </w:tc>
        <w:tc>
          <w:tcPr>
            <w:tcW w:w="1132" w:type="dxa"/>
            <w:tcBorders>
              <w:top w:val="nil"/>
              <w:left w:val="nil"/>
              <w:bottom w:val="single" w:sz="8" w:space="0" w:color="BFBFBF"/>
              <w:right w:val="single" w:sz="8" w:space="0" w:color="BFBFBF"/>
            </w:tcBorders>
            <w:shd w:val="clear" w:color="auto" w:fill="auto"/>
            <w:vAlign w:val="center"/>
            <w:hideMark/>
          </w:tcPr>
          <w:p w14:paraId="5B07281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1 200,80</w:t>
            </w:r>
          </w:p>
        </w:tc>
        <w:tc>
          <w:tcPr>
            <w:tcW w:w="1133" w:type="dxa"/>
            <w:tcBorders>
              <w:top w:val="nil"/>
              <w:left w:val="nil"/>
              <w:bottom w:val="single" w:sz="8" w:space="0" w:color="BFBFBF"/>
              <w:right w:val="single" w:sz="8" w:space="0" w:color="BFBFBF"/>
            </w:tcBorders>
            <w:shd w:val="clear" w:color="auto" w:fill="auto"/>
            <w:vAlign w:val="center"/>
            <w:hideMark/>
          </w:tcPr>
          <w:p w14:paraId="3C99F384"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1 235,3</w:t>
            </w:r>
          </w:p>
        </w:tc>
      </w:tr>
      <w:tr w:rsidR="00F26F01" w:rsidRPr="00F26F01" w14:paraId="63F7B8FC"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568BF86E"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Gasolina Súper</w:t>
            </w:r>
          </w:p>
        </w:tc>
        <w:tc>
          <w:tcPr>
            <w:tcW w:w="1109" w:type="dxa"/>
            <w:tcBorders>
              <w:top w:val="nil"/>
              <w:left w:val="nil"/>
              <w:bottom w:val="single" w:sz="8" w:space="0" w:color="BFBFBF"/>
              <w:right w:val="single" w:sz="8" w:space="0" w:color="BFBFBF"/>
            </w:tcBorders>
            <w:shd w:val="clear" w:color="000000" w:fill="F2F2F2"/>
            <w:vAlign w:val="center"/>
            <w:hideMark/>
          </w:tcPr>
          <w:p w14:paraId="52C6656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288,9</w:t>
            </w:r>
          </w:p>
        </w:tc>
        <w:tc>
          <w:tcPr>
            <w:tcW w:w="1110" w:type="dxa"/>
            <w:tcBorders>
              <w:top w:val="nil"/>
              <w:left w:val="nil"/>
              <w:bottom w:val="single" w:sz="8" w:space="0" w:color="BFBFBF"/>
              <w:right w:val="single" w:sz="8" w:space="0" w:color="BFBFBF"/>
            </w:tcBorders>
            <w:shd w:val="clear" w:color="000000" w:fill="F2F2F2"/>
            <w:vAlign w:val="center"/>
            <w:hideMark/>
          </w:tcPr>
          <w:p w14:paraId="202D31A2"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393,4</w:t>
            </w:r>
          </w:p>
        </w:tc>
        <w:tc>
          <w:tcPr>
            <w:tcW w:w="1110" w:type="dxa"/>
            <w:tcBorders>
              <w:top w:val="nil"/>
              <w:left w:val="nil"/>
              <w:bottom w:val="single" w:sz="8" w:space="0" w:color="BFBFBF"/>
              <w:right w:val="single" w:sz="8" w:space="0" w:color="BFBFBF"/>
            </w:tcBorders>
            <w:shd w:val="clear" w:color="000000" w:fill="F2F2F2"/>
            <w:vAlign w:val="center"/>
            <w:hideMark/>
          </w:tcPr>
          <w:p w14:paraId="00D5C815"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532,1</w:t>
            </w:r>
          </w:p>
        </w:tc>
        <w:tc>
          <w:tcPr>
            <w:tcW w:w="289" w:type="dxa"/>
            <w:tcBorders>
              <w:top w:val="nil"/>
              <w:left w:val="nil"/>
              <w:bottom w:val="single" w:sz="8" w:space="0" w:color="BFBFBF"/>
              <w:right w:val="single" w:sz="8" w:space="0" w:color="BFBFBF"/>
            </w:tcBorders>
            <w:shd w:val="clear" w:color="000000" w:fill="F2F2F2"/>
            <w:vAlign w:val="center"/>
            <w:hideMark/>
          </w:tcPr>
          <w:p w14:paraId="246971E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7C4334BB"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544,6</w:t>
            </w:r>
          </w:p>
        </w:tc>
        <w:tc>
          <w:tcPr>
            <w:tcW w:w="1132" w:type="dxa"/>
            <w:tcBorders>
              <w:top w:val="nil"/>
              <w:left w:val="nil"/>
              <w:bottom w:val="single" w:sz="8" w:space="0" w:color="BFBFBF"/>
              <w:right w:val="single" w:sz="8" w:space="0" w:color="BFBFBF"/>
            </w:tcBorders>
            <w:shd w:val="clear" w:color="000000" w:fill="F2F2F2"/>
            <w:vAlign w:val="center"/>
            <w:hideMark/>
          </w:tcPr>
          <w:p w14:paraId="394AEDC5"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623,9</w:t>
            </w:r>
          </w:p>
        </w:tc>
        <w:tc>
          <w:tcPr>
            <w:tcW w:w="1133" w:type="dxa"/>
            <w:tcBorders>
              <w:top w:val="nil"/>
              <w:left w:val="nil"/>
              <w:bottom w:val="single" w:sz="8" w:space="0" w:color="BFBFBF"/>
              <w:right w:val="single" w:sz="8" w:space="0" w:color="BFBFBF"/>
            </w:tcBorders>
            <w:shd w:val="clear" w:color="000000" w:fill="F2F2F2"/>
            <w:vAlign w:val="center"/>
            <w:hideMark/>
          </w:tcPr>
          <w:p w14:paraId="0A907C2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657,2</w:t>
            </w:r>
          </w:p>
        </w:tc>
      </w:tr>
      <w:tr w:rsidR="00F26F01" w:rsidRPr="00F26F01" w14:paraId="51F6C7CD"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31808D10"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Gasolina Plus 91</w:t>
            </w:r>
          </w:p>
        </w:tc>
        <w:tc>
          <w:tcPr>
            <w:tcW w:w="1109" w:type="dxa"/>
            <w:tcBorders>
              <w:top w:val="nil"/>
              <w:left w:val="nil"/>
              <w:bottom w:val="single" w:sz="8" w:space="0" w:color="BFBFBF"/>
              <w:right w:val="single" w:sz="8" w:space="0" w:color="BFBFBF"/>
            </w:tcBorders>
            <w:shd w:val="clear" w:color="auto" w:fill="auto"/>
            <w:vAlign w:val="center"/>
            <w:hideMark/>
          </w:tcPr>
          <w:p w14:paraId="2BB07FC5" w14:textId="55A83F1C"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269</w:t>
            </w:r>
            <w:r w:rsidR="0040419A">
              <w:rPr>
                <w:rFonts w:cs="Arial"/>
                <w:color w:val="000000"/>
                <w:sz w:val="20"/>
                <w:szCs w:val="20"/>
              </w:rPr>
              <w:t>,0</w:t>
            </w:r>
          </w:p>
        </w:tc>
        <w:tc>
          <w:tcPr>
            <w:tcW w:w="1110" w:type="dxa"/>
            <w:tcBorders>
              <w:top w:val="nil"/>
              <w:left w:val="nil"/>
              <w:bottom w:val="single" w:sz="8" w:space="0" w:color="BFBFBF"/>
              <w:right w:val="single" w:sz="8" w:space="0" w:color="BFBFBF"/>
            </w:tcBorders>
            <w:shd w:val="clear" w:color="auto" w:fill="auto"/>
            <w:vAlign w:val="center"/>
            <w:hideMark/>
          </w:tcPr>
          <w:p w14:paraId="2D22840E" w14:textId="54A74FCA"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387</w:t>
            </w:r>
            <w:r w:rsidR="0040419A">
              <w:rPr>
                <w:rFonts w:cs="Arial"/>
                <w:color w:val="000000"/>
                <w:sz w:val="20"/>
                <w:szCs w:val="20"/>
              </w:rPr>
              <w:t>,0</w:t>
            </w:r>
          </w:p>
        </w:tc>
        <w:tc>
          <w:tcPr>
            <w:tcW w:w="1110" w:type="dxa"/>
            <w:tcBorders>
              <w:top w:val="nil"/>
              <w:left w:val="nil"/>
              <w:bottom w:val="single" w:sz="8" w:space="0" w:color="BFBFBF"/>
              <w:right w:val="single" w:sz="8" w:space="0" w:color="BFBFBF"/>
            </w:tcBorders>
            <w:shd w:val="clear" w:color="auto" w:fill="auto"/>
            <w:vAlign w:val="center"/>
            <w:hideMark/>
          </w:tcPr>
          <w:p w14:paraId="2030DE9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513,8</w:t>
            </w:r>
          </w:p>
        </w:tc>
        <w:tc>
          <w:tcPr>
            <w:tcW w:w="289" w:type="dxa"/>
            <w:tcBorders>
              <w:top w:val="nil"/>
              <w:left w:val="nil"/>
              <w:bottom w:val="single" w:sz="8" w:space="0" w:color="BFBFBF"/>
              <w:right w:val="single" w:sz="8" w:space="0" w:color="BFBFBF"/>
            </w:tcBorders>
            <w:shd w:val="clear" w:color="auto" w:fill="auto"/>
            <w:vAlign w:val="center"/>
            <w:hideMark/>
          </w:tcPr>
          <w:p w14:paraId="0DD8D22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5201EC1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536,9</w:t>
            </w:r>
          </w:p>
        </w:tc>
        <w:tc>
          <w:tcPr>
            <w:tcW w:w="1132" w:type="dxa"/>
            <w:tcBorders>
              <w:top w:val="nil"/>
              <w:left w:val="nil"/>
              <w:bottom w:val="single" w:sz="8" w:space="0" w:color="BFBFBF"/>
              <w:right w:val="single" w:sz="8" w:space="0" w:color="BFBFBF"/>
            </w:tcBorders>
            <w:shd w:val="clear" w:color="auto" w:fill="auto"/>
            <w:vAlign w:val="center"/>
            <w:hideMark/>
          </w:tcPr>
          <w:p w14:paraId="2ECB1FB9"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635,7</w:t>
            </w:r>
          </w:p>
        </w:tc>
        <w:tc>
          <w:tcPr>
            <w:tcW w:w="1133" w:type="dxa"/>
            <w:tcBorders>
              <w:top w:val="nil"/>
              <w:left w:val="nil"/>
              <w:bottom w:val="single" w:sz="8" w:space="0" w:color="BFBFBF"/>
              <w:right w:val="single" w:sz="8" w:space="0" w:color="BFBFBF"/>
            </w:tcBorders>
            <w:shd w:val="clear" w:color="auto" w:fill="auto"/>
            <w:vAlign w:val="center"/>
            <w:hideMark/>
          </w:tcPr>
          <w:p w14:paraId="418CCF3A"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644,6</w:t>
            </w:r>
          </w:p>
        </w:tc>
      </w:tr>
      <w:tr w:rsidR="00F26F01" w:rsidRPr="00F26F01" w14:paraId="2A73D634"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035BD440"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Jet A-1</w:t>
            </w:r>
          </w:p>
        </w:tc>
        <w:tc>
          <w:tcPr>
            <w:tcW w:w="1109" w:type="dxa"/>
            <w:tcBorders>
              <w:top w:val="nil"/>
              <w:left w:val="nil"/>
              <w:bottom w:val="single" w:sz="8" w:space="0" w:color="BFBFBF"/>
              <w:right w:val="single" w:sz="8" w:space="0" w:color="BFBFBF"/>
            </w:tcBorders>
            <w:shd w:val="clear" w:color="000000" w:fill="F2F2F2"/>
            <w:vAlign w:val="center"/>
            <w:hideMark/>
          </w:tcPr>
          <w:p w14:paraId="74EA4761"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44,8</w:t>
            </w:r>
          </w:p>
        </w:tc>
        <w:tc>
          <w:tcPr>
            <w:tcW w:w="1110" w:type="dxa"/>
            <w:tcBorders>
              <w:top w:val="nil"/>
              <w:left w:val="nil"/>
              <w:bottom w:val="single" w:sz="8" w:space="0" w:color="BFBFBF"/>
              <w:right w:val="single" w:sz="8" w:space="0" w:color="BFBFBF"/>
            </w:tcBorders>
            <w:shd w:val="clear" w:color="000000" w:fill="F2F2F2"/>
            <w:vAlign w:val="center"/>
            <w:hideMark/>
          </w:tcPr>
          <w:p w14:paraId="5AC153E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87,9</w:t>
            </w:r>
          </w:p>
        </w:tc>
        <w:tc>
          <w:tcPr>
            <w:tcW w:w="1110" w:type="dxa"/>
            <w:tcBorders>
              <w:top w:val="nil"/>
              <w:left w:val="nil"/>
              <w:bottom w:val="single" w:sz="8" w:space="0" w:color="BFBFBF"/>
              <w:right w:val="single" w:sz="8" w:space="0" w:color="BFBFBF"/>
            </w:tcBorders>
            <w:shd w:val="clear" w:color="000000" w:fill="F2F2F2"/>
            <w:vAlign w:val="center"/>
            <w:hideMark/>
          </w:tcPr>
          <w:p w14:paraId="45BD25A1"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212,7</w:t>
            </w:r>
          </w:p>
        </w:tc>
        <w:tc>
          <w:tcPr>
            <w:tcW w:w="289" w:type="dxa"/>
            <w:tcBorders>
              <w:top w:val="nil"/>
              <w:left w:val="nil"/>
              <w:bottom w:val="single" w:sz="8" w:space="0" w:color="BFBFBF"/>
              <w:right w:val="single" w:sz="8" w:space="0" w:color="BFBFBF"/>
            </w:tcBorders>
            <w:shd w:val="clear" w:color="000000" w:fill="F2F2F2"/>
            <w:vAlign w:val="center"/>
            <w:hideMark/>
          </w:tcPr>
          <w:p w14:paraId="0459615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73F8F863"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128,5</w:t>
            </w:r>
          </w:p>
        </w:tc>
        <w:tc>
          <w:tcPr>
            <w:tcW w:w="1132" w:type="dxa"/>
            <w:tcBorders>
              <w:top w:val="nil"/>
              <w:left w:val="nil"/>
              <w:bottom w:val="single" w:sz="8" w:space="0" w:color="BFBFBF"/>
              <w:right w:val="single" w:sz="8" w:space="0" w:color="BFBFBF"/>
            </w:tcBorders>
            <w:shd w:val="clear" w:color="000000" w:fill="F2F2F2"/>
            <w:vAlign w:val="center"/>
            <w:hideMark/>
          </w:tcPr>
          <w:p w14:paraId="315DD25F"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218,7</w:t>
            </w:r>
          </w:p>
        </w:tc>
        <w:tc>
          <w:tcPr>
            <w:tcW w:w="1133" w:type="dxa"/>
            <w:tcBorders>
              <w:top w:val="nil"/>
              <w:left w:val="nil"/>
              <w:bottom w:val="single" w:sz="8" w:space="0" w:color="BFBFBF"/>
              <w:right w:val="single" w:sz="8" w:space="0" w:color="BFBFBF"/>
            </w:tcBorders>
            <w:shd w:val="clear" w:color="000000" w:fill="F2F2F2"/>
            <w:vAlign w:val="center"/>
            <w:hideMark/>
          </w:tcPr>
          <w:p w14:paraId="775C4945"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313,3</w:t>
            </w:r>
          </w:p>
        </w:tc>
      </w:tr>
      <w:tr w:rsidR="00F26F01" w:rsidRPr="00F26F01" w14:paraId="097FB661"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38ED3F5D"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GLP</w:t>
            </w:r>
          </w:p>
        </w:tc>
        <w:tc>
          <w:tcPr>
            <w:tcW w:w="1109" w:type="dxa"/>
            <w:tcBorders>
              <w:top w:val="nil"/>
              <w:left w:val="nil"/>
              <w:bottom w:val="single" w:sz="8" w:space="0" w:color="BFBFBF"/>
              <w:right w:val="single" w:sz="8" w:space="0" w:color="BFBFBF"/>
            </w:tcBorders>
            <w:shd w:val="clear" w:color="auto" w:fill="auto"/>
            <w:vAlign w:val="center"/>
            <w:hideMark/>
          </w:tcPr>
          <w:p w14:paraId="00A4AEA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43,6</w:t>
            </w:r>
          </w:p>
        </w:tc>
        <w:tc>
          <w:tcPr>
            <w:tcW w:w="1110" w:type="dxa"/>
            <w:tcBorders>
              <w:top w:val="nil"/>
              <w:left w:val="nil"/>
              <w:bottom w:val="single" w:sz="8" w:space="0" w:color="BFBFBF"/>
              <w:right w:val="single" w:sz="8" w:space="0" w:color="BFBFBF"/>
            </w:tcBorders>
            <w:shd w:val="clear" w:color="auto" w:fill="auto"/>
            <w:vAlign w:val="center"/>
            <w:hideMark/>
          </w:tcPr>
          <w:p w14:paraId="48CCE44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89,6</w:t>
            </w:r>
          </w:p>
        </w:tc>
        <w:tc>
          <w:tcPr>
            <w:tcW w:w="1110" w:type="dxa"/>
            <w:tcBorders>
              <w:top w:val="nil"/>
              <w:left w:val="nil"/>
              <w:bottom w:val="single" w:sz="8" w:space="0" w:color="BFBFBF"/>
              <w:right w:val="single" w:sz="8" w:space="0" w:color="BFBFBF"/>
            </w:tcBorders>
            <w:shd w:val="clear" w:color="auto" w:fill="auto"/>
            <w:vAlign w:val="center"/>
            <w:hideMark/>
          </w:tcPr>
          <w:p w14:paraId="775F618B"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104,2</w:t>
            </w:r>
          </w:p>
        </w:tc>
        <w:tc>
          <w:tcPr>
            <w:tcW w:w="289" w:type="dxa"/>
            <w:tcBorders>
              <w:top w:val="nil"/>
              <w:left w:val="nil"/>
              <w:bottom w:val="single" w:sz="8" w:space="0" w:color="BFBFBF"/>
              <w:right w:val="single" w:sz="8" w:space="0" w:color="BFBFBF"/>
            </w:tcBorders>
            <w:shd w:val="clear" w:color="auto" w:fill="auto"/>
            <w:vAlign w:val="center"/>
            <w:hideMark/>
          </w:tcPr>
          <w:p w14:paraId="212E1BAB"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00E8208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328,8</w:t>
            </w:r>
          </w:p>
        </w:tc>
        <w:tc>
          <w:tcPr>
            <w:tcW w:w="1132" w:type="dxa"/>
            <w:tcBorders>
              <w:top w:val="nil"/>
              <w:left w:val="nil"/>
              <w:bottom w:val="single" w:sz="8" w:space="0" w:color="BFBFBF"/>
              <w:right w:val="single" w:sz="8" w:space="0" w:color="BFBFBF"/>
            </w:tcBorders>
            <w:shd w:val="clear" w:color="auto" w:fill="auto"/>
            <w:vAlign w:val="center"/>
            <w:hideMark/>
          </w:tcPr>
          <w:p w14:paraId="64339CE0"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371,3</w:t>
            </w:r>
          </w:p>
        </w:tc>
        <w:tc>
          <w:tcPr>
            <w:tcW w:w="1133" w:type="dxa"/>
            <w:tcBorders>
              <w:top w:val="nil"/>
              <w:left w:val="nil"/>
              <w:bottom w:val="single" w:sz="8" w:space="0" w:color="BFBFBF"/>
              <w:right w:val="single" w:sz="8" w:space="0" w:color="BFBFBF"/>
            </w:tcBorders>
            <w:shd w:val="clear" w:color="auto" w:fill="auto"/>
            <w:vAlign w:val="center"/>
            <w:hideMark/>
          </w:tcPr>
          <w:p w14:paraId="2B16171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404,5</w:t>
            </w:r>
          </w:p>
        </w:tc>
      </w:tr>
      <w:tr w:rsidR="00F26F01" w:rsidRPr="00F26F01" w14:paraId="3A5A881F"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03845A7E"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Búnker (3%S y Térmico)</w:t>
            </w:r>
          </w:p>
        </w:tc>
        <w:tc>
          <w:tcPr>
            <w:tcW w:w="1109" w:type="dxa"/>
            <w:tcBorders>
              <w:top w:val="nil"/>
              <w:left w:val="nil"/>
              <w:bottom w:val="single" w:sz="8" w:space="0" w:color="BFBFBF"/>
              <w:right w:val="single" w:sz="8" w:space="0" w:color="BFBFBF"/>
            </w:tcBorders>
            <w:shd w:val="clear" w:color="000000" w:fill="F2F2F2"/>
            <w:vAlign w:val="center"/>
            <w:hideMark/>
          </w:tcPr>
          <w:p w14:paraId="0790508B"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14,5</w:t>
            </w:r>
          </w:p>
        </w:tc>
        <w:tc>
          <w:tcPr>
            <w:tcW w:w="1110" w:type="dxa"/>
            <w:tcBorders>
              <w:top w:val="nil"/>
              <w:left w:val="nil"/>
              <w:bottom w:val="single" w:sz="8" w:space="0" w:color="BFBFBF"/>
              <w:right w:val="single" w:sz="8" w:space="0" w:color="BFBFBF"/>
            </w:tcBorders>
            <w:shd w:val="clear" w:color="000000" w:fill="F2F2F2"/>
            <w:vAlign w:val="center"/>
            <w:hideMark/>
          </w:tcPr>
          <w:p w14:paraId="466EA3E3"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27,6</w:t>
            </w:r>
          </w:p>
        </w:tc>
        <w:tc>
          <w:tcPr>
            <w:tcW w:w="1110" w:type="dxa"/>
            <w:tcBorders>
              <w:top w:val="nil"/>
              <w:left w:val="nil"/>
              <w:bottom w:val="single" w:sz="8" w:space="0" w:color="BFBFBF"/>
              <w:right w:val="single" w:sz="8" w:space="0" w:color="BFBFBF"/>
            </w:tcBorders>
            <w:shd w:val="clear" w:color="000000" w:fill="F2F2F2"/>
            <w:vAlign w:val="center"/>
            <w:hideMark/>
          </w:tcPr>
          <w:p w14:paraId="1D920892"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39,9</w:t>
            </w:r>
          </w:p>
        </w:tc>
        <w:tc>
          <w:tcPr>
            <w:tcW w:w="289" w:type="dxa"/>
            <w:tcBorders>
              <w:top w:val="nil"/>
              <w:left w:val="nil"/>
              <w:bottom w:val="single" w:sz="8" w:space="0" w:color="BFBFBF"/>
              <w:right w:val="single" w:sz="8" w:space="0" w:color="BFBFBF"/>
            </w:tcBorders>
            <w:shd w:val="clear" w:color="000000" w:fill="F2F2F2"/>
            <w:vAlign w:val="center"/>
            <w:hideMark/>
          </w:tcPr>
          <w:p w14:paraId="065F78F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17B18BB5"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89,2</w:t>
            </w:r>
          </w:p>
        </w:tc>
        <w:tc>
          <w:tcPr>
            <w:tcW w:w="1132" w:type="dxa"/>
            <w:tcBorders>
              <w:top w:val="nil"/>
              <w:left w:val="nil"/>
              <w:bottom w:val="single" w:sz="8" w:space="0" w:color="BFBFBF"/>
              <w:right w:val="single" w:sz="8" w:space="0" w:color="BFBFBF"/>
            </w:tcBorders>
            <w:shd w:val="clear" w:color="000000" w:fill="F2F2F2"/>
            <w:vAlign w:val="center"/>
            <w:hideMark/>
          </w:tcPr>
          <w:p w14:paraId="114953A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100,7</w:t>
            </w:r>
          </w:p>
        </w:tc>
        <w:tc>
          <w:tcPr>
            <w:tcW w:w="1133" w:type="dxa"/>
            <w:tcBorders>
              <w:top w:val="nil"/>
              <w:left w:val="nil"/>
              <w:bottom w:val="single" w:sz="8" w:space="0" w:color="BFBFBF"/>
              <w:right w:val="single" w:sz="8" w:space="0" w:color="BFBFBF"/>
            </w:tcBorders>
            <w:shd w:val="clear" w:color="000000" w:fill="F2F2F2"/>
            <w:vAlign w:val="center"/>
            <w:hideMark/>
          </w:tcPr>
          <w:p w14:paraId="451B10A6" w14:textId="1A2A14FB" w:rsidR="00F26F01" w:rsidRPr="00F26F01" w:rsidRDefault="00F26F01" w:rsidP="00F26F01">
            <w:pPr>
              <w:spacing w:after="0" w:line="240" w:lineRule="auto"/>
              <w:jc w:val="right"/>
              <w:rPr>
                <w:rFonts w:cs="Arial"/>
                <w:color w:val="000000"/>
                <w:sz w:val="20"/>
                <w:szCs w:val="20"/>
              </w:rPr>
            </w:pPr>
            <w:r w:rsidRPr="00F26F01">
              <w:rPr>
                <w:rFonts w:cs="Arial"/>
                <w:sz w:val="20"/>
                <w:szCs w:val="20"/>
              </w:rPr>
              <w:t>102</w:t>
            </w:r>
            <w:r w:rsidR="0040419A">
              <w:rPr>
                <w:rFonts w:cs="Arial"/>
                <w:sz w:val="20"/>
                <w:szCs w:val="20"/>
              </w:rPr>
              <w:t>,0</w:t>
            </w:r>
          </w:p>
        </w:tc>
      </w:tr>
      <w:tr w:rsidR="00F26F01" w:rsidRPr="00F26F01" w14:paraId="6E822FE7"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3E24E29B"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Asfalto y emulsiones</w:t>
            </w:r>
          </w:p>
        </w:tc>
        <w:tc>
          <w:tcPr>
            <w:tcW w:w="1109" w:type="dxa"/>
            <w:tcBorders>
              <w:top w:val="nil"/>
              <w:left w:val="nil"/>
              <w:bottom w:val="single" w:sz="8" w:space="0" w:color="BFBFBF"/>
              <w:right w:val="single" w:sz="8" w:space="0" w:color="BFBFBF"/>
            </w:tcBorders>
            <w:shd w:val="clear" w:color="auto" w:fill="auto"/>
            <w:vAlign w:val="center"/>
            <w:hideMark/>
          </w:tcPr>
          <w:p w14:paraId="281629E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20,2</w:t>
            </w:r>
          </w:p>
        </w:tc>
        <w:tc>
          <w:tcPr>
            <w:tcW w:w="1110" w:type="dxa"/>
            <w:tcBorders>
              <w:top w:val="nil"/>
              <w:left w:val="nil"/>
              <w:bottom w:val="single" w:sz="8" w:space="0" w:color="BFBFBF"/>
              <w:right w:val="single" w:sz="8" w:space="0" w:color="BFBFBF"/>
            </w:tcBorders>
            <w:shd w:val="clear" w:color="auto" w:fill="auto"/>
            <w:vAlign w:val="center"/>
            <w:hideMark/>
          </w:tcPr>
          <w:p w14:paraId="755160D8"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19,7</w:t>
            </w:r>
          </w:p>
        </w:tc>
        <w:tc>
          <w:tcPr>
            <w:tcW w:w="1110" w:type="dxa"/>
            <w:tcBorders>
              <w:top w:val="nil"/>
              <w:left w:val="nil"/>
              <w:bottom w:val="single" w:sz="8" w:space="0" w:color="BFBFBF"/>
              <w:right w:val="single" w:sz="8" w:space="0" w:color="BFBFBF"/>
            </w:tcBorders>
            <w:shd w:val="clear" w:color="auto" w:fill="auto"/>
            <w:vAlign w:val="center"/>
            <w:hideMark/>
          </w:tcPr>
          <w:p w14:paraId="4DFD42F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25,6</w:t>
            </w:r>
          </w:p>
        </w:tc>
        <w:tc>
          <w:tcPr>
            <w:tcW w:w="289" w:type="dxa"/>
            <w:tcBorders>
              <w:top w:val="nil"/>
              <w:left w:val="nil"/>
              <w:bottom w:val="single" w:sz="8" w:space="0" w:color="BFBFBF"/>
              <w:right w:val="single" w:sz="8" w:space="0" w:color="BFBFBF"/>
            </w:tcBorders>
            <w:shd w:val="clear" w:color="auto" w:fill="auto"/>
            <w:vAlign w:val="center"/>
            <w:hideMark/>
          </w:tcPr>
          <w:p w14:paraId="07FDF6CA"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34F151B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93,1</w:t>
            </w:r>
          </w:p>
        </w:tc>
        <w:tc>
          <w:tcPr>
            <w:tcW w:w="1132" w:type="dxa"/>
            <w:tcBorders>
              <w:top w:val="nil"/>
              <w:left w:val="nil"/>
              <w:bottom w:val="single" w:sz="8" w:space="0" w:color="BFBFBF"/>
              <w:right w:val="single" w:sz="8" w:space="0" w:color="BFBFBF"/>
            </w:tcBorders>
            <w:shd w:val="clear" w:color="auto" w:fill="auto"/>
            <w:vAlign w:val="center"/>
            <w:hideMark/>
          </w:tcPr>
          <w:p w14:paraId="28D7B08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64</w:t>
            </w:r>
          </w:p>
        </w:tc>
        <w:tc>
          <w:tcPr>
            <w:tcW w:w="1133" w:type="dxa"/>
            <w:tcBorders>
              <w:top w:val="nil"/>
              <w:left w:val="nil"/>
              <w:bottom w:val="single" w:sz="8" w:space="0" w:color="BFBFBF"/>
              <w:right w:val="single" w:sz="8" w:space="0" w:color="BFBFBF"/>
            </w:tcBorders>
            <w:shd w:val="clear" w:color="auto" w:fill="auto"/>
            <w:vAlign w:val="center"/>
            <w:hideMark/>
          </w:tcPr>
          <w:p w14:paraId="759BA126"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53,3</w:t>
            </w:r>
          </w:p>
        </w:tc>
      </w:tr>
      <w:tr w:rsidR="00F26F01" w:rsidRPr="00F26F01" w14:paraId="4AB526E4"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1374AFED"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Otros</w:t>
            </w:r>
          </w:p>
        </w:tc>
        <w:tc>
          <w:tcPr>
            <w:tcW w:w="1109" w:type="dxa"/>
            <w:tcBorders>
              <w:top w:val="nil"/>
              <w:left w:val="nil"/>
              <w:bottom w:val="single" w:sz="8" w:space="0" w:color="BFBFBF"/>
              <w:right w:val="single" w:sz="8" w:space="0" w:color="BFBFBF"/>
            </w:tcBorders>
            <w:shd w:val="clear" w:color="000000" w:fill="F2F2F2"/>
            <w:vAlign w:val="center"/>
            <w:hideMark/>
          </w:tcPr>
          <w:p w14:paraId="7E8DC613"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4,1</w:t>
            </w:r>
          </w:p>
        </w:tc>
        <w:tc>
          <w:tcPr>
            <w:tcW w:w="1110" w:type="dxa"/>
            <w:tcBorders>
              <w:top w:val="nil"/>
              <w:left w:val="nil"/>
              <w:bottom w:val="single" w:sz="8" w:space="0" w:color="BFBFBF"/>
              <w:right w:val="single" w:sz="8" w:space="0" w:color="BFBFBF"/>
            </w:tcBorders>
            <w:shd w:val="clear" w:color="000000" w:fill="F2F2F2"/>
            <w:vAlign w:val="center"/>
            <w:hideMark/>
          </w:tcPr>
          <w:p w14:paraId="1FF4C2D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9,1</w:t>
            </w:r>
          </w:p>
        </w:tc>
        <w:tc>
          <w:tcPr>
            <w:tcW w:w="1110" w:type="dxa"/>
            <w:tcBorders>
              <w:top w:val="nil"/>
              <w:left w:val="nil"/>
              <w:bottom w:val="single" w:sz="8" w:space="0" w:color="BFBFBF"/>
              <w:right w:val="single" w:sz="8" w:space="0" w:color="BFBFBF"/>
            </w:tcBorders>
            <w:shd w:val="clear" w:color="000000" w:fill="F2F2F2"/>
            <w:vAlign w:val="center"/>
            <w:hideMark/>
          </w:tcPr>
          <w:p w14:paraId="0BE35001"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18,1</w:t>
            </w:r>
          </w:p>
        </w:tc>
        <w:tc>
          <w:tcPr>
            <w:tcW w:w="289" w:type="dxa"/>
            <w:tcBorders>
              <w:top w:val="nil"/>
              <w:left w:val="nil"/>
              <w:bottom w:val="single" w:sz="8" w:space="0" w:color="BFBFBF"/>
              <w:right w:val="single" w:sz="8" w:space="0" w:color="BFBFBF"/>
            </w:tcBorders>
            <w:shd w:val="clear" w:color="000000" w:fill="F2F2F2"/>
            <w:vAlign w:val="center"/>
            <w:hideMark/>
          </w:tcPr>
          <w:p w14:paraId="2A80FC0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31522F5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12,6</w:t>
            </w:r>
          </w:p>
        </w:tc>
        <w:tc>
          <w:tcPr>
            <w:tcW w:w="1132" w:type="dxa"/>
            <w:tcBorders>
              <w:top w:val="nil"/>
              <w:left w:val="nil"/>
              <w:bottom w:val="single" w:sz="8" w:space="0" w:color="BFBFBF"/>
              <w:right w:val="single" w:sz="8" w:space="0" w:color="BFBFBF"/>
            </w:tcBorders>
            <w:shd w:val="clear" w:color="000000" w:fill="F2F2F2"/>
            <w:vAlign w:val="center"/>
            <w:hideMark/>
          </w:tcPr>
          <w:p w14:paraId="38EF651D"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29,7</w:t>
            </w:r>
          </w:p>
        </w:tc>
        <w:tc>
          <w:tcPr>
            <w:tcW w:w="1133" w:type="dxa"/>
            <w:tcBorders>
              <w:top w:val="nil"/>
              <w:left w:val="nil"/>
              <w:bottom w:val="single" w:sz="8" w:space="0" w:color="BFBFBF"/>
              <w:right w:val="single" w:sz="8" w:space="0" w:color="BFBFBF"/>
            </w:tcBorders>
            <w:shd w:val="clear" w:color="000000" w:fill="F2F2F2"/>
            <w:vAlign w:val="center"/>
            <w:hideMark/>
          </w:tcPr>
          <w:p w14:paraId="5306E612"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38,7</w:t>
            </w:r>
          </w:p>
        </w:tc>
      </w:tr>
      <w:tr w:rsidR="00F26F01" w:rsidRPr="00F26F01" w14:paraId="1883316F"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22A1D751" w14:textId="77777777" w:rsidR="00F26F01" w:rsidRPr="00F26F01" w:rsidRDefault="00F26F01" w:rsidP="00F26F01">
            <w:pPr>
              <w:spacing w:after="0" w:line="240" w:lineRule="auto"/>
              <w:jc w:val="left"/>
              <w:rPr>
                <w:rFonts w:cs="Arial"/>
                <w:color w:val="000000"/>
                <w:sz w:val="20"/>
                <w:szCs w:val="20"/>
              </w:rPr>
            </w:pPr>
            <w:r w:rsidRPr="00F26F01">
              <w:rPr>
                <w:rFonts w:cs="Arial"/>
                <w:bCs/>
                <w:color w:val="000000"/>
                <w:sz w:val="20"/>
                <w:szCs w:val="20"/>
              </w:rPr>
              <w:t>Total</w:t>
            </w:r>
          </w:p>
        </w:tc>
        <w:tc>
          <w:tcPr>
            <w:tcW w:w="1109" w:type="dxa"/>
            <w:tcBorders>
              <w:top w:val="nil"/>
              <w:left w:val="nil"/>
              <w:bottom w:val="single" w:sz="8" w:space="0" w:color="BFBFBF"/>
              <w:right w:val="single" w:sz="8" w:space="0" w:color="BFBFBF"/>
            </w:tcBorders>
            <w:shd w:val="clear" w:color="auto" w:fill="auto"/>
            <w:vAlign w:val="center"/>
            <w:hideMark/>
          </w:tcPr>
          <w:p w14:paraId="35CDF3C7"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1 110,00</w:t>
            </w:r>
          </w:p>
        </w:tc>
        <w:tc>
          <w:tcPr>
            <w:tcW w:w="1110" w:type="dxa"/>
            <w:tcBorders>
              <w:top w:val="nil"/>
              <w:left w:val="nil"/>
              <w:bottom w:val="single" w:sz="8" w:space="0" w:color="BFBFBF"/>
              <w:right w:val="single" w:sz="8" w:space="0" w:color="BFBFBF"/>
            </w:tcBorders>
            <w:shd w:val="clear" w:color="auto" w:fill="auto"/>
            <w:vAlign w:val="center"/>
            <w:hideMark/>
          </w:tcPr>
          <w:p w14:paraId="390DD95B"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1 611,00</w:t>
            </w:r>
          </w:p>
        </w:tc>
        <w:tc>
          <w:tcPr>
            <w:tcW w:w="1110" w:type="dxa"/>
            <w:tcBorders>
              <w:top w:val="nil"/>
              <w:left w:val="nil"/>
              <w:bottom w:val="single" w:sz="8" w:space="0" w:color="BFBFBF"/>
              <w:right w:val="single" w:sz="8" w:space="0" w:color="BFBFBF"/>
            </w:tcBorders>
            <w:shd w:val="clear" w:color="auto" w:fill="auto"/>
            <w:vAlign w:val="center"/>
            <w:hideMark/>
          </w:tcPr>
          <w:p w14:paraId="63585D82"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2 365,3</w:t>
            </w:r>
          </w:p>
        </w:tc>
        <w:tc>
          <w:tcPr>
            <w:tcW w:w="289" w:type="dxa"/>
            <w:tcBorders>
              <w:top w:val="nil"/>
              <w:left w:val="nil"/>
              <w:bottom w:val="single" w:sz="8" w:space="0" w:color="BFBFBF"/>
              <w:right w:val="single" w:sz="8" w:space="0" w:color="BFBFBF"/>
            </w:tcBorders>
            <w:shd w:val="clear" w:color="auto" w:fill="auto"/>
            <w:vAlign w:val="center"/>
            <w:hideMark/>
          </w:tcPr>
          <w:p w14:paraId="5008422E"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67DFC583"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2 803,20</w:t>
            </w:r>
          </w:p>
        </w:tc>
        <w:tc>
          <w:tcPr>
            <w:tcW w:w="1132" w:type="dxa"/>
            <w:tcBorders>
              <w:top w:val="nil"/>
              <w:left w:val="nil"/>
              <w:bottom w:val="single" w:sz="8" w:space="0" w:color="BFBFBF"/>
              <w:right w:val="single" w:sz="8" w:space="0" w:color="BFBFBF"/>
            </w:tcBorders>
            <w:shd w:val="clear" w:color="auto" w:fill="auto"/>
            <w:vAlign w:val="center"/>
            <w:hideMark/>
          </w:tcPr>
          <w:p w14:paraId="0EA91486"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3 244,90</w:t>
            </w:r>
          </w:p>
        </w:tc>
        <w:tc>
          <w:tcPr>
            <w:tcW w:w="1133" w:type="dxa"/>
            <w:tcBorders>
              <w:top w:val="nil"/>
              <w:left w:val="nil"/>
              <w:bottom w:val="single" w:sz="8" w:space="0" w:color="BFBFBF"/>
              <w:right w:val="single" w:sz="8" w:space="0" w:color="BFBFBF"/>
            </w:tcBorders>
            <w:shd w:val="clear" w:color="auto" w:fill="auto"/>
            <w:vAlign w:val="center"/>
            <w:hideMark/>
          </w:tcPr>
          <w:p w14:paraId="07851BAB"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3 448,7</w:t>
            </w:r>
          </w:p>
        </w:tc>
      </w:tr>
      <w:tr w:rsidR="00AD09FD" w:rsidRPr="00F26F01" w14:paraId="268A61E4" w14:textId="77777777" w:rsidTr="00F418CC">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7C0C3FA5"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 </w:t>
            </w:r>
          </w:p>
        </w:tc>
        <w:tc>
          <w:tcPr>
            <w:tcW w:w="3329" w:type="dxa"/>
            <w:gridSpan w:val="3"/>
            <w:tcBorders>
              <w:top w:val="single" w:sz="8" w:space="0" w:color="BFBFBF"/>
              <w:left w:val="nil"/>
              <w:bottom w:val="single" w:sz="8" w:space="0" w:color="BFBFBF"/>
              <w:right w:val="single" w:sz="8" w:space="0" w:color="BFBFBF"/>
            </w:tcBorders>
            <w:shd w:val="clear" w:color="000000" w:fill="F2F2F2"/>
            <w:vAlign w:val="center"/>
            <w:hideMark/>
          </w:tcPr>
          <w:p w14:paraId="7CF2925A"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Tasa de crecimiento</w:t>
            </w:r>
          </w:p>
        </w:tc>
        <w:tc>
          <w:tcPr>
            <w:tcW w:w="289" w:type="dxa"/>
            <w:tcBorders>
              <w:top w:val="nil"/>
              <w:left w:val="nil"/>
              <w:bottom w:val="single" w:sz="8" w:space="0" w:color="BFBFBF"/>
              <w:right w:val="single" w:sz="8" w:space="0" w:color="BFBFBF"/>
            </w:tcBorders>
            <w:shd w:val="clear" w:color="000000" w:fill="F2F2F2"/>
            <w:vAlign w:val="center"/>
            <w:hideMark/>
          </w:tcPr>
          <w:p w14:paraId="00E578D1" w14:textId="77777777" w:rsidR="00F26F01" w:rsidRPr="00F26F01" w:rsidRDefault="00F26F01" w:rsidP="00F26F01">
            <w:pPr>
              <w:spacing w:after="0" w:line="240" w:lineRule="auto"/>
              <w:jc w:val="right"/>
              <w:rPr>
                <w:rFonts w:cs="Arial"/>
                <w:b/>
                <w:bCs/>
                <w:color w:val="002060"/>
                <w:sz w:val="20"/>
                <w:szCs w:val="20"/>
              </w:rPr>
            </w:pPr>
            <w:r w:rsidRPr="00F26F01">
              <w:rPr>
                <w:rFonts w:cs="Arial"/>
                <w:b/>
                <w:bCs/>
                <w:color w:val="002060"/>
                <w:sz w:val="20"/>
                <w:szCs w:val="20"/>
              </w:rPr>
              <w:t> </w:t>
            </w:r>
          </w:p>
        </w:tc>
        <w:tc>
          <w:tcPr>
            <w:tcW w:w="3397" w:type="dxa"/>
            <w:gridSpan w:val="3"/>
            <w:tcBorders>
              <w:top w:val="single" w:sz="8" w:space="0" w:color="BFBFBF"/>
              <w:left w:val="nil"/>
              <w:bottom w:val="single" w:sz="8" w:space="0" w:color="BFBFBF"/>
              <w:right w:val="single" w:sz="8" w:space="0" w:color="BFBFBF"/>
            </w:tcBorders>
            <w:shd w:val="clear" w:color="000000" w:fill="F2F2F2"/>
            <w:vAlign w:val="center"/>
            <w:hideMark/>
          </w:tcPr>
          <w:p w14:paraId="7E588F9C"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Tasa de crecimiento</w:t>
            </w:r>
          </w:p>
        </w:tc>
      </w:tr>
      <w:tr w:rsidR="00F26F01" w:rsidRPr="00F26F01" w14:paraId="60D33305"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25DA1D67"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Diésel 50</w:t>
            </w:r>
          </w:p>
        </w:tc>
        <w:tc>
          <w:tcPr>
            <w:tcW w:w="1109" w:type="dxa"/>
            <w:tcBorders>
              <w:top w:val="nil"/>
              <w:left w:val="nil"/>
              <w:bottom w:val="single" w:sz="8" w:space="0" w:color="BFBFBF"/>
              <w:right w:val="single" w:sz="8" w:space="0" w:color="BFBFBF"/>
            </w:tcBorders>
            <w:shd w:val="clear" w:color="auto" w:fill="auto"/>
            <w:vAlign w:val="center"/>
            <w:hideMark/>
          </w:tcPr>
          <w:p w14:paraId="3BA6CD6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-27,7%</w:t>
            </w:r>
          </w:p>
        </w:tc>
        <w:tc>
          <w:tcPr>
            <w:tcW w:w="1110" w:type="dxa"/>
            <w:tcBorders>
              <w:top w:val="nil"/>
              <w:left w:val="nil"/>
              <w:bottom w:val="single" w:sz="8" w:space="0" w:color="BFBFBF"/>
              <w:right w:val="single" w:sz="8" w:space="0" w:color="BFBFBF"/>
            </w:tcBorders>
            <w:shd w:val="clear" w:color="auto" w:fill="auto"/>
            <w:vAlign w:val="center"/>
            <w:hideMark/>
          </w:tcPr>
          <w:p w14:paraId="0922280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40,4%</w:t>
            </w:r>
          </w:p>
        </w:tc>
        <w:tc>
          <w:tcPr>
            <w:tcW w:w="1110" w:type="dxa"/>
            <w:tcBorders>
              <w:top w:val="nil"/>
              <w:left w:val="nil"/>
              <w:bottom w:val="single" w:sz="8" w:space="0" w:color="BFBFBF"/>
              <w:right w:val="single" w:sz="8" w:space="0" w:color="BFBFBF"/>
            </w:tcBorders>
            <w:shd w:val="clear" w:color="auto" w:fill="auto"/>
            <w:vAlign w:val="center"/>
            <w:hideMark/>
          </w:tcPr>
          <w:p w14:paraId="7E6779C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54,0%</w:t>
            </w:r>
          </w:p>
        </w:tc>
        <w:tc>
          <w:tcPr>
            <w:tcW w:w="289" w:type="dxa"/>
            <w:tcBorders>
              <w:top w:val="nil"/>
              <w:left w:val="nil"/>
              <w:bottom w:val="single" w:sz="8" w:space="0" w:color="BFBFBF"/>
              <w:right w:val="single" w:sz="8" w:space="0" w:color="BFBFBF"/>
            </w:tcBorders>
            <w:shd w:val="clear" w:color="auto" w:fill="auto"/>
            <w:vAlign w:val="center"/>
            <w:hideMark/>
          </w:tcPr>
          <w:p w14:paraId="62B889B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5C87D5AB"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-12,6%</w:t>
            </w:r>
          </w:p>
        </w:tc>
        <w:tc>
          <w:tcPr>
            <w:tcW w:w="1132" w:type="dxa"/>
            <w:tcBorders>
              <w:top w:val="nil"/>
              <w:left w:val="nil"/>
              <w:bottom w:val="single" w:sz="8" w:space="0" w:color="BFBFBF"/>
              <w:right w:val="single" w:sz="8" w:space="0" w:color="BFBFBF"/>
            </w:tcBorders>
            <w:shd w:val="clear" w:color="auto" w:fill="auto"/>
            <w:vAlign w:val="center"/>
            <w:hideMark/>
          </w:tcPr>
          <w:p w14:paraId="621CF70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12,3%</w:t>
            </w:r>
          </w:p>
        </w:tc>
        <w:tc>
          <w:tcPr>
            <w:tcW w:w="1133" w:type="dxa"/>
            <w:tcBorders>
              <w:top w:val="nil"/>
              <w:left w:val="nil"/>
              <w:bottom w:val="single" w:sz="8" w:space="0" w:color="BFBFBF"/>
              <w:right w:val="single" w:sz="8" w:space="0" w:color="BFBFBF"/>
            </w:tcBorders>
            <w:shd w:val="clear" w:color="auto" w:fill="auto"/>
            <w:vAlign w:val="center"/>
            <w:hideMark/>
          </w:tcPr>
          <w:p w14:paraId="0C3ED08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2,9%</w:t>
            </w:r>
          </w:p>
        </w:tc>
      </w:tr>
      <w:tr w:rsidR="00F26F01" w:rsidRPr="00F26F01" w14:paraId="183992CB"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21592E72"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Gasolina Súper</w:t>
            </w:r>
          </w:p>
        </w:tc>
        <w:tc>
          <w:tcPr>
            <w:tcW w:w="1109" w:type="dxa"/>
            <w:tcBorders>
              <w:top w:val="nil"/>
              <w:left w:val="nil"/>
              <w:bottom w:val="single" w:sz="8" w:space="0" w:color="BFBFBF"/>
              <w:right w:val="single" w:sz="8" w:space="0" w:color="BFBFBF"/>
            </w:tcBorders>
            <w:shd w:val="clear" w:color="000000" w:fill="F2F2F2"/>
            <w:vAlign w:val="center"/>
            <w:hideMark/>
          </w:tcPr>
          <w:p w14:paraId="755786E7"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-26,9%</w:t>
            </w:r>
          </w:p>
        </w:tc>
        <w:tc>
          <w:tcPr>
            <w:tcW w:w="1110" w:type="dxa"/>
            <w:tcBorders>
              <w:top w:val="nil"/>
              <w:left w:val="nil"/>
              <w:bottom w:val="single" w:sz="8" w:space="0" w:color="BFBFBF"/>
              <w:right w:val="single" w:sz="8" w:space="0" w:color="BFBFBF"/>
            </w:tcBorders>
            <w:shd w:val="clear" w:color="000000" w:fill="F2F2F2"/>
            <w:vAlign w:val="center"/>
            <w:hideMark/>
          </w:tcPr>
          <w:p w14:paraId="39DF54A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36,2%</w:t>
            </w:r>
          </w:p>
        </w:tc>
        <w:tc>
          <w:tcPr>
            <w:tcW w:w="1110" w:type="dxa"/>
            <w:tcBorders>
              <w:top w:val="nil"/>
              <w:left w:val="nil"/>
              <w:bottom w:val="single" w:sz="8" w:space="0" w:color="BFBFBF"/>
              <w:right w:val="single" w:sz="8" w:space="0" w:color="BFBFBF"/>
            </w:tcBorders>
            <w:shd w:val="clear" w:color="000000" w:fill="F2F2F2"/>
            <w:vAlign w:val="center"/>
            <w:hideMark/>
          </w:tcPr>
          <w:p w14:paraId="47BFC444"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35,3%</w:t>
            </w:r>
          </w:p>
        </w:tc>
        <w:tc>
          <w:tcPr>
            <w:tcW w:w="289" w:type="dxa"/>
            <w:tcBorders>
              <w:top w:val="nil"/>
              <w:left w:val="nil"/>
              <w:bottom w:val="single" w:sz="8" w:space="0" w:color="BFBFBF"/>
              <w:right w:val="single" w:sz="8" w:space="0" w:color="BFBFBF"/>
            </w:tcBorders>
            <w:shd w:val="clear" w:color="000000" w:fill="F2F2F2"/>
            <w:vAlign w:val="center"/>
            <w:hideMark/>
          </w:tcPr>
          <w:p w14:paraId="22D93B9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02D11137"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20,7%</w:t>
            </w:r>
          </w:p>
        </w:tc>
        <w:tc>
          <w:tcPr>
            <w:tcW w:w="1132" w:type="dxa"/>
            <w:tcBorders>
              <w:top w:val="nil"/>
              <w:left w:val="nil"/>
              <w:bottom w:val="single" w:sz="8" w:space="0" w:color="BFBFBF"/>
              <w:right w:val="single" w:sz="8" w:space="0" w:color="BFBFBF"/>
            </w:tcBorders>
            <w:shd w:val="clear" w:color="000000" w:fill="F2F2F2"/>
            <w:vAlign w:val="center"/>
            <w:hideMark/>
          </w:tcPr>
          <w:p w14:paraId="298E2547"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14,6%</w:t>
            </w:r>
          </w:p>
        </w:tc>
        <w:tc>
          <w:tcPr>
            <w:tcW w:w="1133" w:type="dxa"/>
            <w:tcBorders>
              <w:top w:val="nil"/>
              <w:left w:val="nil"/>
              <w:bottom w:val="single" w:sz="8" w:space="0" w:color="BFBFBF"/>
              <w:right w:val="single" w:sz="8" w:space="0" w:color="BFBFBF"/>
            </w:tcBorders>
            <w:shd w:val="clear" w:color="000000" w:fill="F2F2F2"/>
            <w:vAlign w:val="center"/>
            <w:hideMark/>
          </w:tcPr>
          <w:p w14:paraId="4D38D469"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5,3%</w:t>
            </w:r>
          </w:p>
        </w:tc>
      </w:tr>
      <w:tr w:rsidR="00F26F01" w:rsidRPr="00F26F01" w14:paraId="78749E71"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73C136A2"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Gasolina Plus 91</w:t>
            </w:r>
          </w:p>
        </w:tc>
        <w:tc>
          <w:tcPr>
            <w:tcW w:w="1109" w:type="dxa"/>
            <w:tcBorders>
              <w:top w:val="nil"/>
              <w:left w:val="nil"/>
              <w:bottom w:val="single" w:sz="8" w:space="0" w:color="BFBFBF"/>
              <w:right w:val="single" w:sz="8" w:space="0" w:color="BFBFBF"/>
            </w:tcBorders>
            <w:shd w:val="clear" w:color="auto" w:fill="auto"/>
            <w:vAlign w:val="center"/>
            <w:hideMark/>
          </w:tcPr>
          <w:p w14:paraId="5659CA3A"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-26,4%</w:t>
            </w:r>
          </w:p>
        </w:tc>
        <w:tc>
          <w:tcPr>
            <w:tcW w:w="1110" w:type="dxa"/>
            <w:tcBorders>
              <w:top w:val="nil"/>
              <w:left w:val="nil"/>
              <w:bottom w:val="single" w:sz="8" w:space="0" w:color="BFBFBF"/>
              <w:right w:val="single" w:sz="8" w:space="0" w:color="BFBFBF"/>
            </w:tcBorders>
            <w:shd w:val="clear" w:color="auto" w:fill="auto"/>
            <w:vAlign w:val="center"/>
            <w:hideMark/>
          </w:tcPr>
          <w:p w14:paraId="4DB00A2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43,9%</w:t>
            </w:r>
          </w:p>
        </w:tc>
        <w:tc>
          <w:tcPr>
            <w:tcW w:w="1110" w:type="dxa"/>
            <w:tcBorders>
              <w:top w:val="nil"/>
              <w:left w:val="nil"/>
              <w:bottom w:val="single" w:sz="8" w:space="0" w:color="BFBFBF"/>
              <w:right w:val="single" w:sz="8" w:space="0" w:color="BFBFBF"/>
            </w:tcBorders>
            <w:shd w:val="clear" w:color="auto" w:fill="auto"/>
            <w:vAlign w:val="center"/>
            <w:hideMark/>
          </w:tcPr>
          <w:p w14:paraId="758185E0"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32,8%</w:t>
            </w:r>
          </w:p>
        </w:tc>
        <w:tc>
          <w:tcPr>
            <w:tcW w:w="289" w:type="dxa"/>
            <w:tcBorders>
              <w:top w:val="nil"/>
              <w:left w:val="nil"/>
              <w:bottom w:val="single" w:sz="8" w:space="0" w:color="BFBFBF"/>
              <w:right w:val="single" w:sz="8" w:space="0" w:color="BFBFBF"/>
            </w:tcBorders>
            <w:shd w:val="clear" w:color="auto" w:fill="auto"/>
            <w:vAlign w:val="center"/>
            <w:hideMark/>
          </w:tcPr>
          <w:p w14:paraId="04F9E62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0200134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18,7%</w:t>
            </w:r>
          </w:p>
        </w:tc>
        <w:tc>
          <w:tcPr>
            <w:tcW w:w="1132" w:type="dxa"/>
            <w:tcBorders>
              <w:top w:val="nil"/>
              <w:left w:val="nil"/>
              <w:bottom w:val="single" w:sz="8" w:space="0" w:color="BFBFBF"/>
              <w:right w:val="single" w:sz="8" w:space="0" w:color="BFBFBF"/>
            </w:tcBorders>
            <w:shd w:val="clear" w:color="auto" w:fill="auto"/>
            <w:vAlign w:val="center"/>
            <w:hideMark/>
          </w:tcPr>
          <w:p w14:paraId="57F171B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18,4%</w:t>
            </w:r>
          </w:p>
        </w:tc>
        <w:tc>
          <w:tcPr>
            <w:tcW w:w="1133" w:type="dxa"/>
            <w:tcBorders>
              <w:top w:val="nil"/>
              <w:left w:val="nil"/>
              <w:bottom w:val="single" w:sz="8" w:space="0" w:color="BFBFBF"/>
              <w:right w:val="single" w:sz="8" w:space="0" w:color="BFBFBF"/>
            </w:tcBorders>
            <w:shd w:val="clear" w:color="auto" w:fill="auto"/>
            <w:vAlign w:val="center"/>
            <w:hideMark/>
          </w:tcPr>
          <w:p w14:paraId="64A3BC1D"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1,4%</w:t>
            </w:r>
          </w:p>
        </w:tc>
      </w:tr>
      <w:tr w:rsidR="00F26F01" w:rsidRPr="00F26F01" w14:paraId="5A8EC4AF"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2CEF4332"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Jet A-1</w:t>
            </w:r>
          </w:p>
        </w:tc>
        <w:tc>
          <w:tcPr>
            <w:tcW w:w="1109" w:type="dxa"/>
            <w:tcBorders>
              <w:top w:val="nil"/>
              <w:left w:val="nil"/>
              <w:bottom w:val="single" w:sz="8" w:space="0" w:color="BFBFBF"/>
              <w:right w:val="single" w:sz="8" w:space="0" w:color="BFBFBF"/>
            </w:tcBorders>
            <w:shd w:val="clear" w:color="000000" w:fill="F2F2F2"/>
            <w:vAlign w:val="center"/>
            <w:hideMark/>
          </w:tcPr>
          <w:p w14:paraId="71F1AF9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-60,3%</w:t>
            </w:r>
          </w:p>
        </w:tc>
        <w:tc>
          <w:tcPr>
            <w:tcW w:w="1110" w:type="dxa"/>
            <w:tcBorders>
              <w:top w:val="nil"/>
              <w:left w:val="nil"/>
              <w:bottom w:val="single" w:sz="8" w:space="0" w:color="BFBFBF"/>
              <w:right w:val="single" w:sz="8" w:space="0" w:color="BFBFBF"/>
            </w:tcBorders>
            <w:shd w:val="clear" w:color="000000" w:fill="F2F2F2"/>
            <w:vAlign w:val="center"/>
            <w:hideMark/>
          </w:tcPr>
          <w:p w14:paraId="5FEA8A00"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96,3%</w:t>
            </w:r>
          </w:p>
        </w:tc>
        <w:tc>
          <w:tcPr>
            <w:tcW w:w="1110" w:type="dxa"/>
            <w:tcBorders>
              <w:top w:val="nil"/>
              <w:left w:val="nil"/>
              <w:bottom w:val="single" w:sz="8" w:space="0" w:color="BFBFBF"/>
              <w:right w:val="single" w:sz="8" w:space="0" w:color="BFBFBF"/>
            </w:tcBorders>
            <w:shd w:val="clear" w:color="000000" w:fill="F2F2F2"/>
            <w:vAlign w:val="center"/>
            <w:hideMark/>
          </w:tcPr>
          <w:p w14:paraId="43BD00EF"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142,0%</w:t>
            </w:r>
          </w:p>
        </w:tc>
        <w:tc>
          <w:tcPr>
            <w:tcW w:w="289" w:type="dxa"/>
            <w:tcBorders>
              <w:top w:val="nil"/>
              <w:left w:val="nil"/>
              <w:bottom w:val="single" w:sz="8" w:space="0" w:color="BFBFBF"/>
              <w:right w:val="single" w:sz="8" w:space="0" w:color="BFBFBF"/>
            </w:tcBorders>
            <w:shd w:val="clear" w:color="000000" w:fill="F2F2F2"/>
            <w:vAlign w:val="center"/>
            <w:hideMark/>
          </w:tcPr>
          <w:p w14:paraId="44D9AFF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6E41243F"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-55,6%</w:t>
            </w:r>
          </w:p>
        </w:tc>
        <w:tc>
          <w:tcPr>
            <w:tcW w:w="1132" w:type="dxa"/>
            <w:tcBorders>
              <w:top w:val="nil"/>
              <w:left w:val="nil"/>
              <w:bottom w:val="single" w:sz="8" w:space="0" w:color="BFBFBF"/>
              <w:right w:val="single" w:sz="8" w:space="0" w:color="BFBFBF"/>
            </w:tcBorders>
            <w:shd w:val="clear" w:color="000000" w:fill="F2F2F2"/>
            <w:vAlign w:val="center"/>
            <w:hideMark/>
          </w:tcPr>
          <w:p w14:paraId="54186C9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70,2%</w:t>
            </w:r>
          </w:p>
        </w:tc>
        <w:tc>
          <w:tcPr>
            <w:tcW w:w="1133" w:type="dxa"/>
            <w:tcBorders>
              <w:top w:val="nil"/>
              <w:left w:val="nil"/>
              <w:bottom w:val="single" w:sz="8" w:space="0" w:color="BFBFBF"/>
              <w:right w:val="single" w:sz="8" w:space="0" w:color="BFBFBF"/>
            </w:tcBorders>
            <w:shd w:val="clear" w:color="000000" w:fill="F2F2F2"/>
            <w:vAlign w:val="center"/>
            <w:hideMark/>
          </w:tcPr>
          <w:p w14:paraId="480A9F51"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43,2%</w:t>
            </w:r>
          </w:p>
        </w:tc>
      </w:tr>
      <w:tr w:rsidR="00F26F01" w:rsidRPr="00F26F01" w14:paraId="059195CD"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321C5ABF"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GLP</w:t>
            </w:r>
          </w:p>
        </w:tc>
        <w:tc>
          <w:tcPr>
            <w:tcW w:w="1109" w:type="dxa"/>
            <w:tcBorders>
              <w:top w:val="nil"/>
              <w:left w:val="nil"/>
              <w:bottom w:val="single" w:sz="8" w:space="0" w:color="BFBFBF"/>
              <w:right w:val="single" w:sz="8" w:space="0" w:color="BFBFBF"/>
            </w:tcBorders>
            <w:shd w:val="clear" w:color="auto" w:fill="auto"/>
            <w:vAlign w:val="center"/>
            <w:hideMark/>
          </w:tcPr>
          <w:p w14:paraId="04D21DD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-16,0%</w:t>
            </w:r>
          </w:p>
        </w:tc>
        <w:tc>
          <w:tcPr>
            <w:tcW w:w="1110" w:type="dxa"/>
            <w:tcBorders>
              <w:top w:val="nil"/>
              <w:left w:val="nil"/>
              <w:bottom w:val="single" w:sz="8" w:space="0" w:color="BFBFBF"/>
              <w:right w:val="single" w:sz="8" w:space="0" w:color="BFBFBF"/>
            </w:tcBorders>
            <w:shd w:val="clear" w:color="auto" w:fill="auto"/>
            <w:vAlign w:val="center"/>
            <w:hideMark/>
          </w:tcPr>
          <w:p w14:paraId="0BCE98E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105,5%</w:t>
            </w:r>
          </w:p>
        </w:tc>
        <w:tc>
          <w:tcPr>
            <w:tcW w:w="1110" w:type="dxa"/>
            <w:tcBorders>
              <w:top w:val="nil"/>
              <w:left w:val="nil"/>
              <w:bottom w:val="single" w:sz="8" w:space="0" w:color="BFBFBF"/>
              <w:right w:val="single" w:sz="8" w:space="0" w:color="BFBFBF"/>
            </w:tcBorders>
            <w:shd w:val="clear" w:color="auto" w:fill="auto"/>
            <w:vAlign w:val="center"/>
            <w:hideMark/>
          </w:tcPr>
          <w:p w14:paraId="0FCC44FD"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16,3%</w:t>
            </w:r>
          </w:p>
        </w:tc>
        <w:tc>
          <w:tcPr>
            <w:tcW w:w="289" w:type="dxa"/>
            <w:tcBorders>
              <w:top w:val="nil"/>
              <w:left w:val="nil"/>
              <w:bottom w:val="single" w:sz="8" w:space="0" w:color="BFBFBF"/>
              <w:right w:val="single" w:sz="8" w:space="0" w:color="BFBFBF"/>
            </w:tcBorders>
            <w:shd w:val="clear" w:color="auto" w:fill="auto"/>
            <w:vAlign w:val="center"/>
            <w:hideMark/>
          </w:tcPr>
          <w:p w14:paraId="2A7F4F70"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711757F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-3,9%</w:t>
            </w:r>
          </w:p>
        </w:tc>
        <w:tc>
          <w:tcPr>
            <w:tcW w:w="1132" w:type="dxa"/>
            <w:tcBorders>
              <w:top w:val="nil"/>
              <w:left w:val="nil"/>
              <w:bottom w:val="single" w:sz="8" w:space="0" w:color="BFBFBF"/>
              <w:right w:val="single" w:sz="8" w:space="0" w:color="BFBFBF"/>
            </w:tcBorders>
            <w:shd w:val="clear" w:color="auto" w:fill="auto"/>
            <w:vAlign w:val="center"/>
            <w:hideMark/>
          </w:tcPr>
          <w:p w14:paraId="2797C97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12,9%</w:t>
            </w:r>
          </w:p>
        </w:tc>
        <w:tc>
          <w:tcPr>
            <w:tcW w:w="1133" w:type="dxa"/>
            <w:tcBorders>
              <w:top w:val="nil"/>
              <w:left w:val="nil"/>
              <w:bottom w:val="single" w:sz="8" w:space="0" w:color="BFBFBF"/>
              <w:right w:val="single" w:sz="8" w:space="0" w:color="BFBFBF"/>
            </w:tcBorders>
            <w:shd w:val="clear" w:color="auto" w:fill="auto"/>
            <w:vAlign w:val="center"/>
            <w:hideMark/>
          </w:tcPr>
          <w:p w14:paraId="0518055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8,9%</w:t>
            </w:r>
          </w:p>
        </w:tc>
      </w:tr>
      <w:tr w:rsidR="00F26F01" w:rsidRPr="00F26F01" w14:paraId="4E52FE90"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3D2C9FFB"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Búnker (3%S y Térmico)</w:t>
            </w:r>
          </w:p>
        </w:tc>
        <w:tc>
          <w:tcPr>
            <w:tcW w:w="1109" w:type="dxa"/>
            <w:tcBorders>
              <w:top w:val="nil"/>
              <w:left w:val="nil"/>
              <w:bottom w:val="single" w:sz="8" w:space="0" w:color="BFBFBF"/>
              <w:right w:val="single" w:sz="8" w:space="0" w:color="BFBFBF"/>
            </w:tcBorders>
            <w:shd w:val="clear" w:color="000000" w:fill="F2F2F2"/>
            <w:vAlign w:val="center"/>
            <w:hideMark/>
          </w:tcPr>
          <w:p w14:paraId="74023719"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-57,2%</w:t>
            </w:r>
          </w:p>
        </w:tc>
        <w:tc>
          <w:tcPr>
            <w:tcW w:w="1110" w:type="dxa"/>
            <w:tcBorders>
              <w:top w:val="nil"/>
              <w:left w:val="nil"/>
              <w:bottom w:val="single" w:sz="8" w:space="0" w:color="BFBFBF"/>
              <w:right w:val="single" w:sz="8" w:space="0" w:color="BFBFBF"/>
            </w:tcBorders>
            <w:shd w:val="clear" w:color="000000" w:fill="F2F2F2"/>
            <w:vAlign w:val="center"/>
            <w:hideMark/>
          </w:tcPr>
          <w:p w14:paraId="1408AEE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90,5%</w:t>
            </w:r>
          </w:p>
        </w:tc>
        <w:tc>
          <w:tcPr>
            <w:tcW w:w="1110" w:type="dxa"/>
            <w:tcBorders>
              <w:top w:val="nil"/>
              <w:left w:val="nil"/>
              <w:bottom w:val="single" w:sz="8" w:space="0" w:color="BFBFBF"/>
              <w:right w:val="single" w:sz="8" w:space="0" w:color="BFBFBF"/>
            </w:tcBorders>
            <w:shd w:val="clear" w:color="000000" w:fill="F2F2F2"/>
            <w:vAlign w:val="center"/>
            <w:hideMark/>
          </w:tcPr>
          <w:p w14:paraId="2C2A67ED"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44,5%</w:t>
            </w:r>
          </w:p>
        </w:tc>
        <w:tc>
          <w:tcPr>
            <w:tcW w:w="289" w:type="dxa"/>
            <w:tcBorders>
              <w:top w:val="nil"/>
              <w:left w:val="nil"/>
              <w:bottom w:val="single" w:sz="8" w:space="0" w:color="BFBFBF"/>
              <w:right w:val="single" w:sz="8" w:space="0" w:color="BFBFBF"/>
            </w:tcBorders>
            <w:shd w:val="clear" w:color="000000" w:fill="F2F2F2"/>
            <w:vAlign w:val="center"/>
            <w:hideMark/>
          </w:tcPr>
          <w:p w14:paraId="71E1B5AD"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7B03B21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-27,7%</w:t>
            </w:r>
          </w:p>
        </w:tc>
        <w:tc>
          <w:tcPr>
            <w:tcW w:w="1132" w:type="dxa"/>
            <w:tcBorders>
              <w:top w:val="nil"/>
              <w:left w:val="nil"/>
              <w:bottom w:val="single" w:sz="8" w:space="0" w:color="BFBFBF"/>
              <w:right w:val="single" w:sz="8" w:space="0" w:color="BFBFBF"/>
            </w:tcBorders>
            <w:shd w:val="clear" w:color="000000" w:fill="F2F2F2"/>
            <w:vAlign w:val="center"/>
            <w:hideMark/>
          </w:tcPr>
          <w:p w14:paraId="57D4337C"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12,9%</w:t>
            </w:r>
          </w:p>
        </w:tc>
        <w:tc>
          <w:tcPr>
            <w:tcW w:w="1133" w:type="dxa"/>
            <w:tcBorders>
              <w:top w:val="nil"/>
              <w:left w:val="nil"/>
              <w:bottom w:val="single" w:sz="8" w:space="0" w:color="BFBFBF"/>
              <w:right w:val="single" w:sz="8" w:space="0" w:color="BFBFBF"/>
            </w:tcBorders>
            <w:shd w:val="clear" w:color="000000" w:fill="F2F2F2"/>
            <w:vAlign w:val="center"/>
            <w:hideMark/>
          </w:tcPr>
          <w:p w14:paraId="02C80420"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1,3%</w:t>
            </w:r>
          </w:p>
        </w:tc>
      </w:tr>
      <w:tr w:rsidR="00F26F01" w:rsidRPr="00F26F01" w14:paraId="2EBE0C81"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60FCCA55"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Asfalto y emulsiones</w:t>
            </w:r>
          </w:p>
        </w:tc>
        <w:tc>
          <w:tcPr>
            <w:tcW w:w="1109" w:type="dxa"/>
            <w:tcBorders>
              <w:top w:val="nil"/>
              <w:left w:val="nil"/>
              <w:bottom w:val="single" w:sz="8" w:space="0" w:color="BFBFBF"/>
              <w:right w:val="single" w:sz="8" w:space="0" w:color="BFBFBF"/>
            </w:tcBorders>
            <w:shd w:val="clear" w:color="auto" w:fill="auto"/>
            <w:vAlign w:val="center"/>
            <w:hideMark/>
          </w:tcPr>
          <w:p w14:paraId="5CEAFE90"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-41,2%</w:t>
            </w:r>
          </w:p>
        </w:tc>
        <w:tc>
          <w:tcPr>
            <w:tcW w:w="1110" w:type="dxa"/>
            <w:tcBorders>
              <w:top w:val="nil"/>
              <w:left w:val="nil"/>
              <w:bottom w:val="single" w:sz="8" w:space="0" w:color="BFBFBF"/>
              <w:right w:val="single" w:sz="8" w:space="0" w:color="BFBFBF"/>
            </w:tcBorders>
            <w:shd w:val="clear" w:color="auto" w:fill="auto"/>
            <w:vAlign w:val="center"/>
            <w:hideMark/>
          </w:tcPr>
          <w:p w14:paraId="3E34B26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-2,3%</w:t>
            </w:r>
          </w:p>
        </w:tc>
        <w:tc>
          <w:tcPr>
            <w:tcW w:w="1110" w:type="dxa"/>
            <w:tcBorders>
              <w:top w:val="nil"/>
              <w:left w:val="nil"/>
              <w:bottom w:val="single" w:sz="8" w:space="0" w:color="BFBFBF"/>
              <w:right w:val="single" w:sz="8" w:space="0" w:color="BFBFBF"/>
            </w:tcBorders>
            <w:shd w:val="clear" w:color="auto" w:fill="auto"/>
            <w:vAlign w:val="center"/>
            <w:hideMark/>
          </w:tcPr>
          <w:p w14:paraId="06ADF0D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29,8%</w:t>
            </w:r>
          </w:p>
        </w:tc>
        <w:tc>
          <w:tcPr>
            <w:tcW w:w="289" w:type="dxa"/>
            <w:tcBorders>
              <w:top w:val="nil"/>
              <w:left w:val="nil"/>
              <w:bottom w:val="single" w:sz="8" w:space="0" w:color="BFBFBF"/>
              <w:right w:val="single" w:sz="8" w:space="0" w:color="BFBFBF"/>
            </w:tcBorders>
            <w:shd w:val="clear" w:color="auto" w:fill="auto"/>
            <w:vAlign w:val="center"/>
            <w:hideMark/>
          </w:tcPr>
          <w:p w14:paraId="59FC4702"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3E3D03B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-22,4%</w:t>
            </w:r>
          </w:p>
        </w:tc>
        <w:tc>
          <w:tcPr>
            <w:tcW w:w="1132" w:type="dxa"/>
            <w:tcBorders>
              <w:top w:val="nil"/>
              <w:left w:val="nil"/>
              <w:bottom w:val="single" w:sz="8" w:space="0" w:color="BFBFBF"/>
              <w:right w:val="single" w:sz="8" w:space="0" w:color="BFBFBF"/>
            </w:tcBorders>
            <w:shd w:val="clear" w:color="auto" w:fill="auto"/>
            <w:vAlign w:val="center"/>
            <w:hideMark/>
          </w:tcPr>
          <w:p w14:paraId="45C3BA0D"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-31,2%</w:t>
            </w:r>
          </w:p>
        </w:tc>
        <w:tc>
          <w:tcPr>
            <w:tcW w:w="1133" w:type="dxa"/>
            <w:tcBorders>
              <w:top w:val="nil"/>
              <w:left w:val="nil"/>
              <w:bottom w:val="single" w:sz="8" w:space="0" w:color="BFBFBF"/>
              <w:right w:val="single" w:sz="8" w:space="0" w:color="BFBFBF"/>
            </w:tcBorders>
            <w:shd w:val="clear" w:color="auto" w:fill="auto"/>
            <w:vAlign w:val="center"/>
            <w:hideMark/>
          </w:tcPr>
          <w:p w14:paraId="00C55E44"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-16,8%</w:t>
            </w:r>
          </w:p>
        </w:tc>
      </w:tr>
      <w:tr w:rsidR="00F26F01" w:rsidRPr="00F26F01" w14:paraId="03682F7F"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4BF27460"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Otros</w:t>
            </w:r>
          </w:p>
        </w:tc>
        <w:tc>
          <w:tcPr>
            <w:tcW w:w="1109" w:type="dxa"/>
            <w:tcBorders>
              <w:top w:val="nil"/>
              <w:left w:val="nil"/>
              <w:bottom w:val="single" w:sz="8" w:space="0" w:color="BFBFBF"/>
              <w:right w:val="single" w:sz="8" w:space="0" w:color="BFBFBF"/>
            </w:tcBorders>
            <w:shd w:val="clear" w:color="000000" w:fill="F2F2F2"/>
            <w:vAlign w:val="center"/>
            <w:hideMark/>
          </w:tcPr>
          <w:p w14:paraId="2F675F1B"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-42,3%</w:t>
            </w:r>
          </w:p>
        </w:tc>
        <w:tc>
          <w:tcPr>
            <w:tcW w:w="1110" w:type="dxa"/>
            <w:tcBorders>
              <w:top w:val="nil"/>
              <w:left w:val="nil"/>
              <w:bottom w:val="single" w:sz="8" w:space="0" w:color="BFBFBF"/>
              <w:right w:val="single" w:sz="8" w:space="0" w:color="BFBFBF"/>
            </w:tcBorders>
            <w:shd w:val="clear" w:color="000000" w:fill="F2F2F2"/>
            <w:vAlign w:val="center"/>
            <w:hideMark/>
          </w:tcPr>
          <w:p w14:paraId="2BB850E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123,0%</w:t>
            </w:r>
          </w:p>
        </w:tc>
        <w:tc>
          <w:tcPr>
            <w:tcW w:w="1110" w:type="dxa"/>
            <w:tcBorders>
              <w:top w:val="nil"/>
              <w:left w:val="nil"/>
              <w:bottom w:val="single" w:sz="8" w:space="0" w:color="BFBFBF"/>
              <w:right w:val="single" w:sz="8" w:space="0" w:color="BFBFBF"/>
            </w:tcBorders>
            <w:shd w:val="clear" w:color="000000" w:fill="F2F2F2"/>
            <w:vAlign w:val="center"/>
            <w:hideMark/>
          </w:tcPr>
          <w:p w14:paraId="590442F9"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98,3%</w:t>
            </w:r>
          </w:p>
        </w:tc>
        <w:tc>
          <w:tcPr>
            <w:tcW w:w="289" w:type="dxa"/>
            <w:tcBorders>
              <w:top w:val="nil"/>
              <w:left w:val="nil"/>
              <w:bottom w:val="single" w:sz="8" w:space="0" w:color="BFBFBF"/>
              <w:right w:val="single" w:sz="8" w:space="0" w:color="BFBFBF"/>
            </w:tcBorders>
            <w:shd w:val="clear" w:color="000000" w:fill="F2F2F2"/>
            <w:vAlign w:val="center"/>
            <w:hideMark/>
          </w:tcPr>
          <w:p w14:paraId="138A25D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35DBA691"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-26,7%</w:t>
            </w:r>
          </w:p>
        </w:tc>
        <w:tc>
          <w:tcPr>
            <w:tcW w:w="1132" w:type="dxa"/>
            <w:tcBorders>
              <w:top w:val="nil"/>
              <w:left w:val="nil"/>
              <w:bottom w:val="single" w:sz="8" w:space="0" w:color="BFBFBF"/>
              <w:right w:val="single" w:sz="8" w:space="0" w:color="BFBFBF"/>
            </w:tcBorders>
            <w:shd w:val="clear" w:color="000000" w:fill="F2F2F2"/>
            <w:vAlign w:val="center"/>
            <w:hideMark/>
          </w:tcPr>
          <w:p w14:paraId="4691D840"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135,6%</w:t>
            </w:r>
          </w:p>
        </w:tc>
        <w:tc>
          <w:tcPr>
            <w:tcW w:w="1133" w:type="dxa"/>
            <w:tcBorders>
              <w:top w:val="nil"/>
              <w:left w:val="nil"/>
              <w:bottom w:val="single" w:sz="8" w:space="0" w:color="BFBFBF"/>
              <w:right w:val="single" w:sz="8" w:space="0" w:color="BFBFBF"/>
            </w:tcBorders>
            <w:shd w:val="clear" w:color="000000" w:fill="F2F2F2"/>
            <w:vAlign w:val="center"/>
            <w:hideMark/>
          </w:tcPr>
          <w:p w14:paraId="6421E557"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30,3%</w:t>
            </w:r>
          </w:p>
        </w:tc>
      </w:tr>
      <w:tr w:rsidR="00F26F01" w:rsidRPr="00F26F01" w14:paraId="4D6D57F6"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4EF2DC66" w14:textId="77777777" w:rsidR="00F26F01" w:rsidRPr="00F26F01" w:rsidRDefault="00F26F01" w:rsidP="00F26F01">
            <w:pPr>
              <w:spacing w:after="0" w:line="240" w:lineRule="auto"/>
              <w:jc w:val="left"/>
              <w:rPr>
                <w:rFonts w:cs="Arial"/>
                <w:color w:val="000000"/>
                <w:sz w:val="20"/>
                <w:szCs w:val="20"/>
              </w:rPr>
            </w:pPr>
            <w:r w:rsidRPr="00F26F01">
              <w:rPr>
                <w:rFonts w:cs="Arial"/>
                <w:bCs/>
                <w:color w:val="000000"/>
                <w:sz w:val="20"/>
                <w:szCs w:val="20"/>
              </w:rPr>
              <w:t>Total</w:t>
            </w:r>
          </w:p>
        </w:tc>
        <w:tc>
          <w:tcPr>
            <w:tcW w:w="1109" w:type="dxa"/>
            <w:tcBorders>
              <w:top w:val="nil"/>
              <w:left w:val="nil"/>
              <w:bottom w:val="single" w:sz="8" w:space="0" w:color="BFBFBF"/>
              <w:right w:val="single" w:sz="8" w:space="0" w:color="BFBFBF"/>
            </w:tcBorders>
            <w:shd w:val="clear" w:color="auto" w:fill="auto"/>
            <w:vAlign w:val="center"/>
            <w:hideMark/>
          </w:tcPr>
          <w:p w14:paraId="55FE16E9"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-30,1%</w:t>
            </w:r>
          </w:p>
        </w:tc>
        <w:tc>
          <w:tcPr>
            <w:tcW w:w="1110" w:type="dxa"/>
            <w:tcBorders>
              <w:top w:val="nil"/>
              <w:left w:val="nil"/>
              <w:bottom w:val="single" w:sz="8" w:space="0" w:color="BFBFBF"/>
              <w:right w:val="single" w:sz="8" w:space="0" w:color="BFBFBF"/>
            </w:tcBorders>
            <w:shd w:val="clear" w:color="auto" w:fill="auto"/>
            <w:vAlign w:val="center"/>
            <w:hideMark/>
          </w:tcPr>
          <w:p w14:paraId="0FC1CB07"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45,1%</w:t>
            </w:r>
          </w:p>
        </w:tc>
        <w:tc>
          <w:tcPr>
            <w:tcW w:w="1110" w:type="dxa"/>
            <w:tcBorders>
              <w:top w:val="nil"/>
              <w:left w:val="nil"/>
              <w:bottom w:val="single" w:sz="8" w:space="0" w:color="BFBFBF"/>
              <w:right w:val="single" w:sz="8" w:space="0" w:color="BFBFBF"/>
            </w:tcBorders>
            <w:shd w:val="clear" w:color="auto" w:fill="auto"/>
            <w:vAlign w:val="center"/>
            <w:hideMark/>
          </w:tcPr>
          <w:p w14:paraId="189691FA"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46,8%</w:t>
            </w:r>
          </w:p>
        </w:tc>
        <w:tc>
          <w:tcPr>
            <w:tcW w:w="289" w:type="dxa"/>
            <w:tcBorders>
              <w:top w:val="nil"/>
              <w:left w:val="nil"/>
              <w:bottom w:val="single" w:sz="8" w:space="0" w:color="BFBFBF"/>
              <w:right w:val="single" w:sz="8" w:space="0" w:color="BFBFBF"/>
            </w:tcBorders>
            <w:shd w:val="clear" w:color="auto" w:fill="auto"/>
            <w:vAlign w:val="center"/>
            <w:hideMark/>
          </w:tcPr>
          <w:p w14:paraId="636AF3C4"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19169F24"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-19,1%</w:t>
            </w:r>
          </w:p>
        </w:tc>
        <w:tc>
          <w:tcPr>
            <w:tcW w:w="1132" w:type="dxa"/>
            <w:tcBorders>
              <w:top w:val="nil"/>
              <w:left w:val="nil"/>
              <w:bottom w:val="single" w:sz="8" w:space="0" w:color="BFBFBF"/>
              <w:right w:val="single" w:sz="8" w:space="0" w:color="BFBFBF"/>
            </w:tcBorders>
            <w:shd w:val="clear" w:color="auto" w:fill="auto"/>
            <w:vAlign w:val="center"/>
            <w:hideMark/>
          </w:tcPr>
          <w:p w14:paraId="13E3E200"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15,8%</w:t>
            </w:r>
          </w:p>
        </w:tc>
        <w:tc>
          <w:tcPr>
            <w:tcW w:w="1133" w:type="dxa"/>
            <w:tcBorders>
              <w:top w:val="nil"/>
              <w:left w:val="nil"/>
              <w:bottom w:val="single" w:sz="8" w:space="0" w:color="BFBFBF"/>
              <w:right w:val="single" w:sz="8" w:space="0" w:color="BFBFBF"/>
            </w:tcBorders>
            <w:shd w:val="clear" w:color="auto" w:fill="auto"/>
            <w:vAlign w:val="center"/>
            <w:hideMark/>
          </w:tcPr>
          <w:p w14:paraId="2861DD23"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6,3%</w:t>
            </w:r>
          </w:p>
        </w:tc>
      </w:tr>
      <w:tr w:rsidR="00AD09FD" w:rsidRPr="00F26F01" w14:paraId="76EC8354" w14:textId="77777777" w:rsidTr="00F418CC">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76D466CF"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 </w:t>
            </w:r>
          </w:p>
        </w:tc>
        <w:tc>
          <w:tcPr>
            <w:tcW w:w="3329" w:type="dxa"/>
            <w:gridSpan w:val="3"/>
            <w:tcBorders>
              <w:top w:val="single" w:sz="8" w:space="0" w:color="BFBFBF"/>
              <w:left w:val="nil"/>
              <w:bottom w:val="single" w:sz="8" w:space="0" w:color="BFBFBF"/>
              <w:right w:val="single" w:sz="8" w:space="0" w:color="BFBFBF"/>
            </w:tcBorders>
            <w:shd w:val="clear" w:color="000000" w:fill="F2F2F2"/>
            <w:vAlign w:val="center"/>
            <w:hideMark/>
          </w:tcPr>
          <w:p w14:paraId="4D79095C"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Participación</w:t>
            </w:r>
          </w:p>
        </w:tc>
        <w:tc>
          <w:tcPr>
            <w:tcW w:w="289" w:type="dxa"/>
            <w:tcBorders>
              <w:top w:val="nil"/>
              <w:left w:val="nil"/>
              <w:bottom w:val="single" w:sz="8" w:space="0" w:color="BFBFBF"/>
              <w:right w:val="single" w:sz="8" w:space="0" w:color="BFBFBF"/>
            </w:tcBorders>
            <w:shd w:val="clear" w:color="000000" w:fill="F2F2F2"/>
            <w:vAlign w:val="center"/>
            <w:hideMark/>
          </w:tcPr>
          <w:p w14:paraId="3768F97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3397" w:type="dxa"/>
            <w:gridSpan w:val="3"/>
            <w:tcBorders>
              <w:top w:val="single" w:sz="8" w:space="0" w:color="BFBFBF"/>
              <w:left w:val="nil"/>
              <w:bottom w:val="single" w:sz="8" w:space="0" w:color="BFBFBF"/>
              <w:right w:val="single" w:sz="8" w:space="0" w:color="BFBFBF"/>
            </w:tcBorders>
            <w:shd w:val="clear" w:color="000000" w:fill="F2F2F2"/>
            <w:vAlign w:val="center"/>
            <w:hideMark/>
          </w:tcPr>
          <w:p w14:paraId="51384644" w14:textId="77777777" w:rsidR="00F26F01" w:rsidRPr="00F26F01" w:rsidRDefault="00F26F01" w:rsidP="00F26F01">
            <w:pPr>
              <w:spacing w:after="0" w:line="240" w:lineRule="auto"/>
              <w:jc w:val="center"/>
              <w:rPr>
                <w:rFonts w:cs="Arial"/>
                <w:b/>
                <w:bCs/>
                <w:color w:val="002060"/>
                <w:sz w:val="20"/>
                <w:szCs w:val="20"/>
              </w:rPr>
            </w:pPr>
            <w:r w:rsidRPr="00F26F01">
              <w:rPr>
                <w:rFonts w:cs="Arial"/>
                <w:b/>
                <w:bCs/>
                <w:color w:val="002060"/>
                <w:sz w:val="20"/>
                <w:szCs w:val="20"/>
              </w:rPr>
              <w:t>Participación</w:t>
            </w:r>
          </w:p>
        </w:tc>
      </w:tr>
      <w:tr w:rsidR="00F26F01" w:rsidRPr="00F26F01" w14:paraId="02EF9CBE"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6A772B8B"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Diésel 50</w:t>
            </w:r>
          </w:p>
        </w:tc>
        <w:tc>
          <w:tcPr>
            <w:tcW w:w="1109" w:type="dxa"/>
            <w:tcBorders>
              <w:top w:val="nil"/>
              <w:left w:val="nil"/>
              <w:bottom w:val="single" w:sz="8" w:space="0" w:color="BFBFBF"/>
              <w:right w:val="single" w:sz="8" w:space="0" w:color="BFBFBF"/>
            </w:tcBorders>
            <w:shd w:val="clear" w:color="auto" w:fill="auto"/>
            <w:vAlign w:val="center"/>
            <w:hideMark/>
          </w:tcPr>
          <w:p w14:paraId="78CE616A"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38,3%</w:t>
            </w:r>
          </w:p>
        </w:tc>
        <w:tc>
          <w:tcPr>
            <w:tcW w:w="1110" w:type="dxa"/>
            <w:tcBorders>
              <w:top w:val="nil"/>
              <w:left w:val="nil"/>
              <w:bottom w:val="single" w:sz="8" w:space="0" w:color="BFBFBF"/>
              <w:right w:val="single" w:sz="8" w:space="0" w:color="BFBFBF"/>
            </w:tcBorders>
            <w:shd w:val="clear" w:color="auto" w:fill="auto"/>
            <w:vAlign w:val="center"/>
            <w:hideMark/>
          </w:tcPr>
          <w:p w14:paraId="207C0B42"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37,0%</w:t>
            </w:r>
          </w:p>
        </w:tc>
        <w:tc>
          <w:tcPr>
            <w:tcW w:w="1110" w:type="dxa"/>
            <w:tcBorders>
              <w:top w:val="nil"/>
              <w:left w:val="nil"/>
              <w:bottom w:val="single" w:sz="8" w:space="0" w:color="BFBFBF"/>
              <w:right w:val="single" w:sz="8" w:space="0" w:color="BFBFBF"/>
            </w:tcBorders>
            <w:shd w:val="clear" w:color="auto" w:fill="auto"/>
            <w:vAlign w:val="center"/>
            <w:hideMark/>
          </w:tcPr>
          <w:p w14:paraId="51C89E3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38,8%</w:t>
            </w:r>
          </w:p>
        </w:tc>
        <w:tc>
          <w:tcPr>
            <w:tcW w:w="289" w:type="dxa"/>
            <w:tcBorders>
              <w:top w:val="nil"/>
              <w:left w:val="nil"/>
              <w:bottom w:val="single" w:sz="8" w:space="0" w:color="BFBFBF"/>
              <w:right w:val="single" w:sz="8" w:space="0" w:color="BFBFBF"/>
            </w:tcBorders>
            <w:shd w:val="clear" w:color="auto" w:fill="auto"/>
            <w:vAlign w:val="center"/>
            <w:hideMark/>
          </w:tcPr>
          <w:p w14:paraId="186BA45E"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748D5694"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38,2%</w:t>
            </w:r>
          </w:p>
        </w:tc>
        <w:tc>
          <w:tcPr>
            <w:tcW w:w="1132" w:type="dxa"/>
            <w:tcBorders>
              <w:top w:val="nil"/>
              <w:left w:val="nil"/>
              <w:bottom w:val="single" w:sz="8" w:space="0" w:color="BFBFBF"/>
              <w:right w:val="single" w:sz="8" w:space="0" w:color="BFBFBF"/>
            </w:tcBorders>
            <w:shd w:val="clear" w:color="auto" w:fill="auto"/>
            <w:vAlign w:val="center"/>
            <w:hideMark/>
          </w:tcPr>
          <w:p w14:paraId="6D3F60F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37,0%</w:t>
            </w:r>
          </w:p>
        </w:tc>
        <w:tc>
          <w:tcPr>
            <w:tcW w:w="1133" w:type="dxa"/>
            <w:tcBorders>
              <w:top w:val="nil"/>
              <w:left w:val="nil"/>
              <w:bottom w:val="single" w:sz="8" w:space="0" w:color="BFBFBF"/>
              <w:right w:val="single" w:sz="8" w:space="0" w:color="BFBFBF"/>
            </w:tcBorders>
            <w:shd w:val="clear" w:color="auto" w:fill="auto"/>
            <w:vAlign w:val="center"/>
            <w:hideMark/>
          </w:tcPr>
          <w:p w14:paraId="33774DC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35,8%</w:t>
            </w:r>
          </w:p>
        </w:tc>
      </w:tr>
      <w:tr w:rsidR="00F26F01" w:rsidRPr="00F26F01" w14:paraId="5B9BE8F3"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3D5CE982"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Gasolina Súper</w:t>
            </w:r>
          </w:p>
        </w:tc>
        <w:tc>
          <w:tcPr>
            <w:tcW w:w="1109" w:type="dxa"/>
            <w:tcBorders>
              <w:top w:val="nil"/>
              <w:left w:val="nil"/>
              <w:bottom w:val="single" w:sz="8" w:space="0" w:color="BFBFBF"/>
              <w:right w:val="single" w:sz="8" w:space="0" w:color="BFBFBF"/>
            </w:tcBorders>
            <w:shd w:val="clear" w:color="000000" w:fill="F2F2F2"/>
            <w:vAlign w:val="center"/>
            <w:hideMark/>
          </w:tcPr>
          <w:p w14:paraId="3076FAD2"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26,0%</w:t>
            </w:r>
          </w:p>
        </w:tc>
        <w:tc>
          <w:tcPr>
            <w:tcW w:w="1110" w:type="dxa"/>
            <w:tcBorders>
              <w:top w:val="nil"/>
              <w:left w:val="nil"/>
              <w:bottom w:val="single" w:sz="8" w:space="0" w:color="BFBFBF"/>
              <w:right w:val="single" w:sz="8" w:space="0" w:color="BFBFBF"/>
            </w:tcBorders>
            <w:shd w:val="clear" w:color="000000" w:fill="F2F2F2"/>
            <w:vAlign w:val="center"/>
            <w:hideMark/>
          </w:tcPr>
          <w:p w14:paraId="5F81058E"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24,4%</w:t>
            </w:r>
          </w:p>
        </w:tc>
        <w:tc>
          <w:tcPr>
            <w:tcW w:w="1110" w:type="dxa"/>
            <w:tcBorders>
              <w:top w:val="nil"/>
              <w:left w:val="nil"/>
              <w:bottom w:val="single" w:sz="8" w:space="0" w:color="BFBFBF"/>
              <w:right w:val="single" w:sz="8" w:space="0" w:color="BFBFBF"/>
            </w:tcBorders>
            <w:shd w:val="clear" w:color="000000" w:fill="F2F2F2"/>
            <w:vAlign w:val="center"/>
            <w:hideMark/>
          </w:tcPr>
          <w:p w14:paraId="73BF0C6C"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22,5%</w:t>
            </w:r>
          </w:p>
        </w:tc>
        <w:tc>
          <w:tcPr>
            <w:tcW w:w="289" w:type="dxa"/>
            <w:tcBorders>
              <w:top w:val="nil"/>
              <w:left w:val="nil"/>
              <w:bottom w:val="single" w:sz="8" w:space="0" w:color="BFBFBF"/>
              <w:right w:val="single" w:sz="8" w:space="0" w:color="BFBFBF"/>
            </w:tcBorders>
            <w:shd w:val="clear" w:color="000000" w:fill="F2F2F2"/>
            <w:vAlign w:val="center"/>
            <w:hideMark/>
          </w:tcPr>
          <w:p w14:paraId="034C8466"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297FE59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19,4%</w:t>
            </w:r>
          </w:p>
        </w:tc>
        <w:tc>
          <w:tcPr>
            <w:tcW w:w="1132" w:type="dxa"/>
            <w:tcBorders>
              <w:top w:val="nil"/>
              <w:left w:val="nil"/>
              <w:bottom w:val="single" w:sz="8" w:space="0" w:color="BFBFBF"/>
              <w:right w:val="single" w:sz="8" w:space="0" w:color="BFBFBF"/>
            </w:tcBorders>
            <w:shd w:val="clear" w:color="000000" w:fill="F2F2F2"/>
            <w:vAlign w:val="center"/>
            <w:hideMark/>
          </w:tcPr>
          <w:p w14:paraId="2A97B5F7"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19,2%</w:t>
            </w:r>
          </w:p>
        </w:tc>
        <w:tc>
          <w:tcPr>
            <w:tcW w:w="1133" w:type="dxa"/>
            <w:tcBorders>
              <w:top w:val="nil"/>
              <w:left w:val="nil"/>
              <w:bottom w:val="single" w:sz="8" w:space="0" w:color="BFBFBF"/>
              <w:right w:val="single" w:sz="8" w:space="0" w:color="BFBFBF"/>
            </w:tcBorders>
            <w:shd w:val="clear" w:color="000000" w:fill="F2F2F2"/>
            <w:vAlign w:val="center"/>
            <w:hideMark/>
          </w:tcPr>
          <w:p w14:paraId="192C82A0"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19,1%</w:t>
            </w:r>
          </w:p>
        </w:tc>
      </w:tr>
      <w:tr w:rsidR="00F26F01" w:rsidRPr="00F26F01" w14:paraId="0220C13F"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07448E4B"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Gasolina Plus 91</w:t>
            </w:r>
          </w:p>
        </w:tc>
        <w:tc>
          <w:tcPr>
            <w:tcW w:w="1109" w:type="dxa"/>
            <w:tcBorders>
              <w:top w:val="nil"/>
              <w:left w:val="nil"/>
              <w:bottom w:val="single" w:sz="8" w:space="0" w:color="BFBFBF"/>
              <w:right w:val="single" w:sz="8" w:space="0" w:color="BFBFBF"/>
            </w:tcBorders>
            <w:shd w:val="clear" w:color="auto" w:fill="auto"/>
            <w:vAlign w:val="center"/>
            <w:hideMark/>
          </w:tcPr>
          <w:p w14:paraId="6C1388D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24,2%</w:t>
            </w:r>
          </w:p>
        </w:tc>
        <w:tc>
          <w:tcPr>
            <w:tcW w:w="1110" w:type="dxa"/>
            <w:tcBorders>
              <w:top w:val="nil"/>
              <w:left w:val="nil"/>
              <w:bottom w:val="single" w:sz="8" w:space="0" w:color="BFBFBF"/>
              <w:right w:val="single" w:sz="8" w:space="0" w:color="BFBFBF"/>
            </w:tcBorders>
            <w:shd w:val="clear" w:color="auto" w:fill="auto"/>
            <w:vAlign w:val="center"/>
            <w:hideMark/>
          </w:tcPr>
          <w:p w14:paraId="4474B542"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24,0%</w:t>
            </w:r>
          </w:p>
        </w:tc>
        <w:tc>
          <w:tcPr>
            <w:tcW w:w="1110" w:type="dxa"/>
            <w:tcBorders>
              <w:top w:val="nil"/>
              <w:left w:val="nil"/>
              <w:bottom w:val="single" w:sz="8" w:space="0" w:color="BFBFBF"/>
              <w:right w:val="single" w:sz="8" w:space="0" w:color="BFBFBF"/>
            </w:tcBorders>
            <w:shd w:val="clear" w:color="auto" w:fill="auto"/>
            <w:vAlign w:val="center"/>
            <w:hideMark/>
          </w:tcPr>
          <w:p w14:paraId="4C5A7E3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21,7%</w:t>
            </w:r>
          </w:p>
        </w:tc>
        <w:tc>
          <w:tcPr>
            <w:tcW w:w="289" w:type="dxa"/>
            <w:tcBorders>
              <w:top w:val="nil"/>
              <w:left w:val="nil"/>
              <w:bottom w:val="single" w:sz="8" w:space="0" w:color="BFBFBF"/>
              <w:right w:val="single" w:sz="8" w:space="0" w:color="BFBFBF"/>
            </w:tcBorders>
            <w:shd w:val="clear" w:color="auto" w:fill="auto"/>
            <w:vAlign w:val="center"/>
            <w:hideMark/>
          </w:tcPr>
          <w:p w14:paraId="46A8EAA2"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593E1CD8"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19,2%</w:t>
            </w:r>
          </w:p>
        </w:tc>
        <w:tc>
          <w:tcPr>
            <w:tcW w:w="1132" w:type="dxa"/>
            <w:tcBorders>
              <w:top w:val="nil"/>
              <w:left w:val="nil"/>
              <w:bottom w:val="single" w:sz="8" w:space="0" w:color="BFBFBF"/>
              <w:right w:val="single" w:sz="8" w:space="0" w:color="BFBFBF"/>
            </w:tcBorders>
            <w:shd w:val="clear" w:color="auto" w:fill="auto"/>
            <w:vAlign w:val="center"/>
            <w:hideMark/>
          </w:tcPr>
          <w:p w14:paraId="3EE57C0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19,6%</w:t>
            </w:r>
          </w:p>
        </w:tc>
        <w:tc>
          <w:tcPr>
            <w:tcW w:w="1133" w:type="dxa"/>
            <w:tcBorders>
              <w:top w:val="nil"/>
              <w:left w:val="nil"/>
              <w:bottom w:val="single" w:sz="8" w:space="0" w:color="BFBFBF"/>
              <w:right w:val="single" w:sz="8" w:space="0" w:color="BFBFBF"/>
            </w:tcBorders>
            <w:shd w:val="clear" w:color="auto" w:fill="auto"/>
            <w:vAlign w:val="center"/>
            <w:hideMark/>
          </w:tcPr>
          <w:p w14:paraId="04D5336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18,7%</w:t>
            </w:r>
          </w:p>
        </w:tc>
      </w:tr>
      <w:tr w:rsidR="00F26F01" w:rsidRPr="00F26F01" w14:paraId="1E9D7822"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3DA2396C"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Jet A-1</w:t>
            </w:r>
          </w:p>
        </w:tc>
        <w:tc>
          <w:tcPr>
            <w:tcW w:w="1109" w:type="dxa"/>
            <w:tcBorders>
              <w:top w:val="nil"/>
              <w:left w:val="nil"/>
              <w:bottom w:val="single" w:sz="8" w:space="0" w:color="BFBFBF"/>
              <w:right w:val="single" w:sz="8" w:space="0" w:color="BFBFBF"/>
            </w:tcBorders>
            <w:shd w:val="clear" w:color="000000" w:fill="F2F2F2"/>
            <w:vAlign w:val="center"/>
            <w:hideMark/>
          </w:tcPr>
          <w:p w14:paraId="1381AC2C"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4,0%</w:t>
            </w:r>
          </w:p>
        </w:tc>
        <w:tc>
          <w:tcPr>
            <w:tcW w:w="1110" w:type="dxa"/>
            <w:tcBorders>
              <w:top w:val="nil"/>
              <w:left w:val="nil"/>
              <w:bottom w:val="single" w:sz="8" w:space="0" w:color="BFBFBF"/>
              <w:right w:val="single" w:sz="8" w:space="0" w:color="BFBFBF"/>
            </w:tcBorders>
            <w:shd w:val="clear" w:color="000000" w:fill="F2F2F2"/>
            <w:vAlign w:val="center"/>
            <w:hideMark/>
          </w:tcPr>
          <w:p w14:paraId="70B6C67C"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5,5%</w:t>
            </w:r>
          </w:p>
        </w:tc>
        <w:tc>
          <w:tcPr>
            <w:tcW w:w="1110" w:type="dxa"/>
            <w:tcBorders>
              <w:top w:val="nil"/>
              <w:left w:val="nil"/>
              <w:bottom w:val="single" w:sz="8" w:space="0" w:color="BFBFBF"/>
              <w:right w:val="single" w:sz="8" w:space="0" w:color="BFBFBF"/>
            </w:tcBorders>
            <w:shd w:val="clear" w:color="000000" w:fill="F2F2F2"/>
            <w:vAlign w:val="center"/>
            <w:hideMark/>
          </w:tcPr>
          <w:p w14:paraId="2EE96D39"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9,0%</w:t>
            </w:r>
          </w:p>
        </w:tc>
        <w:tc>
          <w:tcPr>
            <w:tcW w:w="289" w:type="dxa"/>
            <w:tcBorders>
              <w:top w:val="nil"/>
              <w:left w:val="nil"/>
              <w:bottom w:val="single" w:sz="8" w:space="0" w:color="BFBFBF"/>
              <w:right w:val="single" w:sz="8" w:space="0" w:color="BFBFBF"/>
            </w:tcBorders>
            <w:shd w:val="clear" w:color="000000" w:fill="F2F2F2"/>
            <w:vAlign w:val="center"/>
            <w:hideMark/>
          </w:tcPr>
          <w:p w14:paraId="4C0FE60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18F81E24"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4,6%</w:t>
            </w:r>
          </w:p>
        </w:tc>
        <w:tc>
          <w:tcPr>
            <w:tcW w:w="1132" w:type="dxa"/>
            <w:tcBorders>
              <w:top w:val="nil"/>
              <w:left w:val="nil"/>
              <w:bottom w:val="single" w:sz="8" w:space="0" w:color="BFBFBF"/>
              <w:right w:val="single" w:sz="8" w:space="0" w:color="BFBFBF"/>
            </w:tcBorders>
            <w:shd w:val="clear" w:color="000000" w:fill="F2F2F2"/>
            <w:vAlign w:val="center"/>
            <w:hideMark/>
          </w:tcPr>
          <w:p w14:paraId="01A91A22"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6,7%</w:t>
            </w:r>
          </w:p>
        </w:tc>
        <w:tc>
          <w:tcPr>
            <w:tcW w:w="1133" w:type="dxa"/>
            <w:tcBorders>
              <w:top w:val="nil"/>
              <w:left w:val="nil"/>
              <w:bottom w:val="single" w:sz="8" w:space="0" w:color="BFBFBF"/>
              <w:right w:val="single" w:sz="8" w:space="0" w:color="BFBFBF"/>
            </w:tcBorders>
            <w:shd w:val="clear" w:color="000000" w:fill="F2F2F2"/>
            <w:vAlign w:val="center"/>
            <w:hideMark/>
          </w:tcPr>
          <w:p w14:paraId="4F5C2FA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9,1%</w:t>
            </w:r>
          </w:p>
        </w:tc>
      </w:tr>
      <w:tr w:rsidR="00F26F01" w:rsidRPr="00F26F01" w14:paraId="27AA26D4"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1A167A75"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GLP</w:t>
            </w:r>
          </w:p>
        </w:tc>
        <w:tc>
          <w:tcPr>
            <w:tcW w:w="1109" w:type="dxa"/>
            <w:tcBorders>
              <w:top w:val="nil"/>
              <w:left w:val="nil"/>
              <w:bottom w:val="single" w:sz="8" w:space="0" w:color="BFBFBF"/>
              <w:right w:val="single" w:sz="8" w:space="0" w:color="BFBFBF"/>
            </w:tcBorders>
            <w:shd w:val="clear" w:color="auto" w:fill="auto"/>
            <w:vAlign w:val="center"/>
            <w:hideMark/>
          </w:tcPr>
          <w:p w14:paraId="6B64A6A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3,9%</w:t>
            </w:r>
          </w:p>
        </w:tc>
        <w:tc>
          <w:tcPr>
            <w:tcW w:w="1110" w:type="dxa"/>
            <w:tcBorders>
              <w:top w:val="nil"/>
              <w:left w:val="nil"/>
              <w:bottom w:val="single" w:sz="8" w:space="0" w:color="BFBFBF"/>
              <w:right w:val="single" w:sz="8" w:space="0" w:color="BFBFBF"/>
            </w:tcBorders>
            <w:shd w:val="clear" w:color="auto" w:fill="auto"/>
            <w:vAlign w:val="center"/>
            <w:hideMark/>
          </w:tcPr>
          <w:p w14:paraId="0F595D4F"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5,6%</w:t>
            </w:r>
          </w:p>
        </w:tc>
        <w:tc>
          <w:tcPr>
            <w:tcW w:w="1110" w:type="dxa"/>
            <w:tcBorders>
              <w:top w:val="nil"/>
              <w:left w:val="nil"/>
              <w:bottom w:val="single" w:sz="8" w:space="0" w:color="BFBFBF"/>
              <w:right w:val="single" w:sz="8" w:space="0" w:color="BFBFBF"/>
            </w:tcBorders>
            <w:shd w:val="clear" w:color="auto" w:fill="auto"/>
            <w:vAlign w:val="center"/>
            <w:hideMark/>
          </w:tcPr>
          <w:p w14:paraId="725D6C0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4,4%</w:t>
            </w:r>
          </w:p>
        </w:tc>
        <w:tc>
          <w:tcPr>
            <w:tcW w:w="289" w:type="dxa"/>
            <w:tcBorders>
              <w:top w:val="nil"/>
              <w:left w:val="nil"/>
              <w:bottom w:val="single" w:sz="8" w:space="0" w:color="BFBFBF"/>
              <w:right w:val="single" w:sz="8" w:space="0" w:color="BFBFBF"/>
            </w:tcBorders>
            <w:shd w:val="clear" w:color="auto" w:fill="auto"/>
            <w:vAlign w:val="center"/>
            <w:hideMark/>
          </w:tcPr>
          <w:p w14:paraId="05070C16"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7A67680D"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11,7%</w:t>
            </w:r>
          </w:p>
        </w:tc>
        <w:tc>
          <w:tcPr>
            <w:tcW w:w="1132" w:type="dxa"/>
            <w:tcBorders>
              <w:top w:val="nil"/>
              <w:left w:val="nil"/>
              <w:bottom w:val="single" w:sz="8" w:space="0" w:color="BFBFBF"/>
              <w:right w:val="single" w:sz="8" w:space="0" w:color="BFBFBF"/>
            </w:tcBorders>
            <w:shd w:val="clear" w:color="auto" w:fill="auto"/>
            <w:vAlign w:val="center"/>
            <w:hideMark/>
          </w:tcPr>
          <w:p w14:paraId="6C0FC689"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11,4%</w:t>
            </w:r>
          </w:p>
        </w:tc>
        <w:tc>
          <w:tcPr>
            <w:tcW w:w="1133" w:type="dxa"/>
            <w:tcBorders>
              <w:top w:val="nil"/>
              <w:left w:val="nil"/>
              <w:bottom w:val="single" w:sz="8" w:space="0" w:color="BFBFBF"/>
              <w:right w:val="single" w:sz="8" w:space="0" w:color="BFBFBF"/>
            </w:tcBorders>
            <w:shd w:val="clear" w:color="auto" w:fill="auto"/>
            <w:vAlign w:val="center"/>
            <w:hideMark/>
          </w:tcPr>
          <w:p w14:paraId="344073E0"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11,7%</w:t>
            </w:r>
          </w:p>
        </w:tc>
      </w:tr>
      <w:tr w:rsidR="00F26F01" w:rsidRPr="00F26F01" w14:paraId="60251958"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45A04D4F"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Búnker (3%S y Térmico)</w:t>
            </w:r>
          </w:p>
        </w:tc>
        <w:tc>
          <w:tcPr>
            <w:tcW w:w="1109" w:type="dxa"/>
            <w:tcBorders>
              <w:top w:val="nil"/>
              <w:left w:val="nil"/>
              <w:bottom w:val="single" w:sz="8" w:space="0" w:color="BFBFBF"/>
              <w:right w:val="single" w:sz="8" w:space="0" w:color="BFBFBF"/>
            </w:tcBorders>
            <w:shd w:val="clear" w:color="000000" w:fill="F2F2F2"/>
            <w:vAlign w:val="center"/>
            <w:hideMark/>
          </w:tcPr>
          <w:p w14:paraId="31C2B5AE"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1,3%</w:t>
            </w:r>
          </w:p>
        </w:tc>
        <w:tc>
          <w:tcPr>
            <w:tcW w:w="1110" w:type="dxa"/>
            <w:tcBorders>
              <w:top w:val="nil"/>
              <w:left w:val="nil"/>
              <w:bottom w:val="single" w:sz="8" w:space="0" w:color="BFBFBF"/>
              <w:right w:val="single" w:sz="8" w:space="0" w:color="BFBFBF"/>
            </w:tcBorders>
            <w:shd w:val="clear" w:color="000000" w:fill="F2F2F2"/>
            <w:vAlign w:val="center"/>
            <w:hideMark/>
          </w:tcPr>
          <w:p w14:paraId="15C08FDB"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1,7%</w:t>
            </w:r>
          </w:p>
        </w:tc>
        <w:tc>
          <w:tcPr>
            <w:tcW w:w="1110" w:type="dxa"/>
            <w:tcBorders>
              <w:top w:val="nil"/>
              <w:left w:val="nil"/>
              <w:bottom w:val="single" w:sz="8" w:space="0" w:color="BFBFBF"/>
              <w:right w:val="single" w:sz="8" w:space="0" w:color="BFBFBF"/>
            </w:tcBorders>
            <w:shd w:val="clear" w:color="000000" w:fill="F2F2F2"/>
            <w:vAlign w:val="center"/>
            <w:hideMark/>
          </w:tcPr>
          <w:p w14:paraId="175B8E84"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1,7%</w:t>
            </w:r>
          </w:p>
        </w:tc>
        <w:tc>
          <w:tcPr>
            <w:tcW w:w="289" w:type="dxa"/>
            <w:tcBorders>
              <w:top w:val="nil"/>
              <w:left w:val="nil"/>
              <w:bottom w:val="single" w:sz="8" w:space="0" w:color="BFBFBF"/>
              <w:right w:val="single" w:sz="8" w:space="0" w:color="BFBFBF"/>
            </w:tcBorders>
            <w:shd w:val="clear" w:color="000000" w:fill="F2F2F2"/>
            <w:vAlign w:val="center"/>
            <w:hideMark/>
          </w:tcPr>
          <w:p w14:paraId="2E771C25"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2A7F8824"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3,2%</w:t>
            </w:r>
          </w:p>
        </w:tc>
        <w:tc>
          <w:tcPr>
            <w:tcW w:w="1132" w:type="dxa"/>
            <w:tcBorders>
              <w:top w:val="nil"/>
              <w:left w:val="nil"/>
              <w:bottom w:val="single" w:sz="8" w:space="0" w:color="BFBFBF"/>
              <w:right w:val="single" w:sz="8" w:space="0" w:color="BFBFBF"/>
            </w:tcBorders>
            <w:shd w:val="clear" w:color="000000" w:fill="F2F2F2"/>
            <w:vAlign w:val="center"/>
            <w:hideMark/>
          </w:tcPr>
          <w:p w14:paraId="7996989A"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3,1%</w:t>
            </w:r>
          </w:p>
        </w:tc>
        <w:tc>
          <w:tcPr>
            <w:tcW w:w="1133" w:type="dxa"/>
            <w:tcBorders>
              <w:top w:val="nil"/>
              <w:left w:val="nil"/>
              <w:bottom w:val="single" w:sz="8" w:space="0" w:color="BFBFBF"/>
              <w:right w:val="single" w:sz="8" w:space="0" w:color="BFBFBF"/>
            </w:tcBorders>
            <w:shd w:val="clear" w:color="000000" w:fill="F2F2F2"/>
            <w:vAlign w:val="center"/>
            <w:hideMark/>
          </w:tcPr>
          <w:p w14:paraId="21694FBF"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3,0%</w:t>
            </w:r>
          </w:p>
        </w:tc>
      </w:tr>
      <w:tr w:rsidR="00F26F01" w:rsidRPr="00F26F01" w14:paraId="62281531"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0A4A1F56" w14:textId="77777777" w:rsidR="00F26F01" w:rsidRPr="00F26F01" w:rsidRDefault="00F26F01" w:rsidP="00F26F01">
            <w:pPr>
              <w:spacing w:after="0" w:line="240" w:lineRule="auto"/>
              <w:jc w:val="left"/>
              <w:rPr>
                <w:rFonts w:cs="Arial"/>
                <w:b/>
                <w:bCs/>
                <w:color w:val="000000"/>
                <w:sz w:val="20"/>
                <w:szCs w:val="20"/>
              </w:rPr>
            </w:pPr>
            <w:r w:rsidRPr="00F26F01">
              <w:rPr>
                <w:rFonts w:cs="Arial"/>
                <w:b/>
                <w:bCs/>
                <w:color w:val="000000"/>
                <w:sz w:val="20"/>
                <w:szCs w:val="20"/>
              </w:rPr>
              <w:t>Asfalto y emulsiones</w:t>
            </w:r>
          </w:p>
        </w:tc>
        <w:tc>
          <w:tcPr>
            <w:tcW w:w="1109" w:type="dxa"/>
            <w:tcBorders>
              <w:top w:val="nil"/>
              <w:left w:val="nil"/>
              <w:bottom w:val="single" w:sz="8" w:space="0" w:color="BFBFBF"/>
              <w:right w:val="single" w:sz="8" w:space="0" w:color="BFBFBF"/>
            </w:tcBorders>
            <w:shd w:val="clear" w:color="auto" w:fill="auto"/>
            <w:vAlign w:val="center"/>
            <w:hideMark/>
          </w:tcPr>
          <w:p w14:paraId="58A0DBF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1,8%</w:t>
            </w:r>
          </w:p>
        </w:tc>
        <w:tc>
          <w:tcPr>
            <w:tcW w:w="1110" w:type="dxa"/>
            <w:tcBorders>
              <w:top w:val="nil"/>
              <w:left w:val="nil"/>
              <w:bottom w:val="single" w:sz="8" w:space="0" w:color="BFBFBF"/>
              <w:right w:val="single" w:sz="8" w:space="0" w:color="BFBFBF"/>
            </w:tcBorders>
            <w:shd w:val="clear" w:color="auto" w:fill="auto"/>
            <w:vAlign w:val="center"/>
            <w:hideMark/>
          </w:tcPr>
          <w:p w14:paraId="2E2375A3"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1,2%</w:t>
            </w:r>
          </w:p>
        </w:tc>
        <w:tc>
          <w:tcPr>
            <w:tcW w:w="1110" w:type="dxa"/>
            <w:tcBorders>
              <w:top w:val="nil"/>
              <w:left w:val="nil"/>
              <w:bottom w:val="single" w:sz="8" w:space="0" w:color="BFBFBF"/>
              <w:right w:val="single" w:sz="8" w:space="0" w:color="BFBFBF"/>
            </w:tcBorders>
            <w:shd w:val="clear" w:color="auto" w:fill="auto"/>
            <w:vAlign w:val="center"/>
            <w:hideMark/>
          </w:tcPr>
          <w:p w14:paraId="2164BF11"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1,1%</w:t>
            </w:r>
          </w:p>
        </w:tc>
        <w:tc>
          <w:tcPr>
            <w:tcW w:w="289" w:type="dxa"/>
            <w:tcBorders>
              <w:top w:val="nil"/>
              <w:left w:val="nil"/>
              <w:bottom w:val="single" w:sz="8" w:space="0" w:color="BFBFBF"/>
              <w:right w:val="single" w:sz="8" w:space="0" w:color="BFBFBF"/>
            </w:tcBorders>
            <w:shd w:val="clear" w:color="auto" w:fill="auto"/>
            <w:vAlign w:val="center"/>
            <w:hideMark/>
          </w:tcPr>
          <w:p w14:paraId="3102A247"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auto" w:fill="auto"/>
            <w:vAlign w:val="center"/>
            <w:hideMark/>
          </w:tcPr>
          <w:p w14:paraId="4D1852FC"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3,3%</w:t>
            </w:r>
          </w:p>
        </w:tc>
        <w:tc>
          <w:tcPr>
            <w:tcW w:w="1132" w:type="dxa"/>
            <w:tcBorders>
              <w:top w:val="nil"/>
              <w:left w:val="nil"/>
              <w:bottom w:val="single" w:sz="8" w:space="0" w:color="BFBFBF"/>
              <w:right w:val="single" w:sz="8" w:space="0" w:color="BFBFBF"/>
            </w:tcBorders>
            <w:shd w:val="clear" w:color="auto" w:fill="auto"/>
            <w:vAlign w:val="center"/>
            <w:hideMark/>
          </w:tcPr>
          <w:p w14:paraId="39347B8B"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2,0%</w:t>
            </w:r>
          </w:p>
        </w:tc>
        <w:tc>
          <w:tcPr>
            <w:tcW w:w="1133" w:type="dxa"/>
            <w:tcBorders>
              <w:top w:val="nil"/>
              <w:left w:val="nil"/>
              <w:bottom w:val="single" w:sz="8" w:space="0" w:color="BFBFBF"/>
              <w:right w:val="single" w:sz="8" w:space="0" w:color="BFBFBF"/>
            </w:tcBorders>
            <w:shd w:val="clear" w:color="auto" w:fill="auto"/>
            <w:vAlign w:val="center"/>
            <w:hideMark/>
          </w:tcPr>
          <w:p w14:paraId="2D744FD9"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1,5%</w:t>
            </w:r>
          </w:p>
        </w:tc>
      </w:tr>
      <w:tr w:rsidR="00F26F01" w:rsidRPr="00F26F01" w14:paraId="4AEBA027"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000000" w:fill="F2F2F2"/>
            <w:noWrap/>
            <w:vAlign w:val="center"/>
            <w:hideMark/>
          </w:tcPr>
          <w:p w14:paraId="36C1DF14" w14:textId="77777777" w:rsidR="00F26F01" w:rsidRPr="00F26F01" w:rsidRDefault="00F26F01" w:rsidP="00F26F01">
            <w:pPr>
              <w:spacing w:after="0" w:line="240" w:lineRule="auto"/>
              <w:jc w:val="left"/>
              <w:rPr>
                <w:rFonts w:cs="Arial"/>
                <w:b/>
                <w:bCs/>
                <w:color w:val="000000"/>
                <w:sz w:val="20"/>
                <w:szCs w:val="20"/>
              </w:rPr>
            </w:pPr>
            <w:r w:rsidRPr="00F26F01">
              <w:rPr>
                <w:rFonts w:cs="Arial"/>
                <w:b/>
                <w:bCs/>
                <w:sz w:val="20"/>
                <w:szCs w:val="20"/>
              </w:rPr>
              <w:t>Otros</w:t>
            </w:r>
          </w:p>
        </w:tc>
        <w:tc>
          <w:tcPr>
            <w:tcW w:w="1109" w:type="dxa"/>
            <w:tcBorders>
              <w:top w:val="nil"/>
              <w:left w:val="nil"/>
              <w:bottom w:val="single" w:sz="8" w:space="0" w:color="BFBFBF"/>
              <w:right w:val="single" w:sz="8" w:space="0" w:color="BFBFBF"/>
            </w:tcBorders>
            <w:shd w:val="clear" w:color="000000" w:fill="F2F2F2"/>
            <w:vAlign w:val="center"/>
            <w:hideMark/>
          </w:tcPr>
          <w:p w14:paraId="4697D9C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0,4%</w:t>
            </w:r>
          </w:p>
        </w:tc>
        <w:tc>
          <w:tcPr>
            <w:tcW w:w="1110" w:type="dxa"/>
            <w:tcBorders>
              <w:top w:val="nil"/>
              <w:left w:val="nil"/>
              <w:bottom w:val="single" w:sz="8" w:space="0" w:color="BFBFBF"/>
              <w:right w:val="single" w:sz="8" w:space="0" w:color="BFBFBF"/>
            </w:tcBorders>
            <w:shd w:val="clear" w:color="000000" w:fill="F2F2F2"/>
            <w:vAlign w:val="center"/>
            <w:hideMark/>
          </w:tcPr>
          <w:p w14:paraId="4A8AAD7D"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0,6%</w:t>
            </w:r>
          </w:p>
        </w:tc>
        <w:tc>
          <w:tcPr>
            <w:tcW w:w="1110" w:type="dxa"/>
            <w:tcBorders>
              <w:top w:val="nil"/>
              <w:left w:val="nil"/>
              <w:bottom w:val="single" w:sz="8" w:space="0" w:color="BFBFBF"/>
              <w:right w:val="single" w:sz="8" w:space="0" w:color="BFBFBF"/>
            </w:tcBorders>
            <w:shd w:val="clear" w:color="000000" w:fill="F2F2F2"/>
            <w:vAlign w:val="center"/>
            <w:hideMark/>
          </w:tcPr>
          <w:p w14:paraId="452E7A7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0,8%</w:t>
            </w:r>
          </w:p>
        </w:tc>
        <w:tc>
          <w:tcPr>
            <w:tcW w:w="289" w:type="dxa"/>
            <w:tcBorders>
              <w:top w:val="nil"/>
              <w:left w:val="nil"/>
              <w:bottom w:val="single" w:sz="8" w:space="0" w:color="BFBFBF"/>
              <w:right w:val="single" w:sz="8" w:space="0" w:color="BFBFBF"/>
            </w:tcBorders>
            <w:shd w:val="clear" w:color="000000" w:fill="F2F2F2"/>
            <w:vAlign w:val="center"/>
            <w:hideMark/>
          </w:tcPr>
          <w:p w14:paraId="231CE9D8" w14:textId="77777777" w:rsidR="00F26F01" w:rsidRPr="00F26F01" w:rsidRDefault="00F26F01" w:rsidP="00F26F01">
            <w:pPr>
              <w:spacing w:after="0" w:line="240" w:lineRule="auto"/>
              <w:jc w:val="right"/>
              <w:rPr>
                <w:rFonts w:cs="Arial"/>
                <w:color w:val="000000"/>
                <w:sz w:val="20"/>
                <w:szCs w:val="20"/>
              </w:rPr>
            </w:pPr>
            <w:r w:rsidRPr="00F26F01">
              <w:rPr>
                <w:rFonts w:cs="Arial"/>
                <w:color w:val="000000"/>
                <w:sz w:val="20"/>
                <w:szCs w:val="20"/>
              </w:rPr>
              <w:t> </w:t>
            </w:r>
          </w:p>
        </w:tc>
        <w:tc>
          <w:tcPr>
            <w:tcW w:w="1132" w:type="dxa"/>
            <w:tcBorders>
              <w:top w:val="nil"/>
              <w:left w:val="nil"/>
              <w:bottom w:val="single" w:sz="8" w:space="0" w:color="BFBFBF"/>
              <w:right w:val="single" w:sz="8" w:space="0" w:color="BFBFBF"/>
            </w:tcBorders>
            <w:shd w:val="clear" w:color="000000" w:fill="F2F2F2"/>
            <w:vAlign w:val="center"/>
            <w:hideMark/>
          </w:tcPr>
          <w:p w14:paraId="2743C94E"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0,4%</w:t>
            </w:r>
          </w:p>
        </w:tc>
        <w:tc>
          <w:tcPr>
            <w:tcW w:w="1132" w:type="dxa"/>
            <w:tcBorders>
              <w:top w:val="nil"/>
              <w:left w:val="nil"/>
              <w:bottom w:val="single" w:sz="8" w:space="0" w:color="BFBFBF"/>
              <w:right w:val="single" w:sz="8" w:space="0" w:color="BFBFBF"/>
            </w:tcBorders>
            <w:shd w:val="clear" w:color="000000" w:fill="F2F2F2"/>
            <w:vAlign w:val="center"/>
            <w:hideMark/>
          </w:tcPr>
          <w:p w14:paraId="6E8E73E6"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0,9%</w:t>
            </w:r>
          </w:p>
        </w:tc>
        <w:tc>
          <w:tcPr>
            <w:tcW w:w="1133" w:type="dxa"/>
            <w:tcBorders>
              <w:top w:val="nil"/>
              <w:left w:val="nil"/>
              <w:bottom w:val="single" w:sz="8" w:space="0" w:color="BFBFBF"/>
              <w:right w:val="single" w:sz="8" w:space="0" w:color="BFBFBF"/>
            </w:tcBorders>
            <w:shd w:val="clear" w:color="000000" w:fill="F2F2F2"/>
            <w:vAlign w:val="center"/>
            <w:hideMark/>
          </w:tcPr>
          <w:p w14:paraId="6A013218" w14:textId="77777777" w:rsidR="00F26F01" w:rsidRPr="00F26F01" w:rsidRDefault="00F26F01" w:rsidP="00F26F01">
            <w:pPr>
              <w:spacing w:after="0" w:line="240" w:lineRule="auto"/>
              <w:jc w:val="right"/>
              <w:rPr>
                <w:rFonts w:cs="Arial"/>
                <w:color w:val="000000"/>
                <w:sz w:val="20"/>
                <w:szCs w:val="20"/>
              </w:rPr>
            </w:pPr>
            <w:r w:rsidRPr="00F26F01">
              <w:rPr>
                <w:rFonts w:cs="Arial"/>
                <w:sz w:val="20"/>
                <w:szCs w:val="20"/>
              </w:rPr>
              <w:t>1,1%</w:t>
            </w:r>
          </w:p>
        </w:tc>
      </w:tr>
      <w:tr w:rsidR="00F26F01" w:rsidRPr="00F26F01" w14:paraId="5DBA0565" w14:textId="77777777" w:rsidTr="00361D33">
        <w:trPr>
          <w:trHeight w:val="315"/>
        </w:trPr>
        <w:tc>
          <w:tcPr>
            <w:tcW w:w="1833" w:type="dxa"/>
            <w:tcBorders>
              <w:top w:val="nil"/>
              <w:left w:val="single" w:sz="8" w:space="0" w:color="BFBFBF"/>
              <w:bottom w:val="single" w:sz="8" w:space="0" w:color="BFBFBF"/>
              <w:right w:val="single" w:sz="8" w:space="0" w:color="BFBFBF"/>
            </w:tcBorders>
            <w:shd w:val="clear" w:color="auto" w:fill="auto"/>
            <w:noWrap/>
            <w:vAlign w:val="center"/>
            <w:hideMark/>
          </w:tcPr>
          <w:p w14:paraId="4C6BE56A" w14:textId="77777777" w:rsidR="00F26F01" w:rsidRPr="00F26F01" w:rsidRDefault="00F26F01" w:rsidP="00F26F01">
            <w:pPr>
              <w:spacing w:after="0" w:line="240" w:lineRule="auto"/>
              <w:jc w:val="left"/>
              <w:rPr>
                <w:rFonts w:cs="Arial"/>
                <w:color w:val="000000"/>
                <w:sz w:val="20"/>
                <w:szCs w:val="20"/>
              </w:rPr>
            </w:pPr>
            <w:r w:rsidRPr="00F26F01">
              <w:rPr>
                <w:rFonts w:cs="Arial"/>
                <w:bCs/>
                <w:color w:val="000000"/>
                <w:sz w:val="20"/>
                <w:szCs w:val="20"/>
              </w:rPr>
              <w:t>Total</w:t>
            </w:r>
          </w:p>
        </w:tc>
        <w:tc>
          <w:tcPr>
            <w:tcW w:w="1109" w:type="dxa"/>
            <w:tcBorders>
              <w:top w:val="nil"/>
              <w:left w:val="nil"/>
              <w:bottom w:val="single" w:sz="8" w:space="0" w:color="BFBFBF"/>
              <w:right w:val="single" w:sz="8" w:space="0" w:color="BFBFBF"/>
            </w:tcBorders>
            <w:shd w:val="clear" w:color="auto" w:fill="auto"/>
            <w:noWrap/>
            <w:vAlign w:val="center"/>
            <w:hideMark/>
          </w:tcPr>
          <w:p w14:paraId="624CE6E7"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c>
          <w:tcPr>
            <w:tcW w:w="1110" w:type="dxa"/>
            <w:tcBorders>
              <w:top w:val="nil"/>
              <w:left w:val="nil"/>
              <w:bottom w:val="single" w:sz="8" w:space="0" w:color="BFBFBF"/>
              <w:right w:val="single" w:sz="8" w:space="0" w:color="BFBFBF"/>
            </w:tcBorders>
            <w:shd w:val="clear" w:color="auto" w:fill="auto"/>
            <w:noWrap/>
            <w:vAlign w:val="center"/>
            <w:hideMark/>
          </w:tcPr>
          <w:p w14:paraId="3B430C20"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c>
          <w:tcPr>
            <w:tcW w:w="1110" w:type="dxa"/>
            <w:tcBorders>
              <w:top w:val="nil"/>
              <w:left w:val="nil"/>
              <w:bottom w:val="single" w:sz="8" w:space="0" w:color="BFBFBF"/>
              <w:right w:val="single" w:sz="8" w:space="0" w:color="BFBFBF"/>
            </w:tcBorders>
            <w:shd w:val="clear" w:color="auto" w:fill="auto"/>
            <w:noWrap/>
            <w:vAlign w:val="center"/>
            <w:hideMark/>
          </w:tcPr>
          <w:p w14:paraId="16350A29"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c>
          <w:tcPr>
            <w:tcW w:w="289" w:type="dxa"/>
            <w:tcBorders>
              <w:top w:val="nil"/>
              <w:left w:val="nil"/>
              <w:bottom w:val="single" w:sz="8" w:space="0" w:color="BFBFBF"/>
              <w:right w:val="single" w:sz="8" w:space="0" w:color="BFBFBF"/>
            </w:tcBorders>
            <w:shd w:val="clear" w:color="auto" w:fill="auto"/>
            <w:vAlign w:val="center"/>
            <w:hideMark/>
          </w:tcPr>
          <w:p w14:paraId="0BD374E7"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 </w:t>
            </w:r>
          </w:p>
        </w:tc>
        <w:tc>
          <w:tcPr>
            <w:tcW w:w="1132" w:type="dxa"/>
            <w:tcBorders>
              <w:top w:val="nil"/>
              <w:left w:val="nil"/>
              <w:bottom w:val="single" w:sz="8" w:space="0" w:color="BFBFBF"/>
              <w:right w:val="single" w:sz="8" w:space="0" w:color="BFBFBF"/>
            </w:tcBorders>
            <w:shd w:val="clear" w:color="auto" w:fill="auto"/>
            <w:noWrap/>
            <w:vAlign w:val="center"/>
            <w:hideMark/>
          </w:tcPr>
          <w:p w14:paraId="4A3889A0"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c>
          <w:tcPr>
            <w:tcW w:w="1132" w:type="dxa"/>
            <w:tcBorders>
              <w:top w:val="nil"/>
              <w:left w:val="nil"/>
              <w:bottom w:val="single" w:sz="8" w:space="0" w:color="BFBFBF"/>
              <w:right w:val="single" w:sz="8" w:space="0" w:color="BFBFBF"/>
            </w:tcBorders>
            <w:shd w:val="clear" w:color="auto" w:fill="auto"/>
            <w:noWrap/>
            <w:vAlign w:val="center"/>
            <w:hideMark/>
          </w:tcPr>
          <w:p w14:paraId="76049271"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c>
          <w:tcPr>
            <w:tcW w:w="1133" w:type="dxa"/>
            <w:tcBorders>
              <w:top w:val="nil"/>
              <w:left w:val="nil"/>
              <w:bottom w:val="single" w:sz="8" w:space="0" w:color="BFBFBF"/>
              <w:right w:val="single" w:sz="8" w:space="0" w:color="BFBFBF"/>
            </w:tcBorders>
            <w:shd w:val="clear" w:color="auto" w:fill="auto"/>
            <w:noWrap/>
            <w:vAlign w:val="center"/>
            <w:hideMark/>
          </w:tcPr>
          <w:p w14:paraId="2872F8A8" w14:textId="77777777" w:rsidR="00F26F01" w:rsidRPr="00F26F01" w:rsidRDefault="00F26F01" w:rsidP="00F26F01">
            <w:pPr>
              <w:spacing w:after="0" w:line="240" w:lineRule="auto"/>
              <w:jc w:val="right"/>
              <w:rPr>
                <w:rFonts w:cs="Arial"/>
                <w:b/>
                <w:bCs/>
                <w:color w:val="000000"/>
                <w:sz w:val="20"/>
                <w:szCs w:val="20"/>
              </w:rPr>
            </w:pPr>
            <w:r w:rsidRPr="00F26F01">
              <w:rPr>
                <w:rFonts w:cs="Arial"/>
                <w:b/>
                <w:bCs/>
                <w:color w:val="000000"/>
                <w:sz w:val="20"/>
                <w:szCs w:val="20"/>
              </w:rPr>
              <w:t>100,0%</w:t>
            </w:r>
          </w:p>
        </w:tc>
      </w:tr>
    </w:tbl>
    <w:p w14:paraId="774416E3" w14:textId="77777777" w:rsidR="00F418CC" w:rsidRDefault="00F418CC" w:rsidP="00361D33">
      <w:pPr>
        <w:tabs>
          <w:tab w:val="left" w:pos="9270"/>
        </w:tabs>
        <w:spacing w:after="0"/>
        <w:rPr>
          <w:rFonts w:cs="Arial"/>
        </w:rPr>
      </w:pPr>
    </w:p>
    <w:p w14:paraId="5095929A" w14:textId="5C9D9859" w:rsidR="00C71CAD" w:rsidRDefault="00C63554" w:rsidP="006A784A">
      <w:pPr>
        <w:tabs>
          <w:tab w:val="left" w:pos="9270"/>
        </w:tabs>
        <w:spacing w:after="0"/>
        <w:rPr>
          <w:rFonts w:cs="Arial"/>
        </w:rPr>
      </w:pPr>
      <w:r w:rsidRPr="006E6390">
        <w:rPr>
          <w:rFonts w:cs="Arial"/>
        </w:rPr>
        <w:t xml:space="preserve">En el gráfico </w:t>
      </w:r>
      <w:r w:rsidR="00A72232" w:rsidRPr="006E6390">
        <w:rPr>
          <w:rFonts w:cs="Arial"/>
        </w:rPr>
        <w:t>N°9</w:t>
      </w:r>
      <w:r w:rsidRPr="006E6390">
        <w:rPr>
          <w:rFonts w:cs="Arial"/>
        </w:rPr>
        <w:t xml:space="preserve"> se presenta la estacionalidad mensual de las ventas. </w:t>
      </w:r>
      <w:r w:rsidR="004D0CB6">
        <w:rPr>
          <w:rFonts w:cs="Arial"/>
        </w:rPr>
        <w:t xml:space="preserve"> </w:t>
      </w:r>
      <w:r w:rsidRPr="006E6390">
        <w:rPr>
          <w:rFonts w:cs="Arial"/>
        </w:rPr>
        <w:t>Se observa que los máximos generalmente se presentan en enero</w:t>
      </w:r>
      <w:r w:rsidR="00FD572C" w:rsidRPr="006E6390">
        <w:rPr>
          <w:rFonts w:cs="Arial"/>
        </w:rPr>
        <w:t>, marzo o diciembre</w:t>
      </w:r>
      <w:r w:rsidRPr="006E6390">
        <w:rPr>
          <w:rFonts w:cs="Arial"/>
        </w:rPr>
        <w:t>, que coincide con la temporada de vacaciones escolares</w:t>
      </w:r>
      <w:r w:rsidR="00FD572C" w:rsidRPr="006E6390">
        <w:rPr>
          <w:rFonts w:cs="Arial"/>
        </w:rPr>
        <w:t xml:space="preserve"> y la semana santa</w:t>
      </w:r>
      <w:r w:rsidRPr="006E6390">
        <w:rPr>
          <w:rFonts w:cs="Arial"/>
        </w:rPr>
        <w:t xml:space="preserve">. Los máximos por productos han sido: a) diésel: </w:t>
      </w:r>
      <w:r w:rsidR="00BA375A" w:rsidRPr="006E6390">
        <w:rPr>
          <w:rFonts w:cs="Arial"/>
        </w:rPr>
        <w:t>7</w:t>
      </w:r>
      <w:r w:rsidR="00BA375A">
        <w:rPr>
          <w:rFonts w:cs="Arial"/>
        </w:rPr>
        <w:t>98</w:t>
      </w:r>
      <w:r w:rsidR="00BA375A" w:rsidRPr="006E6390">
        <w:rPr>
          <w:rFonts w:cs="Arial"/>
        </w:rPr>
        <w:t xml:space="preserve"> </w:t>
      </w:r>
      <w:r w:rsidR="00BA375A">
        <w:rPr>
          <w:rFonts w:cs="Arial"/>
        </w:rPr>
        <w:t>416</w:t>
      </w:r>
      <w:r w:rsidR="00BA375A" w:rsidRPr="006E6390">
        <w:rPr>
          <w:rFonts w:cs="Arial"/>
        </w:rPr>
        <w:t xml:space="preserve"> </w:t>
      </w:r>
      <w:r w:rsidRPr="006E6390">
        <w:rPr>
          <w:rFonts w:cs="Arial"/>
        </w:rPr>
        <w:t xml:space="preserve">barriles en marzo de </w:t>
      </w:r>
      <w:r w:rsidR="00BA375A" w:rsidRPr="006E6390">
        <w:rPr>
          <w:rFonts w:cs="Arial"/>
        </w:rPr>
        <w:t>202</w:t>
      </w:r>
      <w:r w:rsidR="00BA375A">
        <w:rPr>
          <w:rFonts w:cs="Arial"/>
        </w:rPr>
        <w:t>2</w:t>
      </w:r>
      <w:r w:rsidRPr="006E6390">
        <w:rPr>
          <w:rFonts w:cs="Arial"/>
        </w:rPr>
        <w:t xml:space="preserve">, b) gasolina </w:t>
      </w:r>
      <w:r w:rsidR="00CB1CAD" w:rsidRPr="006E6390">
        <w:rPr>
          <w:rFonts w:cs="Arial"/>
        </w:rPr>
        <w:t>Súper</w:t>
      </w:r>
      <w:r w:rsidRPr="006E6390">
        <w:rPr>
          <w:rFonts w:cs="Arial"/>
        </w:rPr>
        <w:t xml:space="preserve">: </w:t>
      </w:r>
      <w:r w:rsidR="00BA375A">
        <w:rPr>
          <w:rFonts w:cs="Arial"/>
        </w:rPr>
        <w:t>514 860</w:t>
      </w:r>
      <w:r w:rsidRPr="006E6390">
        <w:rPr>
          <w:rFonts w:cs="Arial"/>
        </w:rPr>
        <w:t xml:space="preserve"> barriles en </w:t>
      </w:r>
      <w:r w:rsidR="00BA375A">
        <w:rPr>
          <w:rFonts w:cs="Arial"/>
        </w:rPr>
        <w:t>noviem</w:t>
      </w:r>
      <w:r w:rsidR="00BA375A" w:rsidRPr="006E6390">
        <w:rPr>
          <w:rFonts w:cs="Arial"/>
        </w:rPr>
        <w:t xml:space="preserve">bre </w:t>
      </w:r>
      <w:r w:rsidRPr="006E6390">
        <w:rPr>
          <w:rFonts w:cs="Arial"/>
        </w:rPr>
        <w:t xml:space="preserve">de </w:t>
      </w:r>
      <w:r w:rsidR="00BA375A" w:rsidRPr="006E6390">
        <w:rPr>
          <w:rFonts w:cs="Arial"/>
        </w:rPr>
        <w:t>202</w:t>
      </w:r>
      <w:r w:rsidR="00BA375A">
        <w:rPr>
          <w:rFonts w:cs="Arial"/>
        </w:rPr>
        <w:t>2</w:t>
      </w:r>
      <w:r w:rsidRPr="006E6390">
        <w:rPr>
          <w:rFonts w:cs="Arial"/>
        </w:rPr>
        <w:t xml:space="preserve">, c) gasolina </w:t>
      </w:r>
      <w:r w:rsidR="00075BB7" w:rsidRPr="006E6390">
        <w:rPr>
          <w:rFonts w:cs="Arial"/>
        </w:rPr>
        <w:t>Plus 91:</w:t>
      </w:r>
      <w:r w:rsidRPr="006E6390">
        <w:rPr>
          <w:rFonts w:cs="Arial"/>
        </w:rPr>
        <w:t xml:space="preserve"> </w:t>
      </w:r>
      <w:r w:rsidR="00FD572C" w:rsidRPr="006E6390">
        <w:rPr>
          <w:rFonts w:cs="Arial"/>
        </w:rPr>
        <w:t>403 962</w:t>
      </w:r>
      <w:r w:rsidRPr="006E6390">
        <w:rPr>
          <w:rFonts w:cs="Arial"/>
        </w:rPr>
        <w:t xml:space="preserve"> barriles en diciembre de 20</w:t>
      </w:r>
      <w:r w:rsidR="00FD572C" w:rsidRPr="006E6390">
        <w:rPr>
          <w:rFonts w:cs="Arial"/>
        </w:rPr>
        <w:t>21</w:t>
      </w:r>
      <w:r w:rsidRPr="006E6390">
        <w:rPr>
          <w:rFonts w:cs="Arial"/>
        </w:rPr>
        <w:t xml:space="preserve">, d) Jet </w:t>
      </w:r>
      <w:r w:rsidR="004D0CB6">
        <w:rPr>
          <w:rFonts w:cs="Arial"/>
        </w:rPr>
        <w:t>f</w:t>
      </w:r>
      <w:r w:rsidRPr="006E6390">
        <w:rPr>
          <w:rFonts w:cs="Arial"/>
        </w:rPr>
        <w:t>uel: 204</w:t>
      </w:r>
      <w:r w:rsidR="004D0CB6">
        <w:rPr>
          <w:rFonts w:cs="Arial"/>
        </w:rPr>
        <w:t xml:space="preserve"> </w:t>
      </w:r>
      <w:r w:rsidRPr="006E6390">
        <w:rPr>
          <w:rFonts w:cs="Arial"/>
        </w:rPr>
        <w:t xml:space="preserve">012 barriles en marzo de 2019, e) GLP </w:t>
      </w:r>
      <w:r w:rsidR="006D5571">
        <w:rPr>
          <w:rFonts w:cs="Arial"/>
        </w:rPr>
        <w:t>239 455</w:t>
      </w:r>
      <w:r w:rsidRPr="006E6390">
        <w:rPr>
          <w:rFonts w:cs="Arial"/>
        </w:rPr>
        <w:t xml:space="preserve"> barriles en </w:t>
      </w:r>
      <w:r w:rsidR="00075BB7" w:rsidRPr="006E6390">
        <w:rPr>
          <w:rFonts w:cs="Arial"/>
        </w:rPr>
        <w:t xml:space="preserve">diciembre </w:t>
      </w:r>
      <w:r w:rsidRPr="006E6390">
        <w:rPr>
          <w:rFonts w:cs="Arial"/>
        </w:rPr>
        <w:t xml:space="preserve">de </w:t>
      </w:r>
      <w:r w:rsidR="006D5571" w:rsidRPr="006E6390">
        <w:rPr>
          <w:rFonts w:cs="Arial"/>
        </w:rPr>
        <w:t>202</w:t>
      </w:r>
      <w:r w:rsidR="006D5571">
        <w:rPr>
          <w:rFonts w:cs="Arial"/>
        </w:rPr>
        <w:t>2</w:t>
      </w:r>
      <w:r w:rsidRPr="006E6390">
        <w:rPr>
          <w:rFonts w:cs="Arial"/>
        </w:rPr>
        <w:t>.</w:t>
      </w:r>
      <w:r w:rsidR="00075BB7" w:rsidRPr="006E6390">
        <w:rPr>
          <w:rFonts w:cs="Arial"/>
        </w:rPr>
        <w:t xml:space="preserve">  </w:t>
      </w:r>
    </w:p>
    <w:p w14:paraId="6CD3695C" w14:textId="77777777" w:rsidR="00C71CAD" w:rsidRDefault="00C71CAD" w:rsidP="006A784A">
      <w:pPr>
        <w:tabs>
          <w:tab w:val="left" w:pos="9270"/>
        </w:tabs>
        <w:spacing w:after="0"/>
        <w:rPr>
          <w:rFonts w:cs="Arial"/>
        </w:rPr>
      </w:pPr>
    </w:p>
    <w:p w14:paraId="64F8BF08" w14:textId="40E04526" w:rsidR="00C63554" w:rsidRDefault="005F2F98" w:rsidP="006A784A">
      <w:pPr>
        <w:tabs>
          <w:tab w:val="left" w:pos="9270"/>
        </w:tabs>
        <w:spacing w:after="0"/>
        <w:rPr>
          <w:rFonts w:cs="Arial"/>
        </w:rPr>
      </w:pPr>
      <w:r>
        <w:rPr>
          <w:rFonts w:cs="Arial"/>
        </w:rPr>
        <w:t xml:space="preserve">Debido a una inversión en la relación de precios de venta de las gasolinas, </w:t>
      </w:r>
      <w:r w:rsidR="00F83863">
        <w:rPr>
          <w:rFonts w:cs="Arial"/>
        </w:rPr>
        <w:t xml:space="preserve">en los meses de noviembre y diciembre </w:t>
      </w:r>
      <w:r w:rsidR="00647B35">
        <w:rPr>
          <w:rFonts w:cs="Arial"/>
        </w:rPr>
        <w:t xml:space="preserve">hubo un aumento de las ventas de </w:t>
      </w:r>
      <w:r w:rsidR="002D5476">
        <w:rPr>
          <w:rFonts w:cs="Arial"/>
        </w:rPr>
        <w:t xml:space="preserve">gasolina Súper. </w:t>
      </w:r>
      <w:r w:rsidR="00F70F0B">
        <w:rPr>
          <w:rFonts w:cs="Arial"/>
        </w:rPr>
        <w:t>Esta situación obedeció a la combinación de factores</w:t>
      </w:r>
      <w:r w:rsidR="0036082E">
        <w:rPr>
          <w:rFonts w:cs="Arial"/>
        </w:rPr>
        <w:t xml:space="preserve">, como es el nuevo procedimiento </w:t>
      </w:r>
      <w:r w:rsidR="006F3E75">
        <w:rPr>
          <w:rFonts w:cs="Arial"/>
        </w:rPr>
        <w:t>de fijación de precios, el cambio de la estrategia de importación de gasolinas y eventos for</w:t>
      </w:r>
      <w:r w:rsidR="00263DBC">
        <w:rPr>
          <w:rFonts w:cs="Arial"/>
        </w:rPr>
        <w:t xml:space="preserve">tuitos y de fuerza </w:t>
      </w:r>
      <w:r w:rsidR="00F01787">
        <w:rPr>
          <w:rFonts w:cs="Arial"/>
        </w:rPr>
        <w:t>mayor en el mercado internacional.</w:t>
      </w:r>
    </w:p>
    <w:p w14:paraId="77A47624" w14:textId="7D33875A" w:rsidR="0040419A" w:rsidRDefault="0040419A" w:rsidP="006A784A">
      <w:pPr>
        <w:tabs>
          <w:tab w:val="left" w:pos="9270"/>
        </w:tabs>
        <w:spacing w:after="0"/>
        <w:rPr>
          <w:rFonts w:cs="Arial"/>
        </w:rPr>
      </w:pPr>
    </w:p>
    <w:p w14:paraId="3CDC9144" w14:textId="77777777" w:rsidR="0040419A" w:rsidRDefault="0040419A" w:rsidP="006A784A">
      <w:pPr>
        <w:tabs>
          <w:tab w:val="left" w:pos="9270"/>
        </w:tabs>
        <w:spacing w:after="0"/>
        <w:rPr>
          <w:rFonts w:cs="Arial"/>
        </w:rPr>
      </w:pPr>
    </w:p>
    <w:p w14:paraId="4ACEB2B3" w14:textId="77777777" w:rsidR="009277B4" w:rsidRPr="006E6390" w:rsidRDefault="009277B4" w:rsidP="009277B4">
      <w:pPr>
        <w:pStyle w:val="Ttuloscuadros"/>
        <w:tabs>
          <w:tab w:val="left" w:pos="9270"/>
        </w:tabs>
        <w:rPr>
          <w:rFonts w:cs="Arial"/>
        </w:rPr>
      </w:pPr>
      <w:r w:rsidRPr="006E6390">
        <w:rPr>
          <w:rFonts w:cs="Arial"/>
        </w:rPr>
        <w:t>Gráfico N°</w:t>
      </w:r>
      <w:r w:rsidR="00A72232" w:rsidRPr="006E6390">
        <w:rPr>
          <w:rFonts w:cs="Arial"/>
        </w:rPr>
        <w:t>9</w:t>
      </w:r>
    </w:p>
    <w:p w14:paraId="76AA689F" w14:textId="77777777" w:rsidR="009277B4" w:rsidRPr="006E6390" w:rsidRDefault="009277B4" w:rsidP="009277B4">
      <w:pPr>
        <w:pStyle w:val="Ttuloscuadros"/>
        <w:tabs>
          <w:tab w:val="left" w:pos="9270"/>
        </w:tabs>
        <w:rPr>
          <w:rFonts w:cs="Arial"/>
        </w:rPr>
      </w:pPr>
      <w:r w:rsidRPr="006E6390">
        <w:rPr>
          <w:rFonts w:cs="Arial"/>
        </w:rPr>
        <w:t xml:space="preserve">RECOPE: Ventas nacionales mensuales, incluyendo o no las del ICE, </w:t>
      </w:r>
    </w:p>
    <w:p w14:paraId="027CA123" w14:textId="68EA3C3B" w:rsidR="009277B4" w:rsidRPr="006E6390" w:rsidRDefault="009277B4" w:rsidP="009277B4">
      <w:pPr>
        <w:pStyle w:val="Ttuloscuadros"/>
        <w:tabs>
          <w:tab w:val="left" w:pos="9270"/>
        </w:tabs>
        <w:rPr>
          <w:rFonts w:cs="Arial"/>
        </w:rPr>
      </w:pPr>
      <w:r w:rsidRPr="006E6390">
        <w:rPr>
          <w:rFonts w:cs="Arial"/>
        </w:rPr>
        <w:t>enero 201</w:t>
      </w:r>
      <w:r w:rsidR="000E0DA2" w:rsidRPr="006E6390">
        <w:rPr>
          <w:rFonts w:cs="Arial"/>
        </w:rPr>
        <w:t>3</w:t>
      </w:r>
      <w:r w:rsidRPr="006E6390">
        <w:rPr>
          <w:rFonts w:cs="Arial"/>
        </w:rPr>
        <w:t xml:space="preserve">-enero </w:t>
      </w:r>
      <w:r w:rsidR="00224FF9" w:rsidRPr="006E6390">
        <w:rPr>
          <w:rFonts w:cs="Arial"/>
        </w:rPr>
        <w:t>202</w:t>
      </w:r>
      <w:r w:rsidR="00224FF9">
        <w:rPr>
          <w:rFonts w:cs="Arial"/>
        </w:rPr>
        <w:t>3</w:t>
      </w:r>
    </w:p>
    <w:p w14:paraId="023E7B7C" w14:textId="76C98FC1" w:rsidR="009277B4" w:rsidRPr="006E6390" w:rsidRDefault="00224FF9" w:rsidP="009277B4">
      <w:pPr>
        <w:tabs>
          <w:tab w:val="left" w:pos="9270"/>
        </w:tabs>
        <w:jc w:val="center"/>
        <w:rPr>
          <w:rFonts w:cs="Arial"/>
          <w:noProof/>
          <w:lang w:val="es-ES" w:eastAsia="es-ES"/>
        </w:rPr>
      </w:pPr>
      <w:r>
        <w:rPr>
          <w:noProof/>
        </w:rPr>
        <w:drawing>
          <wp:inline distT="0" distB="0" distL="0" distR="0" wp14:anchorId="662BC667" wp14:editId="3867547B">
            <wp:extent cx="5580000" cy="3060000"/>
            <wp:effectExtent l="0" t="0" r="1905" b="7620"/>
            <wp:docPr id="4" name="Gráfico 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13E744" w14:textId="77777777" w:rsidR="009277B4" w:rsidRPr="006E6390" w:rsidRDefault="009277B4" w:rsidP="009277B4">
      <w:pPr>
        <w:pStyle w:val="piedepgina0"/>
        <w:tabs>
          <w:tab w:val="left" w:pos="9270"/>
        </w:tabs>
        <w:rPr>
          <w:rFonts w:cs="Arial"/>
          <w:sz w:val="20"/>
        </w:rPr>
      </w:pPr>
      <w:r w:rsidRPr="006E6390">
        <w:rPr>
          <w:rFonts w:cs="Arial"/>
          <w:sz w:val="20"/>
        </w:rPr>
        <w:t>Fuente: Elaboración propia</w:t>
      </w:r>
    </w:p>
    <w:p w14:paraId="69C55DE8" w14:textId="77777777" w:rsidR="002C7037" w:rsidRPr="006D60F3" w:rsidRDefault="002C7037" w:rsidP="00514A16">
      <w:pPr>
        <w:pStyle w:val="Ttulo1"/>
      </w:pPr>
      <w:bookmarkStart w:id="136" w:name="_Toc226807288"/>
      <w:bookmarkStart w:id="137" w:name="_Toc226807402"/>
      <w:bookmarkStart w:id="138" w:name="_Toc226807516"/>
      <w:bookmarkStart w:id="139" w:name="_Toc226807627"/>
      <w:bookmarkStart w:id="140" w:name="_Toc226808514"/>
      <w:bookmarkStart w:id="141" w:name="_Toc226808625"/>
      <w:bookmarkStart w:id="142" w:name="_Toc226809138"/>
      <w:bookmarkStart w:id="143" w:name="_Toc226809248"/>
      <w:bookmarkStart w:id="144" w:name="_Toc226809359"/>
      <w:bookmarkStart w:id="145" w:name="_Toc226809469"/>
      <w:bookmarkStart w:id="146" w:name="_Toc226809574"/>
      <w:bookmarkStart w:id="147" w:name="_Toc226809891"/>
      <w:bookmarkStart w:id="148" w:name="_Toc226810138"/>
      <w:bookmarkStart w:id="149" w:name="_Toc191377660"/>
      <w:bookmarkStart w:id="150" w:name="_Toc192577407"/>
      <w:bookmarkStart w:id="151" w:name="_Toc192591281"/>
      <w:bookmarkStart w:id="152" w:name="_Toc192925789"/>
      <w:bookmarkStart w:id="153" w:name="_Toc192925876"/>
      <w:bookmarkStart w:id="154" w:name="_Toc192933532"/>
      <w:bookmarkStart w:id="155" w:name="_Toc192933763"/>
      <w:bookmarkStart w:id="156" w:name="_Toc193006345"/>
      <w:bookmarkStart w:id="157" w:name="_Toc193006436"/>
      <w:bookmarkStart w:id="158" w:name="_Toc193006526"/>
      <w:bookmarkStart w:id="159" w:name="_Toc193006616"/>
      <w:bookmarkStart w:id="160" w:name="_Toc193006706"/>
      <w:bookmarkStart w:id="161" w:name="_Toc193006795"/>
      <w:bookmarkStart w:id="162" w:name="_Toc193114088"/>
      <w:bookmarkStart w:id="163" w:name="_Toc193185732"/>
      <w:bookmarkStart w:id="164" w:name="_Toc193188619"/>
      <w:bookmarkStart w:id="165" w:name="_Toc193200071"/>
      <w:bookmarkStart w:id="166" w:name="_Toc197158933"/>
      <w:bookmarkStart w:id="167" w:name="_Toc197160196"/>
      <w:bookmarkStart w:id="168" w:name="_Toc197235661"/>
      <w:bookmarkStart w:id="169" w:name="_Toc197235999"/>
      <w:bookmarkStart w:id="170" w:name="_Toc199652880"/>
      <w:bookmarkStart w:id="171" w:name="_Toc200335877"/>
      <w:bookmarkStart w:id="172" w:name="_Toc206844835"/>
      <w:bookmarkStart w:id="173" w:name="_Toc206905698"/>
      <w:bookmarkStart w:id="174" w:name="_Toc207095808"/>
      <w:bookmarkStart w:id="175" w:name="_Toc207098193"/>
      <w:bookmarkStart w:id="176" w:name="_Toc207098386"/>
      <w:bookmarkStart w:id="177" w:name="_Toc207098583"/>
      <w:bookmarkStart w:id="178" w:name="_Toc207098683"/>
      <w:bookmarkStart w:id="179" w:name="_Toc207098782"/>
      <w:bookmarkStart w:id="180" w:name="_Toc207103443"/>
      <w:bookmarkStart w:id="181" w:name="_Toc207178830"/>
      <w:bookmarkStart w:id="182" w:name="_Toc208394710"/>
      <w:bookmarkStart w:id="183" w:name="_Toc210618921"/>
      <w:bookmarkStart w:id="184" w:name="_Toc210619203"/>
      <w:bookmarkStart w:id="185" w:name="_Toc210619430"/>
      <w:bookmarkStart w:id="186" w:name="_Toc210619938"/>
      <w:bookmarkStart w:id="187" w:name="_Toc222025494"/>
      <w:bookmarkStart w:id="188" w:name="_Toc222030430"/>
      <w:bookmarkStart w:id="189" w:name="_Toc222135061"/>
      <w:bookmarkStart w:id="190" w:name="_Toc222675482"/>
      <w:bookmarkStart w:id="191" w:name="_Toc222828450"/>
      <w:bookmarkStart w:id="192" w:name="_Toc222828547"/>
      <w:bookmarkStart w:id="193" w:name="_Toc222887760"/>
      <w:bookmarkStart w:id="194" w:name="_Toc222912226"/>
      <w:bookmarkStart w:id="195" w:name="_Toc222915285"/>
      <w:bookmarkStart w:id="196" w:name="_Toc222915379"/>
      <w:bookmarkStart w:id="197" w:name="_Toc222919761"/>
      <w:bookmarkStart w:id="198" w:name="_Toc222919855"/>
      <w:bookmarkStart w:id="199" w:name="_Toc222919950"/>
      <w:bookmarkStart w:id="200" w:name="_Toc222920253"/>
      <w:bookmarkStart w:id="201" w:name="_Toc223164605"/>
      <w:bookmarkStart w:id="202" w:name="_Toc223176038"/>
      <w:bookmarkStart w:id="203" w:name="_Toc223337164"/>
      <w:bookmarkStart w:id="204" w:name="_Toc223337257"/>
      <w:bookmarkStart w:id="205" w:name="_Toc223342250"/>
      <w:bookmarkStart w:id="206" w:name="_Toc223357615"/>
      <w:bookmarkStart w:id="207" w:name="_Toc223357706"/>
      <w:bookmarkStart w:id="208" w:name="_Toc223491480"/>
      <w:bookmarkStart w:id="209" w:name="_Toc225051410"/>
      <w:bookmarkStart w:id="210" w:name="_Toc225073500"/>
      <w:bookmarkStart w:id="211" w:name="_Toc225078448"/>
      <w:bookmarkStart w:id="212" w:name="_Toc225078539"/>
      <w:bookmarkStart w:id="213" w:name="_Toc225079380"/>
      <w:bookmarkStart w:id="214" w:name="_Toc225149006"/>
      <w:bookmarkStart w:id="215" w:name="_Toc225149097"/>
      <w:bookmarkStart w:id="216" w:name="_Toc225149188"/>
      <w:bookmarkStart w:id="217" w:name="_Toc225154756"/>
      <w:bookmarkStart w:id="218" w:name="_Toc225156270"/>
      <w:bookmarkStart w:id="219" w:name="_Toc225160939"/>
      <w:bookmarkStart w:id="220" w:name="_Toc225223179"/>
      <w:bookmarkStart w:id="221" w:name="_Toc225241420"/>
      <w:bookmarkStart w:id="222" w:name="_Toc225242805"/>
      <w:bookmarkStart w:id="223" w:name="_Toc225242897"/>
      <w:bookmarkStart w:id="224" w:name="_Toc225307403"/>
      <w:bookmarkStart w:id="225" w:name="_Toc225307495"/>
      <w:bookmarkStart w:id="226" w:name="_Toc225912399"/>
      <w:bookmarkStart w:id="227" w:name="_Toc225912507"/>
      <w:bookmarkStart w:id="228" w:name="_Toc225912599"/>
      <w:bookmarkStart w:id="229" w:name="_Toc225912723"/>
      <w:bookmarkStart w:id="230" w:name="_Toc225912815"/>
      <w:bookmarkStart w:id="231" w:name="_Toc225912907"/>
      <w:bookmarkStart w:id="232" w:name="_Toc225912999"/>
      <w:bookmarkStart w:id="233" w:name="_Toc225913092"/>
      <w:bookmarkStart w:id="234" w:name="_Toc225913257"/>
      <w:bookmarkStart w:id="235" w:name="_Toc225913358"/>
      <w:bookmarkStart w:id="236" w:name="_Toc225913578"/>
      <w:bookmarkStart w:id="237" w:name="_Toc225913784"/>
      <w:bookmarkStart w:id="238" w:name="_Toc225913880"/>
      <w:bookmarkStart w:id="239" w:name="_Toc225913976"/>
      <w:bookmarkStart w:id="240" w:name="_Toc225914072"/>
      <w:bookmarkStart w:id="241" w:name="_Toc225914168"/>
      <w:bookmarkStart w:id="242" w:name="_Toc225914295"/>
      <w:bookmarkStart w:id="243" w:name="_Toc225914391"/>
      <w:bookmarkStart w:id="244" w:name="_Toc225914665"/>
      <w:bookmarkStart w:id="245" w:name="_Toc225914761"/>
      <w:bookmarkStart w:id="246" w:name="_Toc225914858"/>
      <w:bookmarkStart w:id="247" w:name="_Toc225914956"/>
      <w:bookmarkStart w:id="248" w:name="_Toc225915053"/>
      <w:bookmarkStart w:id="249" w:name="_Toc225915151"/>
      <w:bookmarkStart w:id="250" w:name="_Toc225921519"/>
      <w:bookmarkStart w:id="251" w:name="_Toc226779703"/>
      <w:bookmarkStart w:id="252" w:name="_Toc226807290"/>
      <w:bookmarkStart w:id="253" w:name="_Toc226807404"/>
      <w:bookmarkStart w:id="254" w:name="_Toc226807518"/>
      <w:bookmarkStart w:id="255" w:name="_Toc226807629"/>
      <w:bookmarkStart w:id="256" w:name="_Toc226808516"/>
      <w:bookmarkStart w:id="257" w:name="_Toc226808627"/>
      <w:bookmarkStart w:id="258" w:name="_Toc229150809"/>
      <w:bookmarkStart w:id="259" w:name="_Toc231981252"/>
      <w:bookmarkStart w:id="260" w:name="_Toc234672941"/>
      <w:bookmarkStart w:id="261" w:name="_Toc234673051"/>
      <w:bookmarkStart w:id="262" w:name="_Toc234673160"/>
      <w:bookmarkStart w:id="263" w:name="_Toc234673269"/>
      <w:bookmarkStart w:id="264" w:name="_Toc234673378"/>
      <w:bookmarkStart w:id="265" w:name="_Toc234673597"/>
      <w:bookmarkStart w:id="266" w:name="_Toc234673707"/>
      <w:bookmarkStart w:id="267" w:name="_Toc234744123"/>
      <w:bookmarkStart w:id="268" w:name="_Toc234744337"/>
      <w:bookmarkStart w:id="269" w:name="_Toc234750767"/>
      <w:bookmarkStart w:id="270" w:name="_Toc234750879"/>
      <w:bookmarkStart w:id="271" w:name="_Toc234923971"/>
      <w:bookmarkStart w:id="272" w:name="_Toc234925893"/>
      <w:bookmarkStart w:id="273" w:name="_Toc235615326"/>
      <w:bookmarkStart w:id="274" w:name="_Toc235616815"/>
      <w:bookmarkStart w:id="275" w:name="_Toc235857063"/>
      <w:bookmarkStart w:id="276" w:name="_Toc237334761"/>
      <w:bookmarkStart w:id="277" w:name="_Toc237919714"/>
      <w:bookmarkStart w:id="278" w:name="_Toc238276638"/>
      <w:bookmarkStart w:id="279" w:name="_Toc238869581"/>
      <w:bookmarkStart w:id="280" w:name="_Toc238873134"/>
      <w:bookmarkStart w:id="281" w:name="_Toc238873507"/>
      <w:bookmarkStart w:id="282" w:name="_Toc238877044"/>
      <w:bookmarkStart w:id="283" w:name="_Toc240107413"/>
      <w:bookmarkStart w:id="284" w:name="_Toc240159644"/>
      <w:bookmarkStart w:id="285" w:name="_Toc240159796"/>
      <w:bookmarkStart w:id="286" w:name="_Toc240255834"/>
      <w:bookmarkStart w:id="287" w:name="_Toc240267738"/>
      <w:bookmarkStart w:id="288" w:name="_Toc240267849"/>
      <w:bookmarkStart w:id="289" w:name="_Toc240268242"/>
      <w:bookmarkStart w:id="290" w:name="_Toc240268497"/>
      <w:bookmarkStart w:id="291" w:name="_Toc240268610"/>
      <w:bookmarkStart w:id="292" w:name="_Toc240268721"/>
      <w:bookmarkStart w:id="293" w:name="_Toc240454312"/>
      <w:bookmarkStart w:id="294" w:name="_Toc240697997"/>
      <w:bookmarkStart w:id="295" w:name="_Toc258937799"/>
      <w:bookmarkStart w:id="296" w:name="_Toc261418449"/>
      <w:bookmarkStart w:id="297" w:name="_Toc261458633"/>
      <w:bookmarkStart w:id="298" w:name="_Toc261459021"/>
      <w:bookmarkStart w:id="299" w:name="_Toc262203343"/>
      <w:bookmarkStart w:id="300" w:name="_Toc262218680"/>
      <w:bookmarkStart w:id="301" w:name="_Toc262319136"/>
      <w:bookmarkStart w:id="302" w:name="_Toc262459030"/>
      <w:bookmarkStart w:id="303" w:name="_Toc262459884"/>
      <w:bookmarkStart w:id="304" w:name="_Toc262460299"/>
      <w:bookmarkStart w:id="305" w:name="_Toc262460426"/>
      <w:bookmarkStart w:id="306" w:name="_Toc262460553"/>
      <w:bookmarkStart w:id="307" w:name="_Toc262481049"/>
      <w:bookmarkStart w:id="308" w:name="_Toc262483238"/>
      <w:bookmarkStart w:id="309" w:name="_Toc262483372"/>
      <w:bookmarkStart w:id="310" w:name="_Toc262483509"/>
      <w:bookmarkStart w:id="311" w:name="_Toc262483645"/>
      <w:bookmarkStart w:id="312" w:name="_Toc262483780"/>
      <w:bookmarkStart w:id="313" w:name="_Toc262483915"/>
      <w:bookmarkStart w:id="314" w:name="_Toc38630840"/>
      <w:bookmarkStart w:id="315" w:name="_Hlk12797614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3B06DB7" w14:textId="77777777" w:rsidR="002C7037" w:rsidRPr="006D60F3" w:rsidRDefault="30554478" w:rsidP="00514A16">
      <w:pPr>
        <w:pStyle w:val="Ttulo1"/>
      </w:pPr>
      <w:r>
        <w:t>5.6 Comportamiento del mercado internacional</w:t>
      </w:r>
    </w:p>
    <w:p w14:paraId="326DD68E" w14:textId="77777777" w:rsidR="002C7037" w:rsidRPr="006D60F3" w:rsidRDefault="002C7037" w:rsidP="002C7037">
      <w:pPr>
        <w:spacing w:after="0" w:line="240" w:lineRule="auto"/>
        <w:rPr>
          <w:rFonts w:cs="Calibri Light"/>
        </w:rPr>
      </w:pPr>
    </w:p>
    <w:p w14:paraId="3ACCCD98" w14:textId="77777777" w:rsidR="002C7037" w:rsidRPr="006D60F3" w:rsidRDefault="002C7037" w:rsidP="002C7037">
      <w:pPr>
        <w:spacing w:after="0"/>
        <w:rPr>
          <w:rFonts w:cs="Calibri Light"/>
        </w:rPr>
      </w:pPr>
      <w:r w:rsidRPr="006D60F3">
        <w:rPr>
          <w:rFonts w:cs="Calibri Light"/>
        </w:rPr>
        <w:t xml:space="preserve">El mercado internacional del petróleo se ve afectado por variables de dirección y variables de velocidad.  Las primeras se relacionan con los fundamentales del mercado de oferta y </w:t>
      </w:r>
      <w:r w:rsidRPr="006D60F3">
        <w:rPr>
          <w:rFonts w:cs="Calibri Light"/>
        </w:rPr>
        <w:lastRenderedPageBreak/>
        <w:t xml:space="preserve">demanda y variables que inciden sobre estas, como el cambio tecnológico, inversión en investigación y desarrollo, aspectos geológicos relacionados con los reservorios de crudo.  Las variables de velocidad pueden acelerar la tendencia de los fundamentales o pueden revertirla, generalmente están asociados a factores geopolíticos y más recientemente al desarrollo de los mercados financieros. </w:t>
      </w:r>
    </w:p>
    <w:p w14:paraId="5DF8090C" w14:textId="77777777" w:rsidR="002C7037" w:rsidRPr="006D60F3" w:rsidRDefault="002C7037" w:rsidP="002C7037">
      <w:pPr>
        <w:spacing w:after="0"/>
        <w:rPr>
          <w:rFonts w:cs="Calibri Light"/>
        </w:rPr>
      </w:pPr>
    </w:p>
    <w:p w14:paraId="0F80007B" w14:textId="55C641C8" w:rsidR="002C7037" w:rsidRPr="006D60F3" w:rsidRDefault="03F12F47" w:rsidP="03F12F47">
      <w:pPr>
        <w:rPr>
          <w:rFonts w:cs="Arial"/>
        </w:rPr>
      </w:pPr>
      <w:r w:rsidRPr="03F12F47">
        <w:rPr>
          <w:rFonts w:cs="Calibri Light"/>
        </w:rPr>
        <w:t>Durante el año 2022, los precios internacionales estuvieron marcados, entre otras cosas, por una alta volatilidad, debido a factores como fenómenos geopolíticos, especialmente el conflicto entre Rusia y Ucrania, altos precios del gas y de los hidrocarburos alrededor del mundo, las restricciones impuestas a Rusia, el comportamiento de la economía china y las restricciones impuestas ante la pandemia del COVID-19, el aumento de la inflación, la fuerte alza de las tasas de interés a nivel global y las decisiones de la OPEP en materia de petróleo.</w:t>
      </w:r>
    </w:p>
    <w:p w14:paraId="3C9F3079" w14:textId="77777777" w:rsidR="002C7037" w:rsidRPr="006D60F3" w:rsidRDefault="002C7037" w:rsidP="002C7037">
      <w:pPr>
        <w:spacing w:after="0"/>
        <w:rPr>
          <w:rFonts w:cs="Arial"/>
          <w:bCs/>
        </w:rPr>
      </w:pPr>
    </w:p>
    <w:p w14:paraId="421357DE" w14:textId="77777777" w:rsidR="002C7037" w:rsidRPr="006D60F3" w:rsidRDefault="002C7037" w:rsidP="002C7037">
      <w:pPr>
        <w:pStyle w:val="Ttulo2"/>
        <w:spacing w:after="0" w:line="240" w:lineRule="auto"/>
        <w:rPr>
          <w:szCs w:val="22"/>
          <w:lang w:val="es-ES" w:eastAsia="es-CR"/>
        </w:rPr>
      </w:pPr>
      <w:r w:rsidRPr="006D60F3">
        <w:rPr>
          <w:szCs w:val="22"/>
          <w:lang w:val="es-ES" w:eastAsia="es-CR"/>
        </w:rPr>
        <w:t>5.6.1 Conflicto Rusia - Ucrania</w:t>
      </w:r>
    </w:p>
    <w:p w14:paraId="7B1EA52E" w14:textId="77777777" w:rsidR="002C7037" w:rsidRPr="006D60F3" w:rsidRDefault="002C7037" w:rsidP="002C7037">
      <w:pPr>
        <w:spacing w:after="0"/>
        <w:rPr>
          <w:rFonts w:cs="Arial"/>
          <w:lang w:val="es-ES"/>
        </w:rPr>
      </w:pPr>
    </w:p>
    <w:p w14:paraId="61B3C521" w14:textId="34038D4F" w:rsidR="002C7037" w:rsidRPr="006D60F3" w:rsidRDefault="03F12F47" w:rsidP="002C7037">
      <w:pPr>
        <w:spacing w:after="0"/>
        <w:rPr>
          <w:rFonts w:cs="Arial"/>
          <w:lang w:val="es-ES"/>
        </w:rPr>
      </w:pPr>
      <w:r w:rsidRPr="03F12F47">
        <w:rPr>
          <w:rFonts w:cs="Arial"/>
          <w:lang w:val="es-ES"/>
        </w:rPr>
        <w:t xml:space="preserve">El año 2022 fue especialmente marcado para los mercados como el año donde se hizo presente nuevamente un conflicto bélico en Europa.  Por un lado Rusia quien era el tercer productor de hidrocarburos del mundo, que aseguraba estar protegiendo población prorrusa en el Donbas y, por otro lado, Ucrania, uno de los mayores productores de granos del mundo, con un apoyo encabezado por Estados Unidos y la Unión Europea.  Este conflicto se venía desarrollando desde el año 2014 cuando Rusia se había anexado la región de Crimea. </w:t>
      </w:r>
    </w:p>
    <w:p w14:paraId="489E60B9" w14:textId="77777777" w:rsidR="002C7037" w:rsidRPr="006D60F3" w:rsidRDefault="002C7037" w:rsidP="002C7037">
      <w:pPr>
        <w:spacing w:after="0"/>
        <w:rPr>
          <w:rFonts w:cs="Arial"/>
          <w:lang w:val="es-ES"/>
        </w:rPr>
      </w:pPr>
    </w:p>
    <w:p w14:paraId="417523B5" w14:textId="2E4C274B" w:rsidR="002C7037" w:rsidRPr="00B122A2" w:rsidRDefault="03F12F47" w:rsidP="03F12F47">
      <w:pPr>
        <w:spacing w:after="0"/>
        <w:rPr>
          <w:rFonts w:cs="Arial"/>
          <w:lang w:val="es-ES"/>
        </w:rPr>
      </w:pPr>
      <w:r w:rsidRPr="03F12F47">
        <w:rPr>
          <w:rFonts w:cs="Arial"/>
          <w:lang w:val="es-ES"/>
        </w:rPr>
        <w:t xml:space="preserve">Dentro de las principales consecuencias directas de este conflicto se encuentra la inestabilidad energética que aportó a múltiples países, especialmente con el recorte </w:t>
      </w:r>
      <w:r w:rsidR="00DF201A" w:rsidRPr="03F12F47">
        <w:rPr>
          <w:rFonts w:cs="Arial"/>
          <w:lang w:val="es-ES"/>
        </w:rPr>
        <w:t>del suministro</w:t>
      </w:r>
      <w:r w:rsidRPr="03F12F47">
        <w:rPr>
          <w:rFonts w:cs="Arial"/>
          <w:lang w:val="es-ES"/>
        </w:rPr>
        <w:t xml:space="preserve"> ruso de gas a Europa, provocando la búsqueda de nuevas alternativas por parte de Europa , por su parte, Rusia ha venido vendiendo con descuento en mercados como China e India.</w:t>
      </w:r>
    </w:p>
    <w:p w14:paraId="1C5DB130" w14:textId="29A03364" w:rsidR="002C7037" w:rsidRPr="00B122A2" w:rsidRDefault="002C7037" w:rsidP="03F12F47">
      <w:pPr>
        <w:spacing w:after="0"/>
        <w:rPr>
          <w:rFonts w:cs="Arial"/>
          <w:lang w:val="es-ES"/>
        </w:rPr>
      </w:pPr>
    </w:p>
    <w:p w14:paraId="67FF56DA" w14:textId="5421DE30" w:rsidR="002C7037" w:rsidRPr="00B122A2" w:rsidRDefault="1CB08697" w:rsidP="03F12F47">
      <w:pPr>
        <w:spacing w:after="0"/>
        <w:rPr>
          <w:rFonts w:cs="Arial"/>
          <w:lang w:val="es-ES"/>
        </w:rPr>
      </w:pPr>
      <w:r w:rsidRPr="1CB08697">
        <w:rPr>
          <w:rFonts w:cs="Arial"/>
          <w:lang w:val="es-ES"/>
        </w:rPr>
        <w:t>Las restricciones al crudo ruso han ido orientadas al transporte marítimo, considerando también que las principales navieras y de seguros tienen su sede en Europa o Estados Unidos asumen que será factible obligar a Rusia a cumplir con estas restricciones.</w:t>
      </w:r>
    </w:p>
    <w:p w14:paraId="46884D30" w14:textId="02090817" w:rsidR="002C7037" w:rsidRPr="00B122A2" w:rsidRDefault="03F12F47" w:rsidP="002C7037">
      <w:pPr>
        <w:spacing w:after="0"/>
        <w:rPr>
          <w:rFonts w:cs="Arial"/>
          <w:lang w:val="es-ES"/>
        </w:rPr>
      </w:pPr>
      <w:r w:rsidRPr="03F12F47">
        <w:rPr>
          <w:rFonts w:cs="Arial"/>
          <w:lang w:val="es-ES"/>
        </w:rPr>
        <w:t xml:space="preserve"> </w:t>
      </w:r>
    </w:p>
    <w:p w14:paraId="76061176" w14:textId="4C7CB869" w:rsidR="002C7037" w:rsidRDefault="7DCD83A1" w:rsidP="002C7037">
      <w:pPr>
        <w:spacing w:after="0"/>
        <w:rPr>
          <w:rFonts w:cs="Arial"/>
          <w:lang w:val="es-ES"/>
        </w:rPr>
      </w:pPr>
      <w:r w:rsidRPr="7DCD83A1">
        <w:rPr>
          <w:rFonts w:cs="Arial"/>
          <w:lang w:val="es-ES"/>
        </w:rPr>
        <w:t>La evolución de este conflicto incide directamente no solo en aspectos militares y sociales sino en puntos estratégicos políticos y económicos mundiales que derivan en una volatilidad de los precios, fuertes aumentos, aumento del costo de la vida, especialmente en Europa y una incertidumbre de corto plazo para toda la población.  Además, que cada día se involucran nuevos países y actores internacionales.</w:t>
      </w:r>
    </w:p>
    <w:p w14:paraId="61D8D2B4" w14:textId="77777777" w:rsidR="002C7037" w:rsidRPr="006D60F3" w:rsidRDefault="002C7037" w:rsidP="002C7037">
      <w:pPr>
        <w:rPr>
          <w:rFonts w:cs="Arial"/>
          <w:b/>
          <w:bCs/>
          <w:lang w:val="es-ES"/>
        </w:rPr>
      </w:pPr>
    </w:p>
    <w:p w14:paraId="56182087" w14:textId="77777777" w:rsidR="002C7037" w:rsidRPr="006D60F3" w:rsidRDefault="002C7037" w:rsidP="002C7037">
      <w:pPr>
        <w:pStyle w:val="Ttulo2"/>
        <w:rPr>
          <w:szCs w:val="22"/>
          <w:lang w:val="es-ES" w:eastAsia="es-CR"/>
        </w:rPr>
      </w:pPr>
      <w:r w:rsidRPr="006D60F3">
        <w:rPr>
          <w:szCs w:val="22"/>
          <w:lang w:val="es-ES" w:eastAsia="es-CR"/>
        </w:rPr>
        <w:t>5.6.2 Evolución pandemia de Covid-19 en China y el resto del mundo.</w:t>
      </w:r>
    </w:p>
    <w:p w14:paraId="76A4AC69" w14:textId="77777777" w:rsidR="002C7037" w:rsidRPr="006D60F3" w:rsidRDefault="002C7037" w:rsidP="002C7037">
      <w:pPr>
        <w:spacing w:after="0"/>
        <w:rPr>
          <w:rFonts w:cs="Arial"/>
          <w:lang w:val="es-ES"/>
        </w:rPr>
      </w:pPr>
    </w:p>
    <w:p w14:paraId="26774264" w14:textId="1BCA8E98" w:rsidR="002C7037" w:rsidRPr="009D771B" w:rsidRDefault="16155265" w:rsidP="002C7037">
      <w:pPr>
        <w:spacing w:after="0"/>
        <w:rPr>
          <w:rFonts w:cs="Arial"/>
          <w:lang w:val="es-ES"/>
        </w:rPr>
      </w:pPr>
      <w:r w:rsidRPr="16155265">
        <w:rPr>
          <w:rFonts w:cs="Arial"/>
          <w:lang w:val="es-ES"/>
        </w:rPr>
        <w:lastRenderedPageBreak/>
        <w:t>La pandemia del Covid-19 que inició en el año 2020 llevó al mundo a situaciones críticas desde el campo de la salud pasando por situaciones de inestabilidad política, económica, militar y social.  Conforme transcurrió el año 2021 con el progreso de la vacunación a nivel mundial el impacto en los diferentes campos se fue estabilizando, especialmente hasta 2022, en el que el mundo sufrió los efectos de un colateral de esta pandemia (la crisis de los contenedores).</w:t>
      </w:r>
    </w:p>
    <w:p w14:paraId="483AAEC0" w14:textId="77777777" w:rsidR="002C7037" w:rsidRPr="006D60F3" w:rsidRDefault="002C7037" w:rsidP="002C7037">
      <w:pPr>
        <w:spacing w:after="0"/>
        <w:rPr>
          <w:rFonts w:cs="Arial"/>
          <w:lang w:val="es-ES"/>
        </w:rPr>
      </w:pPr>
    </w:p>
    <w:p w14:paraId="0E4ECCFA" w14:textId="470808DD" w:rsidR="002C7037" w:rsidRPr="006D60F3" w:rsidRDefault="16155265" w:rsidP="002C7037">
      <w:pPr>
        <w:spacing w:after="0"/>
        <w:rPr>
          <w:rFonts w:cs="Arial"/>
          <w:lang w:val="es-ES"/>
        </w:rPr>
      </w:pPr>
      <w:r w:rsidRPr="16155265">
        <w:rPr>
          <w:rFonts w:cs="Arial"/>
          <w:lang w:val="es-ES"/>
        </w:rPr>
        <w:t>China es una de las grandes potencias a nivel mundial, con PIB que ronda el 18% del total mundial y un consumo de petróleo cercano a los 15 millones de barriles por día, que la ubica como el segundo consumidor más importante del mundo.</w:t>
      </w:r>
    </w:p>
    <w:p w14:paraId="001A4267" w14:textId="77777777" w:rsidR="002C7037" w:rsidRPr="00F4278D" w:rsidRDefault="002C7037" w:rsidP="002C7037">
      <w:pPr>
        <w:spacing w:after="0"/>
        <w:rPr>
          <w:rFonts w:cs="Arial"/>
          <w:lang w:val="es-ES"/>
        </w:rPr>
      </w:pPr>
    </w:p>
    <w:p w14:paraId="0A722A02" w14:textId="77777777" w:rsidR="002C7037" w:rsidRPr="00F4278D" w:rsidRDefault="002C7037" w:rsidP="002C7037">
      <w:pPr>
        <w:spacing w:after="0"/>
        <w:rPr>
          <w:rFonts w:cs="Arial"/>
          <w:lang w:val="es-ES"/>
        </w:rPr>
      </w:pPr>
      <w:r w:rsidRPr="00F4278D">
        <w:rPr>
          <w:rFonts w:cs="Arial"/>
          <w:lang w:val="es-ES"/>
        </w:rPr>
        <w:t xml:space="preserve">Durante el periodo 2020 - 2022 el gobierno chino llevó a cabo la política de </w:t>
      </w:r>
      <w:r>
        <w:rPr>
          <w:rFonts w:cs="Arial"/>
          <w:lang w:val="es-ES"/>
        </w:rPr>
        <w:t>C</w:t>
      </w:r>
      <w:r w:rsidRPr="00F4278D">
        <w:rPr>
          <w:rFonts w:cs="Arial"/>
          <w:lang w:val="es-ES"/>
        </w:rPr>
        <w:t xml:space="preserve">ero </w:t>
      </w:r>
      <w:r>
        <w:rPr>
          <w:rFonts w:cs="Arial"/>
          <w:lang w:val="es-ES"/>
        </w:rPr>
        <w:t>C</w:t>
      </w:r>
      <w:r w:rsidRPr="00F4278D">
        <w:rPr>
          <w:rFonts w:cs="Arial"/>
          <w:lang w:val="es-ES"/>
        </w:rPr>
        <w:t>ovid en todo el país lo que derivó en cierres totales de los comercios, afectando las cadenas suministro a nivel mundial y provocaron una afectación a la oferta y demanda de algunas materias primas en el resto del mundo, aumentando el sentimiento de incertidumbre en los diferentes mercados incluido el del crudo y sus derivados.</w:t>
      </w:r>
    </w:p>
    <w:p w14:paraId="4FAA1246" w14:textId="1123656C" w:rsidR="002C7037" w:rsidRPr="001876F2" w:rsidRDefault="002C7037" w:rsidP="03F12F47">
      <w:pPr>
        <w:spacing w:after="0"/>
        <w:rPr>
          <w:rFonts w:cs="Arial"/>
          <w:lang w:val="es-ES"/>
        </w:rPr>
      </w:pPr>
    </w:p>
    <w:p w14:paraId="4A8BEEE8" w14:textId="77777777" w:rsidR="002C7037" w:rsidRPr="0070468D" w:rsidRDefault="002C7037" w:rsidP="002C7037">
      <w:pPr>
        <w:rPr>
          <w:rFonts w:cs="Arial"/>
          <w:bCs/>
        </w:rPr>
      </w:pPr>
      <w:r w:rsidRPr="0070468D">
        <w:rPr>
          <w:rFonts w:cs="Arial"/>
          <w:lang w:val="es-ES"/>
        </w:rPr>
        <w:t>El mercado de hidrocarburos no escapa de esta injerencia que pueda tener el desarrollo de la economía china y la apertura gradual provocó una ligera presión al alza del precio del petróleo y sus derivados en las últimas semanas del año 2022.</w:t>
      </w:r>
    </w:p>
    <w:p w14:paraId="75590E33" w14:textId="77777777" w:rsidR="002C7037" w:rsidRPr="0070468D" w:rsidRDefault="002C7037" w:rsidP="002C7037">
      <w:pPr>
        <w:pStyle w:val="Ttulo3"/>
        <w:rPr>
          <w:rFonts w:cs="Arial"/>
        </w:rPr>
      </w:pPr>
      <w:r w:rsidRPr="0070468D">
        <w:rPr>
          <w:rFonts w:cs="Arial"/>
        </w:rPr>
        <w:t>5.6.3 Tasas Inflacionarias</w:t>
      </w:r>
    </w:p>
    <w:p w14:paraId="3DA5F822" w14:textId="7FD62F60" w:rsidR="002C7037" w:rsidRPr="00BB0006" w:rsidRDefault="03F12F47" w:rsidP="03F12F47">
      <w:pPr>
        <w:spacing w:after="0"/>
        <w:rPr>
          <w:rFonts w:cs="Arial"/>
        </w:rPr>
      </w:pPr>
      <w:r w:rsidRPr="03F12F47">
        <w:rPr>
          <w:rFonts w:cs="Arial"/>
        </w:rPr>
        <w:t xml:space="preserve">La inflación ha sido uno de los factores que estuvo presente durante el 2022 y que sigue presionando actualmente los diferentes mercados provocando un sentimiento de incertidumbre entre los agentes económicos.; </w:t>
      </w:r>
    </w:p>
    <w:p w14:paraId="2AD157AC" w14:textId="16EC0D62" w:rsidR="03F12F47" w:rsidRDefault="03F12F47" w:rsidP="03F12F47">
      <w:pPr>
        <w:spacing w:after="0"/>
        <w:rPr>
          <w:rFonts w:cs="Arial"/>
        </w:rPr>
      </w:pPr>
    </w:p>
    <w:p w14:paraId="232D089F" w14:textId="77777777" w:rsidR="002C7037" w:rsidRDefault="002C7037" w:rsidP="002C7037">
      <w:pPr>
        <w:spacing w:after="0"/>
        <w:rPr>
          <w:rFonts w:cs="Arial"/>
          <w:bCs/>
        </w:rPr>
      </w:pPr>
      <w:r>
        <w:rPr>
          <w:rFonts w:cs="Arial"/>
          <w:bCs/>
        </w:rPr>
        <w:t>E</w:t>
      </w:r>
      <w:r w:rsidRPr="00BB0006">
        <w:rPr>
          <w:rFonts w:cs="Arial"/>
          <w:bCs/>
        </w:rPr>
        <w:t>l comportamiento de la inflación durante el año 2022 en las economías más importantes del mundo estuvo marcado en los primeros meses con una tendencia al alza debido al conflicto entre Rusia y Ucrania, lo que ocasionó problemas en las cadenas de suministro y una incertidumbre sobre los diferentes mercados, especialmente con el gas, el crudo y sus derivados, estuvo marcado por varias características, como lo son:</w:t>
      </w:r>
    </w:p>
    <w:p w14:paraId="11B06E31" w14:textId="77777777" w:rsidR="002C7037" w:rsidRPr="00BB0006" w:rsidRDefault="002C7037" w:rsidP="002C7037">
      <w:pPr>
        <w:spacing w:after="0"/>
        <w:rPr>
          <w:rFonts w:cs="Arial"/>
          <w:bCs/>
        </w:rPr>
      </w:pPr>
    </w:p>
    <w:p w14:paraId="38800AA5" w14:textId="61A53072" w:rsidR="002C7037" w:rsidRDefault="16155265" w:rsidP="16155265">
      <w:pPr>
        <w:pStyle w:val="Prrafodelista"/>
        <w:numPr>
          <w:ilvl w:val="0"/>
          <w:numId w:val="60"/>
        </w:numPr>
        <w:spacing w:after="0"/>
        <w:rPr>
          <w:rFonts w:cs="Arial"/>
        </w:rPr>
      </w:pPr>
      <w:r w:rsidRPr="16155265">
        <w:rPr>
          <w:rFonts w:cs="Arial"/>
        </w:rPr>
        <w:t>Un comportamiento mixto de aceleración inflacionaria, con un grado alto de incertidumbre durante el primer cuatrimestre de 2022 lo que ocasionó una escalada de precios y una incertidumbre en el comportamiento de la demanda de los bienes por parte de los consumidores, aparte de aumentos estacionales, también se aceleró como resultado de la reapertura de actividades económicas luego de la pandemia Covid-19.</w:t>
      </w:r>
    </w:p>
    <w:p w14:paraId="2325224D" w14:textId="77777777" w:rsidR="002C7037" w:rsidRPr="00BB0006" w:rsidRDefault="002C7037" w:rsidP="002C7037">
      <w:pPr>
        <w:pStyle w:val="Prrafodelista"/>
        <w:spacing w:after="0"/>
        <w:rPr>
          <w:rFonts w:cs="Arial"/>
          <w:bCs/>
        </w:rPr>
      </w:pPr>
    </w:p>
    <w:p w14:paraId="62A1ACF3" w14:textId="104CEE54" w:rsidR="002C7037" w:rsidRPr="00BB0006" w:rsidRDefault="16155265" w:rsidP="16155265">
      <w:pPr>
        <w:pStyle w:val="Prrafodelista"/>
        <w:numPr>
          <w:ilvl w:val="0"/>
          <w:numId w:val="60"/>
        </w:numPr>
        <w:spacing w:after="0"/>
        <w:rPr>
          <w:rFonts w:cs="Arial"/>
        </w:rPr>
      </w:pPr>
      <w:r w:rsidRPr="16155265">
        <w:rPr>
          <w:rFonts w:cs="Arial"/>
        </w:rPr>
        <w:t xml:space="preserve">El petróleo, el gas y la electricidad han contribuido al alza en el índice de precios en la mayoría de los países del mundo, en parte como resultado del conflicto entre Ucrania y Rusia, y las sanciones impuestas a este país por la comunidad internacional durante el año 2022.   El mercado se encuentra expectante sobre lo que pueda suceder durante el 2023 con el tope al precio del crudo ruso, las </w:t>
      </w:r>
      <w:r w:rsidRPr="16155265">
        <w:rPr>
          <w:rFonts w:cs="Arial"/>
        </w:rPr>
        <w:lastRenderedPageBreak/>
        <w:t>restricciones impuestas por parte de Estados Unidos y de la Unión Europea y el avance del invierno en Europa. En este caso se trata de la inflación impulsada por los costos de la energía.</w:t>
      </w:r>
    </w:p>
    <w:p w14:paraId="6F74E355" w14:textId="77777777" w:rsidR="002C7037" w:rsidRDefault="002C7037" w:rsidP="002C7037">
      <w:pPr>
        <w:pStyle w:val="Prrafodelista"/>
        <w:spacing w:after="0"/>
        <w:rPr>
          <w:rFonts w:cs="Arial"/>
          <w:bCs/>
        </w:rPr>
      </w:pPr>
    </w:p>
    <w:p w14:paraId="724213C9" w14:textId="77777777" w:rsidR="002C7037" w:rsidRDefault="002C7037" w:rsidP="002C7037">
      <w:pPr>
        <w:pStyle w:val="Prrafodelista"/>
        <w:numPr>
          <w:ilvl w:val="0"/>
          <w:numId w:val="60"/>
        </w:numPr>
        <w:spacing w:after="0"/>
        <w:rPr>
          <w:rFonts w:cs="Arial"/>
          <w:bCs/>
        </w:rPr>
      </w:pPr>
      <w:r w:rsidRPr="00BB0006">
        <w:rPr>
          <w:rFonts w:cs="Arial"/>
          <w:bCs/>
        </w:rPr>
        <w:t>Es importante acotar que los combustibles son un insumo del aparato económico global y que los efectos inflacionarios inciden en el índice del productor de forma más rápida que en el índice del consumidor, lo que genera una presión sobre los precios aunado a otros factores, incidiendo en la producción de bienes y servicios. La reducción esperada en la producción hace prever una contracción de la demanda en el mercado del petróleo.</w:t>
      </w:r>
    </w:p>
    <w:p w14:paraId="6BFDF30A" w14:textId="77777777" w:rsidR="002C7037" w:rsidRPr="00BB0006" w:rsidRDefault="002C7037" w:rsidP="002C7037">
      <w:pPr>
        <w:pStyle w:val="Prrafodelista"/>
        <w:spacing w:after="0"/>
        <w:rPr>
          <w:rFonts w:cs="Arial"/>
          <w:bCs/>
        </w:rPr>
      </w:pPr>
    </w:p>
    <w:p w14:paraId="0861AB91" w14:textId="77777777" w:rsidR="002C7037" w:rsidRPr="00BB0006" w:rsidRDefault="002C7037" w:rsidP="002C7037">
      <w:pPr>
        <w:pStyle w:val="Prrafodelista"/>
        <w:numPr>
          <w:ilvl w:val="0"/>
          <w:numId w:val="60"/>
        </w:numPr>
        <w:spacing w:after="0"/>
        <w:rPr>
          <w:rFonts w:cs="Arial"/>
          <w:bCs/>
        </w:rPr>
      </w:pPr>
      <w:r w:rsidRPr="00BB0006">
        <w:rPr>
          <w:rFonts w:cs="Arial"/>
          <w:bCs/>
        </w:rPr>
        <w:t>El aumento de la oferta monetaria, derivada de los rescates de estímulo económico, principalmente en países desarrollados para recuperar la destrucción de la producción por las medidas de mitigación de la pandemia</w:t>
      </w:r>
      <w:r>
        <w:rPr>
          <w:rFonts w:cs="Arial"/>
          <w:bCs/>
        </w:rPr>
        <w:t>, por ello, la reacción contundente de los bancos centrales de subir tasas.</w:t>
      </w:r>
    </w:p>
    <w:p w14:paraId="25FF8091" w14:textId="77777777" w:rsidR="002C7037" w:rsidRDefault="002C7037" w:rsidP="002C7037">
      <w:pPr>
        <w:spacing w:after="0"/>
        <w:rPr>
          <w:rFonts w:cs="Arial"/>
          <w:bCs/>
        </w:rPr>
      </w:pPr>
    </w:p>
    <w:p w14:paraId="0B005DD5" w14:textId="56CE3BF0" w:rsidR="002C7037" w:rsidRPr="00BA0821" w:rsidRDefault="03F12F47" w:rsidP="03F12F47">
      <w:pPr>
        <w:spacing w:after="0"/>
        <w:rPr>
          <w:rFonts w:cs="Arial"/>
        </w:rPr>
      </w:pPr>
      <w:r w:rsidRPr="03F12F47">
        <w:rPr>
          <w:rFonts w:cs="Arial"/>
        </w:rPr>
        <w:t>La inflación es probablemente la principal preocupación al provocar un estancamiento del crecimiento económico durante el 2022 y 2023 a nivel mundial socavando la confianza del consumidor con un efecto directo sobre la demanda de los bienes y servicios y se espera que durante el 2023 tenga un comportamiento mixto dependiendo de la zona o país.</w:t>
      </w:r>
    </w:p>
    <w:p w14:paraId="281C6742" w14:textId="77777777" w:rsidR="002C7037" w:rsidRPr="00BA0821" w:rsidRDefault="002C7037" w:rsidP="002C7037">
      <w:pPr>
        <w:rPr>
          <w:rFonts w:cs="Arial"/>
          <w:bCs/>
        </w:rPr>
      </w:pPr>
    </w:p>
    <w:p w14:paraId="64B20F43" w14:textId="77777777" w:rsidR="002C7037" w:rsidRPr="00BA0821" w:rsidRDefault="002C7037" w:rsidP="002C7037">
      <w:pPr>
        <w:pStyle w:val="Ttulo3"/>
        <w:spacing w:line="240" w:lineRule="auto"/>
        <w:rPr>
          <w:rFonts w:cs="Arial"/>
        </w:rPr>
      </w:pPr>
      <w:r w:rsidRPr="00BA0821">
        <w:rPr>
          <w:rFonts w:cs="Arial"/>
        </w:rPr>
        <w:t>5.6.4 Efectos de las decisiones de la OPEP sobre la producción</w:t>
      </w:r>
    </w:p>
    <w:p w14:paraId="1E0077B3" w14:textId="77777777" w:rsidR="002C7037" w:rsidRPr="00BA0821" w:rsidRDefault="002C7037" w:rsidP="00266A96">
      <w:pPr>
        <w:spacing w:after="0"/>
        <w:rPr>
          <w:rFonts w:cs="Arial"/>
          <w:bCs/>
        </w:rPr>
      </w:pPr>
    </w:p>
    <w:p w14:paraId="12FCD942" w14:textId="77777777" w:rsidR="002C7037" w:rsidRPr="00C41337" w:rsidRDefault="002C7037" w:rsidP="00266A96">
      <w:pPr>
        <w:spacing w:after="0"/>
        <w:rPr>
          <w:rFonts w:cs="Arial"/>
          <w:bCs/>
        </w:rPr>
      </w:pPr>
      <w:r w:rsidRPr="00BA0821">
        <w:rPr>
          <w:rFonts w:cs="Arial"/>
          <w:bCs/>
        </w:rPr>
        <w:t>La Organización de Países Exportadores de Petróleo (OPEP) se creó en septiembre de 1960 para coordinar</w:t>
      </w:r>
      <w:r w:rsidRPr="00C41337">
        <w:rPr>
          <w:rFonts w:cs="Arial"/>
          <w:bCs/>
        </w:rPr>
        <w:t xml:space="preserve"> las políticas energéticas y garantizar un precio justo por el petróleo exportado por los países miembros y un suministro constante al mercado.</w:t>
      </w:r>
    </w:p>
    <w:p w14:paraId="09277A8B" w14:textId="77777777" w:rsidR="002C7037" w:rsidRPr="00C41337" w:rsidRDefault="002C7037" w:rsidP="00266A96">
      <w:pPr>
        <w:spacing w:after="0"/>
        <w:rPr>
          <w:rFonts w:cs="Arial"/>
          <w:bCs/>
        </w:rPr>
      </w:pPr>
    </w:p>
    <w:p w14:paraId="4A94D780" w14:textId="77777777" w:rsidR="002C7037" w:rsidRPr="00C41337" w:rsidRDefault="002C7037" w:rsidP="00266A96">
      <w:pPr>
        <w:spacing w:after="0"/>
        <w:rPr>
          <w:rFonts w:cs="Arial"/>
          <w:bCs/>
        </w:rPr>
      </w:pPr>
      <w:r w:rsidRPr="00C41337">
        <w:rPr>
          <w:rFonts w:cs="Arial"/>
          <w:bCs/>
        </w:rPr>
        <w:t>Desde su creación, la Organización ha utilizado las cuotas de producción como una herramienta para estabilizar los precios del petróleo, de acuerdo con los intereses de los países miembros, en el entendido que los presupuestos públicos son altamente dependientes de los ingresos por la exportación de petróleo.</w:t>
      </w:r>
    </w:p>
    <w:p w14:paraId="4B1C1B65" w14:textId="77777777" w:rsidR="002C7037" w:rsidRPr="00C41337" w:rsidRDefault="002C7037" w:rsidP="00266A96">
      <w:pPr>
        <w:spacing w:after="0"/>
        <w:rPr>
          <w:rFonts w:cs="Arial"/>
          <w:bCs/>
        </w:rPr>
      </w:pPr>
    </w:p>
    <w:p w14:paraId="1053DFFD" w14:textId="77777777" w:rsidR="002C7037" w:rsidRPr="00C41337" w:rsidRDefault="002C7037" w:rsidP="00266A96">
      <w:pPr>
        <w:spacing w:after="0"/>
        <w:rPr>
          <w:rFonts w:cs="Arial"/>
          <w:bCs/>
        </w:rPr>
      </w:pPr>
      <w:r w:rsidRPr="00C41337">
        <w:rPr>
          <w:rFonts w:cs="Arial"/>
          <w:bCs/>
        </w:rPr>
        <w:t xml:space="preserve">La OPEP inició el año 2022 con recortes de la producción, para el primer semestre se mantenía un recorte de 400 mil barriles diarios, a pesar de algunos conflictos internos registrados en los países asiáticos. </w:t>
      </w:r>
      <w:r>
        <w:rPr>
          <w:rFonts w:cs="Arial"/>
          <w:bCs/>
        </w:rPr>
        <w:t xml:space="preserve"> </w:t>
      </w:r>
      <w:r w:rsidRPr="00C41337">
        <w:rPr>
          <w:rFonts w:cs="Arial"/>
          <w:bCs/>
        </w:rPr>
        <w:t xml:space="preserve">Para la reunión del mes de agosto las preocupaciones se centraron en la capacidad limitada de producción de la OPEP+, así mismo, en el mes de agosto en un intento por aumentar los precios del crudo la OPEP+ o contener la escalada a la baja, indicó que reduciría su objetivo de producción para el mes de octubre de 2022 en 100 000 bpd, previendo un freno en la economía mundial y mermando la demanda del petróleo. </w:t>
      </w:r>
      <w:r>
        <w:rPr>
          <w:rFonts w:cs="Arial"/>
          <w:bCs/>
        </w:rPr>
        <w:t xml:space="preserve"> </w:t>
      </w:r>
      <w:r w:rsidRPr="00C41337">
        <w:rPr>
          <w:rFonts w:cs="Arial"/>
          <w:bCs/>
        </w:rPr>
        <w:t xml:space="preserve">Con este acuerdo quedó anulado el incremento del bombeo adoptado en agosto de 2022 para el mes de septiembre. </w:t>
      </w:r>
    </w:p>
    <w:p w14:paraId="7CC4AEC5" w14:textId="77777777" w:rsidR="002C7037" w:rsidRPr="00C41337" w:rsidRDefault="002C7037" w:rsidP="00266A96">
      <w:pPr>
        <w:spacing w:after="0"/>
        <w:rPr>
          <w:rFonts w:cs="Arial"/>
          <w:bCs/>
        </w:rPr>
      </w:pPr>
    </w:p>
    <w:p w14:paraId="2071AECF" w14:textId="6D926536" w:rsidR="002C7037" w:rsidRDefault="002C7037" w:rsidP="00266A96">
      <w:pPr>
        <w:spacing w:after="0"/>
        <w:rPr>
          <w:rFonts w:cs="Arial"/>
          <w:bCs/>
        </w:rPr>
      </w:pPr>
      <w:r w:rsidRPr="00C41337">
        <w:rPr>
          <w:rFonts w:cs="Arial"/>
          <w:bCs/>
        </w:rPr>
        <w:lastRenderedPageBreak/>
        <w:t xml:space="preserve">Debido a la escalada en el conflicto entre Rusia y Ucrania que provocó un nivel mayor de incertidumbre en los mercados, la OPEP continuó con un nuevo recorte de la producción por 2 millones bpd, vigente desde el mes de noviembre de 2022. </w:t>
      </w:r>
      <w:r>
        <w:rPr>
          <w:rFonts w:cs="Arial"/>
          <w:bCs/>
        </w:rPr>
        <w:t xml:space="preserve"> </w:t>
      </w:r>
      <w:r w:rsidRPr="00C41337">
        <w:rPr>
          <w:rFonts w:cs="Arial"/>
          <w:bCs/>
        </w:rPr>
        <w:t>De esta forma, después de un periodo donde el precio de los hidrocarburos se venía reduciendo, la reunión de la OPEP volvió a detonar el aumento de éstos.</w:t>
      </w:r>
    </w:p>
    <w:p w14:paraId="444BFCC3" w14:textId="77777777" w:rsidR="002C7037" w:rsidRPr="00C41337" w:rsidRDefault="002C7037" w:rsidP="002C7037">
      <w:pPr>
        <w:spacing w:after="0" w:line="240" w:lineRule="auto"/>
        <w:rPr>
          <w:rFonts w:cs="Arial"/>
          <w:bCs/>
        </w:rPr>
      </w:pPr>
    </w:p>
    <w:p w14:paraId="322C9C35" w14:textId="77777777" w:rsidR="002C7037" w:rsidRPr="00C41337" w:rsidRDefault="002C7037" w:rsidP="002C7037">
      <w:pPr>
        <w:spacing w:after="0" w:line="240" w:lineRule="auto"/>
        <w:rPr>
          <w:rFonts w:cs="Arial"/>
          <w:bCs/>
        </w:rPr>
      </w:pPr>
      <w:r w:rsidRPr="00C41337">
        <w:rPr>
          <w:rFonts w:cs="Arial"/>
          <w:bCs/>
        </w:rPr>
        <w:t xml:space="preserve">El Gobierno de los Estados Unidos ha sido uno de los principales críticos de la medida impuesta por la OPEP, porque considera que está en línea con los objetivos rusos, según el comunicado oficial de la Casa Blanca respecto al recorte. </w:t>
      </w:r>
    </w:p>
    <w:p w14:paraId="1EC3C3F3" w14:textId="23935B81" w:rsidR="002C7037" w:rsidRPr="00F82B86" w:rsidRDefault="002C7037" w:rsidP="03F12F47">
      <w:pPr>
        <w:spacing w:after="0"/>
        <w:rPr>
          <w:rFonts w:cs="Arial"/>
        </w:rPr>
      </w:pPr>
    </w:p>
    <w:p w14:paraId="57411100" w14:textId="77777777" w:rsidR="002C7037" w:rsidRPr="00F82B86" w:rsidRDefault="002C7037" w:rsidP="009201D8">
      <w:pPr>
        <w:spacing w:after="0"/>
        <w:rPr>
          <w:rFonts w:cs="Arial"/>
          <w:bCs/>
        </w:rPr>
      </w:pPr>
    </w:p>
    <w:p w14:paraId="76361107" w14:textId="77777777" w:rsidR="002C7037" w:rsidRPr="00F82B86" w:rsidRDefault="002C7037" w:rsidP="00160388">
      <w:pPr>
        <w:pStyle w:val="Ttulo3"/>
        <w:spacing w:after="0"/>
        <w:rPr>
          <w:lang w:val="es-MX"/>
        </w:rPr>
      </w:pPr>
      <w:r w:rsidRPr="00F82B86">
        <w:rPr>
          <w:lang w:val="es-MX"/>
        </w:rPr>
        <w:t xml:space="preserve">5.6.5 </w:t>
      </w:r>
      <w:r w:rsidRPr="00F82B86">
        <w:rPr>
          <w:lang w:val="es-MX"/>
        </w:rPr>
        <w:tab/>
        <w:t>Fundamentales del mercado</w:t>
      </w:r>
    </w:p>
    <w:p w14:paraId="13382631" w14:textId="77777777" w:rsidR="002C7037" w:rsidRPr="00F82B86" w:rsidRDefault="002C7037" w:rsidP="002C7037">
      <w:pPr>
        <w:rPr>
          <w:lang w:val="es-MX"/>
        </w:rPr>
      </w:pPr>
    </w:p>
    <w:p w14:paraId="6C1DE7F6" w14:textId="77777777" w:rsidR="002C7037" w:rsidRPr="00DA635C" w:rsidRDefault="002C7037" w:rsidP="002C7037">
      <w:pPr>
        <w:spacing w:after="200"/>
        <w:contextualSpacing/>
        <w:rPr>
          <w:b/>
          <w:lang w:val="es-MX"/>
        </w:rPr>
      </w:pPr>
      <w:r w:rsidRPr="00F82B86">
        <w:rPr>
          <w:b/>
          <w:lang w:val="es-MX"/>
        </w:rPr>
        <w:t>a. Crecimiento</w:t>
      </w:r>
      <w:r w:rsidRPr="00DA635C">
        <w:rPr>
          <w:b/>
          <w:lang w:val="es-MX"/>
        </w:rPr>
        <w:t xml:space="preserve"> económico mundial</w:t>
      </w:r>
    </w:p>
    <w:p w14:paraId="5258B11E" w14:textId="77777777" w:rsidR="002C7037" w:rsidRPr="00CE1F12" w:rsidRDefault="002C7037" w:rsidP="002C7037">
      <w:pPr>
        <w:spacing w:after="200"/>
        <w:contextualSpacing/>
        <w:rPr>
          <w:bCs/>
          <w:lang w:val="es-MX"/>
        </w:rPr>
      </w:pPr>
    </w:p>
    <w:p w14:paraId="3A4EBD31" w14:textId="6A6BBB08" w:rsidR="002C7037" w:rsidRDefault="03F12F47" w:rsidP="03F12F47">
      <w:pPr>
        <w:spacing w:after="200" w:line="240" w:lineRule="auto"/>
        <w:contextualSpacing/>
        <w:rPr>
          <w:lang w:val="es-MX"/>
        </w:rPr>
      </w:pPr>
      <w:r w:rsidRPr="03F12F47">
        <w:rPr>
          <w:lang w:val="es-MX"/>
        </w:rPr>
        <w:t>De acuerdo con el Informe de Perspectivas de enero 2023, el Fondo Monetario Internacional señala que existe una expectativa de desaceleración económica e incertidumbre, marcada por los siguientes eventos principales:</w:t>
      </w:r>
    </w:p>
    <w:p w14:paraId="79BCD3F8" w14:textId="77777777" w:rsidR="002C7037" w:rsidRPr="00CE1F12" w:rsidRDefault="002C7037" w:rsidP="002C7037">
      <w:pPr>
        <w:spacing w:after="0" w:line="240" w:lineRule="auto"/>
        <w:contextualSpacing/>
        <w:rPr>
          <w:bCs/>
          <w:lang w:val="es-MX"/>
        </w:rPr>
      </w:pPr>
    </w:p>
    <w:p w14:paraId="5C1CC2C2" w14:textId="77777777" w:rsidR="002C7037" w:rsidRPr="00CE1F12" w:rsidRDefault="002C7037" w:rsidP="002C7037">
      <w:pPr>
        <w:pStyle w:val="Prrafodelista"/>
        <w:numPr>
          <w:ilvl w:val="0"/>
          <w:numId w:val="61"/>
        </w:numPr>
        <w:spacing w:after="0" w:line="240" w:lineRule="auto"/>
        <w:rPr>
          <w:bCs/>
          <w:lang w:val="es-MX"/>
        </w:rPr>
      </w:pPr>
      <w:r w:rsidRPr="00CE1F12">
        <w:rPr>
          <w:bCs/>
          <w:lang w:val="es-MX"/>
        </w:rPr>
        <w:t>La inflación global, particularmente en Estados Unidos y las principales economías europeas.</w:t>
      </w:r>
    </w:p>
    <w:p w14:paraId="56687B72" w14:textId="77777777" w:rsidR="002C7037" w:rsidRPr="00CE1F12" w:rsidRDefault="002C7037" w:rsidP="002C7037">
      <w:pPr>
        <w:pStyle w:val="Prrafodelista"/>
        <w:numPr>
          <w:ilvl w:val="0"/>
          <w:numId w:val="61"/>
        </w:numPr>
        <w:spacing w:after="0" w:line="240" w:lineRule="auto"/>
        <w:rPr>
          <w:bCs/>
          <w:lang w:val="es-MX"/>
        </w:rPr>
      </w:pPr>
      <w:r w:rsidRPr="00CE1F12">
        <w:rPr>
          <w:bCs/>
          <w:lang w:val="es-MX"/>
        </w:rPr>
        <w:t>El desarrollo de la época de invierno en Europa.</w:t>
      </w:r>
    </w:p>
    <w:p w14:paraId="01549EA2" w14:textId="77777777" w:rsidR="002C7037" w:rsidRPr="00CE1F12" w:rsidRDefault="002C7037" w:rsidP="002C7037">
      <w:pPr>
        <w:pStyle w:val="Prrafodelista"/>
        <w:numPr>
          <w:ilvl w:val="0"/>
          <w:numId w:val="61"/>
        </w:numPr>
        <w:spacing w:after="0" w:line="240" w:lineRule="auto"/>
        <w:rPr>
          <w:bCs/>
          <w:lang w:val="es-MX"/>
        </w:rPr>
      </w:pPr>
      <w:r w:rsidRPr="00CE1F12">
        <w:rPr>
          <w:bCs/>
          <w:lang w:val="es-MX"/>
        </w:rPr>
        <w:t>Posible rebrote en China provocada por la pandemia del C</w:t>
      </w:r>
      <w:r>
        <w:rPr>
          <w:bCs/>
          <w:lang w:val="es-MX"/>
        </w:rPr>
        <w:t>ovid</w:t>
      </w:r>
      <w:r w:rsidRPr="00CE1F12">
        <w:rPr>
          <w:bCs/>
          <w:lang w:val="es-MX"/>
        </w:rPr>
        <w:t>-19.</w:t>
      </w:r>
    </w:p>
    <w:p w14:paraId="265654A4" w14:textId="77777777" w:rsidR="002C7037" w:rsidRPr="00CE1F12" w:rsidRDefault="002C7037" w:rsidP="002C7037">
      <w:pPr>
        <w:pStyle w:val="Prrafodelista"/>
        <w:numPr>
          <w:ilvl w:val="0"/>
          <w:numId w:val="61"/>
        </w:numPr>
        <w:spacing w:after="0" w:line="240" w:lineRule="auto"/>
        <w:rPr>
          <w:bCs/>
          <w:lang w:val="es-MX"/>
        </w:rPr>
      </w:pPr>
      <w:r w:rsidRPr="00CE1F12">
        <w:rPr>
          <w:bCs/>
          <w:lang w:val="es-MX"/>
        </w:rPr>
        <w:t>Las repercusiones vigentes del conflicto en Europa del Este entre Rusia y Ucrania.</w:t>
      </w:r>
    </w:p>
    <w:p w14:paraId="58F9DC5D" w14:textId="77777777" w:rsidR="002C7037" w:rsidRPr="00DA635C" w:rsidRDefault="002C7037" w:rsidP="002C7037">
      <w:pPr>
        <w:pStyle w:val="Prrafodelista"/>
        <w:numPr>
          <w:ilvl w:val="0"/>
          <w:numId w:val="61"/>
        </w:numPr>
        <w:spacing w:after="0" w:line="240" w:lineRule="auto"/>
        <w:rPr>
          <w:bCs/>
          <w:lang w:val="es-MX"/>
        </w:rPr>
      </w:pPr>
      <w:r w:rsidRPr="00CE1F12">
        <w:rPr>
          <w:bCs/>
          <w:lang w:val="es-MX"/>
        </w:rPr>
        <w:t xml:space="preserve">Siguiendo con esta línea el Fondo Monetario Internacional, publica en dicho informe, </w:t>
      </w:r>
      <w:r w:rsidRPr="00F5549A">
        <w:rPr>
          <w:bCs/>
          <w:lang w:val="es-MX"/>
        </w:rPr>
        <w:t>que el crecimiento mundial presentará un descenso en un 3,4%, tomando matices de recesión para el año 2023.</w:t>
      </w:r>
    </w:p>
    <w:p w14:paraId="0487B764" w14:textId="77777777" w:rsidR="002C7037" w:rsidRDefault="002C7037" w:rsidP="002C7037">
      <w:pPr>
        <w:spacing w:after="0"/>
        <w:contextualSpacing/>
        <w:rPr>
          <w:bCs/>
          <w:lang w:val="es-MX"/>
        </w:rPr>
      </w:pPr>
    </w:p>
    <w:p w14:paraId="659319CB" w14:textId="77777777" w:rsidR="002C7037" w:rsidRDefault="002C7037" w:rsidP="009201D8">
      <w:pPr>
        <w:pStyle w:val="Textbody"/>
        <w:spacing w:after="0" w:line="264" w:lineRule="auto"/>
        <w:rPr>
          <w:rFonts w:ascii="Arial" w:hAnsi="Arial" w:cs="Arial"/>
          <w:b/>
          <w:bCs/>
          <w:sz w:val="20"/>
          <w:szCs w:val="20"/>
        </w:rPr>
      </w:pPr>
    </w:p>
    <w:p w14:paraId="57516FDD" w14:textId="760E88AD" w:rsidR="002C7037" w:rsidRPr="00337E6A" w:rsidRDefault="002C7037" w:rsidP="002C7037">
      <w:pPr>
        <w:pStyle w:val="Textbody"/>
        <w:spacing w:after="0" w:line="264" w:lineRule="auto"/>
        <w:ind w:left="240"/>
        <w:jc w:val="center"/>
        <w:rPr>
          <w:rFonts w:cs="Arial"/>
        </w:rPr>
      </w:pPr>
      <w:r w:rsidRPr="00451D42">
        <w:rPr>
          <w:rFonts w:ascii="Arial" w:hAnsi="Arial" w:cs="Arial"/>
          <w:b/>
          <w:bCs/>
          <w:sz w:val="20"/>
          <w:szCs w:val="20"/>
        </w:rPr>
        <w:t xml:space="preserve">Figura </w:t>
      </w:r>
      <w:r w:rsidR="0044062B">
        <w:rPr>
          <w:rFonts w:ascii="Arial" w:hAnsi="Arial" w:cs="Arial"/>
          <w:b/>
          <w:bCs/>
          <w:sz w:val="20"/>
          <w:szCs w:val="20"/>
        </w:rPr>
        <w:t>N°2</w:t>
      </w:r>
      <w:r w:rsidRPr="00451D42">
        <w:rPr>
          <w:rFonts w:ascii="Arial" w:hAnsi="Arial" w:cs="Arial"/>
          <w:b/>
          <w:bCs/>
          <w:sz w:val="20"/>
          <w:szCs w:val="20"/>
        </w:rPr>
        <w:t>. Proyecciones de crecimiento, según estado de desarrollo</w:t>
      </w:r>
      <w:r>
        <w:rPr>
          <w:rFonts w:ascii="Arial" w:hAnsi="Arial" w:cs="Arial"/>
          <w:b/>
          <w:bCs/>
          <w:sz w:val="20"/>
          <w:szCs w:val="20"/>
        </w:rPr>
        <w:t xml:space="preserve"> para los años 2023 y 2024 – Fondo Monetario Internacional – A enero 2023</w:t>
      </w:r>
    </w:p>
    <w:p w14:paraId="6A3D596F" w14:textId="77777777" w:rsidR="002C7037" w:rsidRDefault="002C7037" w:rsidP="002C7037">
      <w:pPr>
        <w:spacing w:after="200"/>
        <w:contextualSpacing/>
        <w:rPr>
          <w:bCs/>
          <w:lang w:val="es-MX"/>
        </w:rPr>
      </w:pPr>
    </w:p>
    <w:p w14:paraId="4E9CE398" w14:textId="10C3C370" w:rsidR="002C7037" w:rsidRDefault="002C7037" w:rsidP="002C7037">
      <w:pPr>
        <w:spacing w:after="200"/>
        <w:contextualSpacing/>
        <w:jc w:val="center"/>
        <w:rPr>
          <w:bCs/>
          <w:lang w:val="es-MX"/>
        </w:rPr>
      </w:pPr>
      <w:r w:rsidRPr="00035D88">
        <w:rPr>
          <w:rFonts w:eastAsia="NSimSun" w:cs="Arial"/>
          <w:noProof/>
          <w:kern w:val="3"/>
          <w:lang w:eastAsia="zh-CN" w:bidi="hi-IN"/>
        </w:rPr>
        <w:drawing>
          <wp:inline distT="0" distB="0" distL="0" distR="0" wp14:anchorId="6254D4B1" wp14:editId="4ABB5BF6">
            <wp:extent cx="5562600" cy="1783080"/>
            <wp:effectExtent l="0" t="0" r="0" b="7620"/>
            <wp:docPr id="36" name="Picture 36" descr="Interfaz de usuario gráfica, Gráfico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Interfaz de usuario gráfica, GráficoDescripción generada automáticamente"/>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1783080"/>
                    </a:xfrm>
                    <a:prstGeom prst="rect">
                      <a:avLst/>
                    </a:prstGeom>
                    <a:noFill/>
                    <a:ln>
                      <a:noFill/>
                    </a:ln>
                  </pic:spPr>
                </pic:pic>
              </a:graphicData>
            </a:graphic>
          </wp:inline>
        </w:drawing>
      </w:r>
    </w:p>
    <w:p w14:paraId="73D42A1D" w14:textId="77777777" w:rsidR="002C7037" w:rsidRPr="00F5549A" w:rsidRDefault="002C7037" w:rsidP="002C7037">
      <w:pPr>
        <w:rPr>
          <w:rFonts w:eastAsia="NSimSun" w:cs="Arial"/>
          <w:kern w:val="3"/>
          <w:lang w:eastAsia="zh-CN" w:bidi="hi-IN"/>
        </w:rPr>
      </w:pPr>
      <w:r w:rsidRPr="00F5549A">
        <w:rPr>
          <w:rFonts w:eastAsia="NSimSun" w:cs="Arial"/>
          <w:kern w:val="3"/>
          <w:sz w:val="18"/>
          <w:szCs w:val="18"/>
          <w:lang w:eastAsia="zh-CN" w:bidi="hi-IN"/>
        </w:rPr>
        <w:t xml:space="preserve">Fuente: </w:t>
      </w:r>
      <w:r w:rsidRPr="00F5549A">
        <w:rPr>
          <w:rFonts w:cs="Arial"/>
          <w:sz w:val="18"/>
          <w:szCs w:val="18"/>
        </w:rPr>
        <w:t>https://www.imf.org/es/Publications/WEO/Issues/2023/01/31/world-economic-outlook-update-january-2023</w:t>
      </w:r>
    </w:p>
    <w:p w14:paraId="6B993360" w14:textId="77777777" w:rsidR="002C7037" w:rsidRPr="00F5549A" w:rsidRDefault="002C7037" w:rsidP="002C7037">
      <w:pPr>
        <w:spacing w:after="200"/>
        <w:contextualSpacing/>
        <w:rPr>
          <w:bCs/>
          <w:lang w:val="es-MX"/>
        </w:rPr>
      </w:pPr>
    </w:p>
    <w:p w14:paraId="6F54CCA1" w14:textId="77777777" w:rsidR="002C7037" w:rsidRDefault="002C7037" w:rsidP="002C7037">
      <w:pPr>
        <w:spacing w:after="200"/>
        <w:contextualSpacing/>
        <w:rPr>
          <w:b/>
          <w:lang w:val="es-MX"/>
        </w:rPr>
      </w:pPr>
      <w:r>
        <w:rPr>
          <w:b/>
          <w:lang w:val="es-MX"/>
        </w:rPr>
        <w:lastRenderedPageBreak/>
        <w:t xml:space="preserve">b. </w:t>
      </w:r>
      <w:r w:rsidRPr="00C64831">
        <w:rPr>
          <w:b/>
          <w:lang w:val="es-MX"/>
        </w:rPr>
        <w:t>Demanda de petróleo</w:t>
      </w:r>
    </w:p>
    <w:p w14:paraId="233B25EA" w14:textId="77777777" w:rsidR="002C7037" w:rsidRPr="00C64831" w:rsidRDefault="002C7037" w:rsidP="002C7037">
      <w:pPr>
        <w:spacing w:after="200"/>
        <w:contextualSpacing/>
        <w:rPr>
          <w:b/>
          <w:lang w:val="es-MX"/>
        </w:rPr>
      </w:pPr>
    </w:p>
    <w:p w14:paraId="2F2A4B5D" w14:textId="77777777" w:rsidR="002C7037" w:rsidRDefault="002C7037" w:rsidP="002C7037">
      <w:pPr>
        <w:spacing w:after="0"/>
        <w:rPr>
          <w:rFonts w:cs="Arial"/>
          <w:lang w:val="es-MX"/>
        </w:rPr>
      </w:pPr>
      <w:r w:rsidRPr="003C5658">
        <w:rPr>
          <w:rFonts w:cs="Arial"/>
          <w:lang w:val="es-MX"/>
        </w:rPr>
        <w:t xml:space="preserve">En su actualización, para el mes de enero del 2023 el Departamento de Energía de los Estados Unidos, menciona que los pronósticos dados, siguen sujetos a niveles de incertidumbre, debido principalmente a las tendencias actuales económicas. </w:t>
      </w:r>
    </w:p>
    <w:p w14:paraId="049A01F6" w14:textId="77777777" w:rsidR="002C7037" w:rsidRPr="003C5658" w:rsidRDefault="002C7037" w:rsidP="002C7037">
      <w:pPr>
        <w:spacing w:after="0"/>
        <w:rPr>
          <w:rFonts w:cs="Arial"/>
          <w:lang w:val="es-MX"/>
        </w:rPr>
      </w:pPr>
    </w:p>
    <w:p w14:paraId="62B0817C" w14:textId="697F0F35" w:rsidR="00DC7A47" w:rsidRPr="00965BAE" w:rsidRDefault="03F12F47" w:rsidP="007B446F">
      <w:pPr>
        <w:contextualSpacing/>
        <w:rPr>
          <w:rFonts w:cs="Calibri Light"/>
        </w:rPr>
      </w:pPr>
      <w:r w:rsidRPr="03F12F47">
        <w:rPr>
          <w:rFonts w:cs="Arial"/>
          <w:lang w:val="es-MX"/>
        </w:rPr>
        <w:t xml:space="preserve">La demanda mundial de petróleo en el 2023 se desacelerará con un pronóstico de demanda incierto debido a las condiciones actuales. En el gráfico N°10 se presenta el comportamiento por bloques, según </w:t>
      </w:r>
      <w:r w:rsidR="00DF201A" w:rsidRPr="03F12F47">
        <w:rPr>
          <w:rFonts w:cs="Arial"/>
          <w:lang w:val="es-MX"/>
        </w:rPr>
        <w:t xml:space="preserve">el </w:t>
      </w:r>
      <w:r w:rsidR="00DF201A" w:rsidRPr="03F12F47">
        <w:rPr>
          <w:rFonts w:cs="Calibri Light"/>
        </w:rPr>
        <w:t>pronóstico emitido</w:t>
      </w:r>
      <w:r w:rsidRPr="03F12F47">
        <w:rPr>
          <w:rFonts w:cs="Calibri Light"/>
        </w:rPr>
        <w:t xml:space="preserve"> por el Departamento de Energía de los Estados Unidos se justifica por:</w:t>
      </w:r>
    </w:p>
    <w:p w14:paraId="301E1752" w14:textId="77777777" w:rsidR="00DC7A47" w:rsidRDefault="00DC7A47" w:rsidP="00DC7A47">
      <w:pPr>
        <w:pStyle w:val="Prrafodelista"/>
        <w:numPr>
          <w:ilvl w:val="0"/>
          <w:numId w:val="62"/>
        </w:numPr>
        <w:rPr>
          <w:rFonts w:cs="Calibri Light"/>
        </w:rPr>
      </w:pPr>
      <w:r w:rsidRPr="00965BAE">
        <w:rPr>
          <w:rFonts w:cs="Calibri Light"/>
        </w:rPr>
        <w:t>Condiciones económicas actuales inciertas de comportamiento mixto a corto plazo.</w:t>
      </w:r>
    </w:p>
    <w:p w14:paraId="0D7170D8" w14:textId="77777777" w:rsidR="00DC7A47" w:rsidRPr="00965BAE" w:rsidRDefault="00DC7A47" w:rsidP="00DC7A47">
      <w:pPr>
        <w:pStyle w:val="Prrafodelista"/>
        <w:numPr>
          <w:ilvl w:val="0"/>
          <w:numId w:val="62"/>
        </w:numPr>
        <w:spacing w:after="0"/>
        <w:rPr>
          <w:rFonts w:cs="Calibri Light"/>
        </w:rPr>
      </w:pPr>
      <w:r w:rsidRPr="00965BAE">
        <w:rPr>
          <w:rFonts w:cs="Calibri Light"/>
        </w:rPr>
        <w:t xml:space="preserve"> Impacto de la flexibilización de las restricciones por el COVID-19 y posibles aumentos de casos en China.</w:t>
      </w:r>
    </w:p>
    <w:p w14:paraId="3A4484AE" w14:textId="67B0082C" w:rsidR="002C7037" w:rsidRDefault="002C7037" w:rsidP="03F12F47">
      <w:pPr>
        <w:spacing w:after="0" w:line="240" w:lineRule="auto"/>
        <w:contextualSpacing/>
        <w:jc w:val="left"/>
        <w:rPr>
          <w:rFonts w:cs="Arial"/>
          <w:lang w:val="es-MX"/>
        </w:rPr>
      </w:pPr>
    </w:p>
    <w:p w14:paraId="71A2D97B" w14:textId="6D9095AA" w:rsidR="002C7037" w:rsidRPr="00965BAE" w:rsidRDefault="002C7037" w:rsidP="002C7037">
      <w:pPr>
        <w:spacing w:after="0"/>
        <w:contextualSpacing/>
        <w:jc w:val="center"/>
        <w:rPr>
          <w:b/>
          <w:sz w:val="20"/>
          <w:szCs w:val="20"/>
          <w:lang w:val="es-MX"/>
        </w:rPr>
      </w:pPr>
      <w:r w:rsidRPr="00965BAE">
        <w:rPr>
          <w:b/>
          <w:sz w:val="20"/>
          <w:szCs w:val="20"/>
          <w:lang w:val="es-MX"/>
        </w:rPr>
        <w:t xml:space="preserve">Gráfico </w:t>
      </w:r>
      <w:r w:rsidR="00DD30CE">
        <w:rPr>
          <w:b/>
          <w:sz w:val="20"/>
          <w:szCs w:val="20"/>
          <w:lang w:val="es-MX"/>
        </w:rPr>
        <w:t>N°10</w:t>
      </w:r>
      <w:r w:rsidRPr="00965BAE">
        <w:rPr>
          <w:b/>
          <w:sz w:val="20"/>
          <w:szCs w:val="20"/>
          <w:lang w:val="es-MX"/>
        </w:rPr>
        <w:t>. Consumo de petróleo, según bloque económico</w:t>
      </w:r>
    </w:p>
    <w:p w14:paraId="0F7E2E76" w14:textId="77777777" w:rsidR="002C7037" w:rsidRDefault="002C7037" w:rsidP="002C7037">
      <w:pPr>
        <w:jc w:val="center"/>
        <w:rPr>
          <w:rFonts w:cs="Calibri Light"/>
        </w:rPr>
      </w:pPr>
      <w:r w:rsidRPr="00965BAE">
        <w:rPr>
          <w:b/>
          <w:sz w:val="20"/>
          <w:szCs w:val="20"/>
          <w:lang w:val="es-MX"/>
        </w:rPr>
        <w:t>(2018 al 2022 real, 2023 proyectado)</w:t>
      </w:r>
    </w:p>
    <w:p w14:paraId="76C91232" w14:textId="5DFFB24B" w:rsidR="002C7037" w:rsidRDefault="002C7037" w:rsidP="002C7037">
      <w:pPr>
        <w:jc w:val="center"/>
        <w:rPr>
          <w:rFonts w:cs="Calibri Light"/>
          <w:sz w:val="18"/>
          <w:szCs w:val="18"/>
        </w:rPr>
      </w:pPr>
      <w:r w:rsidRPr="00086CE6">
        <w:rPr>
          <w:noProof/>
        </w:rPr>
        <w:drawing>
          <wp:inline distT="0" distB="0" distL="0" distR="0" wp14:anchorId="6B7080E9" wp14:editId="564075B7">
            <wp:extent cx="5400000" cy="3060000"/>
            <wp:effectExtent l="0" t="0" r="10795" b="7620"/>
            <wp:docPr id="3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CC043F" w14:textId="77777777" w:rsidR="002C7037" w:rsidRPr="005D78F9" w:rsidRDefault="002C7037" w:rsidP="002C7037">
      <w:pPr>
        <w:rPr>
          <w:rFonts w:cs="Calibri Light"/>
          <w:sz w:val="18"/>
          <w:szCs w:val="18"/>
        </w:rPr>
      </w:pPr>
      <w:r w:rsidRPr="005D78F9">
        <w:rPr>
          <w:rFonts w:cs="Calibri Light"/>
          <w:sz w:val="18"/>
          <w:szCs w:val="18"/>
        </w:rPr>
        <w:t>Fuente: Departamento de Energía de los Estados Unidos, informe de enero del 2023.</w:t>
      </w:r>
    </w:p>
    <w:p w14:paraId="1FCBB6EF" w14:textId="77777777" w:rsidR="002C7037" w:rsidRDefault="002C7037" w:rsidP="002C7037">
      <w:pPr>
        <w:spacing w:after="0"/>
        <w:rPr>
          <w:rFonts w:cs="Calibri Light"/>
        </w:rPr>
      </w:pPr>
    </w:p>
    <w:p w14:paraId="5FECF0EE" w14:textId="77777777" w:rsidR="002C7037" w:rsidRDefault="002C7037" w:rsidP="002C7037">
      <w:pPr>
        <w:spacing w:after="0"/>
        <w:rPr>
          <w:rFonts w:cs="Calibri Light"/>
        </w:rPr>
      </w:pPr>
    </w:p>
    <w:p w14:paraId="1FE3B85A" w14:textId="77777777" w:rsidR="002C7037" w:rsidRDefault="002C7037" w:rsidP="002C7037">
      <w:pPr>
        <w:spacing w:after="0"/>
        <w:rPr>
          <w:rFonts w:cs="Calibri Light"/>
        </w:rPr>
      </w:pPr>
      <w:r w:rsidRPr="00965BAE">
        <w:rPr>
          <w:rFonts w:cs="Calibri Light"/>
        </w:rPr>
        <w:t xml:space="preserve">Por su parte la OPEP en su informe del mes de diciembre del 2022 indica que las proyecciones para 2023, el pronóstico promedia una demanda </w:t>
      </w:r>
      <w:r>
        <w:rPr>
          <w:rFonts w:cs="Calibri Light"/>
        </w:rPr>
        <w:t xml:space="preserve">adicional </w:t>
      </w:r>
      <w:r w:rsidRPr="00965BAE">
        <w:rPr>
          <w:rFonts w:cs="Calibri Light"/>
        </w:rPr>
        <w:t xml:space="preserve">de 2,2 millones de bpd. </w:t>
      </w:r>
    </w:p>
    <w:p w14:paraId="7E240FA9" w14:textId="77777777" w:rsidR="002C7037" w:rsidRPr="00965BAE" w:rsidRDefault="002C7037" w:rsidP="002C7037">
      <w:pPr>
        <w:spacing w:after="0"/>
        <w:rPr>
          <w:rFonts w:cs="Calibri Light"/>
        </w:rPr>
      </w:pPr>
    </w:p>
    <w:p w14:paraId="4879C4B9" w14:textId="77777777" w:rsidR="002C7037" w:rsidRDefault="002C7037" w:rsidP="002C7037">
      <w:pPr>
        <w:spacing w:after="0"/>
        <w:rPr>
          <w:rFonts w:cs="Calibri Light"/>
        </w:rPr>
      </w:pPr>
      <w:r w:rsidRPr="00965BAE">
        <w:rPr>
          <w:rFonts w:cs="Calibri Light"/>
        </w:rPr>
        <w:lastRenderedPageBreak/>
        <w:t>Los países miembros de la OCDE aumentarán su demanda en 0,3% de millones de barriles diarios, mientras que los no miembros de la OECD incrementarán su consumo en 1,9% millones de barriles diarios.</w:t>
      </w:r>
    </w:p>
    <w:p w14:paraId="027CD0A4" w14:textId="77777777" w:rsidR="002C7037" w:rsidRPr="002F61F7" w:rsidRDefault="002C7037" w:rsidP="002C7037">
      <w:pPr>
        <w:rPr>
          <w:rFonts w:cs="Calibri Light"/>
        </w:rPr>
      </w:pPr>
    </w:p>
    <w:p w14:paraId="095CD87B" w14:textId="77777777" w:rsidR="002C7037" w:rsidRPr="002F61F7" w:rsidRDefault="002C7037" w:rsidP="002C7037">
      <w:pPr>
        <w:pStyle w:val="Ttulo3"/>
        <w:rPr>
          <w:lang w:val="es-MX"/>
        </w:rPr>
      </w:pPr>
      <w:r w:rsidRPr="002F61F7">
        <w:rPr>
          <w:lang w:val="es-MX"/>
        </w:rPr>
        <w:t>c. Oferta de petróleo</w:t>
      </w:r>
    </w:p>
    <w:p w14:paraId="232AAFC9" w14:textId="05C6A133" w:rsidR="002C7037" w:rsidRPr="00C1017A" w:rsidRDefault="16155265" w:rsidP="16155265">
      <w:pPr>
        <w:spacing w:after="0" w:line="360" w:lineRule="auto"/>
        <w:contextualSpacing/>
        <w:rPr>
          <w:rFonts w:cs="Arial"/>
          <w:lang w:val="es"/>
        </w:rPr>
      </w:pPr>
      <w:r w:rsidRPr="16155265">
        <w:rPr>
          <w:rFonts w:cs="Arial"/>
          <w:lang w:val="es"/>
        </w:rPr>
        <w:t xml:space="preserve">Para el año 2023 el Departamento de Energía de los Estados Unidos indicó en su informe de enero del 2023 que la oferta mundial de petróleo y otros combustibles líquidos aumentará en 1,1 millones de barriles por día. </w:t>
      </w:r>
    </w:p>
    <w:p w14:paraId="37A66F03" w14:textId="77777777" w:rsidR="002C7037" w:rsidRPr="00C1017A" w:rsidRDefault="002C7037" w:rsidP="002C7037">
      <w:pPr>
        <w:rPr>
          <w:rFonts w:cs="Arial"/>
          <w:lang w:val="es"/>
        </w:rPr>
      </w:pPr>
      <w:r w:rsidRPr="00C1017A">
        <w:rPr>
          <w:rFonts w:cs="Arial"/>
          <w:lang w:val="es"/>
        </w:rPr>
        <w:t xml:space="preserve">Este crecimiento será impulsado en varios países no pertenecientes a la OPEP como: </w:t>
      </w:r>
    </w:p>
    <w:p w14:paraId="06FD9A63" w14:textId="77777777" w:rsidR="002C7037" w:rsidRPr="00C1017A" w:rsidRDefault="002C7037" w:rsidP="002C7037">
      <w:pPr>
        <w:pStyle w:val="Prrafodelista"/>
        <w:numPr>
          <w:ilvl w:val="0"/>
          <w:numId w:val="63"/>
        </w:numPr>
        <w:ind w:left="567" w:hanging="567"/>
        <w:rPr>
          <w:rFonts w:cs="Arial"/>
          <w:lang w:val="es"/>
        </w:rPr>
      </w:pPr>
      <w:r w:rsidRPr="00C1017A">
        <w:rPr>
          <w:rFonts w:cs="Arial"/>
          <w:lang w:val="es"/>
        </w:rPr>
        <w:t>Estados Unidos que se proyecta aporte un 40% del crecimiento de 2023.</w:t>
      </w:r>
    </w:p>
    <w:p w14:paraId="4A1888B4" w14:textId="77777777" w:rsidR="002C7037" w:rsidRPr="00C1017A" w:rsidRDefault="002C7037" w:rsidP="002C7037">
      <w:pPr>
        <w:pStyle w:val="Prrafodelista"/>
        <w:numPr>
          <w:ilvl w:val="0"/>
          <w:numId w:val="63"/>
        </w:numPr>
        <w:ind w:left="567" w:hanging="567"/>
        <w:rPr>
          <w:rFonts w:cs="Arial"/>
          <w:lang w:val="es"/>
        </w:rPr>
      </w:pPr>
      <w:r w:rsidRPr="00C1017A">
        <w:rPr>
          <w:rFonts w:cs="Arial"/>
          <w:lang w:val="es"/>
        </w:rPr>
        <w:t>Canadá con su proyecto del oleoducto Transmountain.</w:t>
      </w:r>
    </w:p>
    <w:p w14:paraId="2A4138D5" w14:textId="77777777" w:rsidR="002C7037" w:rsidRPr="00C1017A" w:rsidRDefault="002C7037" w:rsidP="002C7037">
      <w:pPr>
        <w:pStyle w:val="Prrafodelista"/>
        <w:numPr>
          <w:ilvl w:val="0"/>
          <w:numId w:val="63"/>
        </w:numPr>
        <w:ind w:left="567" w:hanging="567"/>
        <w:rPr>
          <w:rFonts w:cs="Arial"/>
          <w:lang w:val="es"/>
        </w:rPr>
      </w:pPr>
      <w:r w:rsidRPr="00C1017A">
        <w:rPr>
          <w:rFonts w:cs="Arial"/>
          <w:lang w:val="es"/>
        </w:rPr>
        <w:t>Brasil con nuevas plataformas flotantes de producción almacenamiento y descar</w:t>
      </w:r>
      <w:r>
        <w:rPr>
          <w:rFonts w:cs="Arial"/>
          <w:lang w:val="es"/>
        </w:rPr>
        <w:t>g</w:t>
      </w:r>
      <w:r w:rsidRPr="00C1017A">
        <w:rPr>
          <w:rFonts w:cs="Arial"/>
          <w:lang w:val="es"/>
        </w:rPr>
        <w:t>a en aguas profundas.</w:t>
      </w:r>
    </w:p>
    <w:p w14:paraId="232E1C3F" w14:textId="77777777" w:rsidR="002C7037" w:rsidRPr="00C1017A" w:rsidRDefault="002C7037" w:rsidP="002C7037">
      <w:pPr>
        <w:pStyle w:val="Prrafodelista"/>
        <w:numPr>
          <w:ilvl w:val="0"/>
          <w:numId w:val="63"/>
        </w:numPr>
        <w:ind w:left="567" w:hanging="567"/>
        <w:rPr>
          <w:rFonts w:cs="Arial"/>
          <w:lang w:val="es"/>
        </w:rPr>
      </w:pPr>
      <w:r w:rsidRPr="00C1017A">
        <w:rPr>
          <w:rFonts w:cs="Arial"/>
          <w:lang w:val="es"/>
        </w:rPr>
        <w:t xml:space="preserve">Guyana que se encuentra catalogada como una fuente notable de suministro desde que comenzó a producir petróleo en el 2019. Se espera que sus nuevos recursos ayuden a desarrollar nuevos recursos petroleros para aumentar su producción. </w:t>
      </w:r>
    </w:p>
    <w:p w14:paraId="3AFE60B3" w14:textId="77777777" w:rsidR="002C7037" w:rsidRPr="00D74E6F" w:rsidRDefault="002C7037" w:rsidP="002C7037">
      <w:pPr>
        <w:pStyle w:val="Prrafodelista"/>
        <w:numPr>
          <w:ilvl w:val="0"/>
          <w:numId w:val="63"/>
        </w:numPr>
        <w:spacing w:after="0"/>
        <w:ind w:left="567" w:hanging="567"/>
        <w:rPr>
          <w:rFonts w:cs="Arial"/>
          <w:lang w:val="es"/>
        </w:rPr>
      </w:pPr>
      <w:r w:rsidRPr="00C1017A">
        <w:rPr>
          <w:rFonts w:cs="Arial"/>
          <w:lang w:val="es"/>
        </w:rPr>
        <w:t>Noruega con la expansión en su fase 2 del proyecto Johan Sverdrup en alta mar, aumentando en 500 mil barriles por día su producción.</w:t>
      </w:r>
    </w:p>
    <w:p w14:paraId="4BD07543" w14:textId="77777777" w:rsidR="002C7037" w:rsidRDefault="002C7037" w:rsidP="002C7037">
      <w:pPr>
        <w:spacing w:after="0"/>
        <w:rPr>
          <w:rFonts w:cs="Arial"/>
          <w:lang w:val="es"/>
        </w:rPr>
      </w:pPr>
    </w:p>
    <w:p w14:paraId="172F7B10" w14:textId="77777777" w:rsidR="002C7037" w:rsidRDefault="002C7037" w:rsidP="002C7037">
      <w:pPr>
        <w:spacing w:after="0"/>
        <w:rPr>
          <w:rFonts w:cs="Arial"/>
          <w:lang w:val="es"/>
        </w:rPr>
      </w:pPr>
      <w:r w:rsidRPr="00C1017A">
        <w:rPr>
          <w:rFonts w:cs="Arial"/>
          <w:lang w:val="es"/>
        </w:rPr>
        <w:t>Se espera que las anteriores fuentes de crecimiento compensen las disminuciones que se puedan registrar en la producción de petróleo ruso</w:t>
      </w:r>
      <w:r>
        <w:rPr>
          <w:rFonts w:cs="Arial"/>
          <w:lang w:val="es"/>
        </w:rPr>
        <w:t>, que el Departamento de Energía de Estados Unidos en un millón de barriles en 2023.</w:t>
      </w:r>
    </w:p>
    <w:p w14:paraId="1390C19F" w14:textId="77777777" w:rsidR="002C7037" w:rsidRPr="00C1017A" w:rsidRDefault="002C7037" w:rsidP="002C7037">
      <w:pPr>
        <w:spacing w:after="0"/>
        <w:rPr>
          <w:rFonts w:cs="Arial"/>
          <w:lang w:val="es"/>
        </w:rPr>
      </w:pPr>
    </w:p>
    <w:p w14:paraId="3360BC11" w14:textId="77777777" w:rsidR="002C7037" w:rsidRDefault="002C7037" w:rsidP="002C7037">
      <w:pPr>
        <w:spacing w:after="0"/>
        <w:rPr>
          <w:rFonts w:cs="Arial"/>
          <w:lang w:val="es"/>
        </w:rPr>
      </w:pPr>
      <w:r w:rsidRPr="00C1017A">
        <w:rPr>
          <w:rFonts w:cs="Arial"/>
          <w:lang w:val="es"/>
        </w:rPr>
        <w:t>Por su parte, la OPEP+ resolvió en su reunión ministerial número 34 “mantener la disminución en el nivel de producción para los países participantes de la OPEP y no OPEP en 2 mb/d para los meses de noviembre y diciembre de 2022” (traducción no oficial).  El detalle se presenta a continuación.</w:t>
      </w:r>
    </w:p>
    <w:p w14:paraId="211BA0B5" w14:textId="77777777" w:rsidR="002C7037" w:rsidRDefault="002C7037" w:rsidP="002C7037">
      <w:pPr>
        <w:rPr>
          <w:rFonts w:cs="Arial"/>
          <w:b/>
          <w:bCs/>
          <w:lang w:val="es"/>
        </w:rPr>
      </w:pPr>
    </w:p>
    <w:p w14:paraId="3BF11300" w14:textId="65DA4885" w:rsidR="002C7037" w:rsidRPr="00440E1D" w:rsidRDefault="03F12F47" w:rsidP="002C7037">
      <w:pPr>
        <w:spacing w:after="0" w:line="240" w:lineRule="auto"/>
        <w:jc w:val="center"/>
        <w:rPr>
          <w:rFonts w:cs="Arial"/>
          <w:b/>
          <w:bCs/>
          <w:sz w:val="20"/>
          <w:szCs w:val="20"/>
          <w:lang w:val="es"/>
        </w:rPr>
      </w:pPr>
      <w:r w:rsidRPr="000E341C">
        <w:rPr>
          <w:rFonts w:cs="Arial"/>
          <w:b/>
          <w:bCs/>
          <w:sz w:val="20"/>
          <w:szCs w:val="20"/>
          <w:lang w:val="es"/>
        </w:rPr>
        <w:t xml:space="preserve">Cuadro </w:t>
      </w:r>
      <w:r w:rsidRPr="03F12F47">
        <w:rPr>
          <w:rFonts w:cs="Arial"/>
          <w:b/>
          <w:bCs/>
          <w:sz w:val="20"/>
          <w:szCs w:val="20"/>
          <w:lang w:val="es"/>
        </w:rPr>
        <w:t>N°28: Ajuste en Producción OPEP noviembre 2022 – enero 2023</w:t>
      </w:r>
    </w:p>
    <w:p w14:paraId="2A72B946" w14:textId="77777777" w:rsidR="002C7037" w:rsidRPr="00440E1D" w:rsidRDefault="002C7037" w:rsidP="002C7037">
      <w:pPr>
        <w:spacing w:after="0" w:line="240" w:lineRule="auto"/>
        <w:jc w:val="center"/>
        <w:rPr>
          <w:rFonts w:cs="Arial"/>
          <w:b/>
          <w:bCs/>
          <w:sz w:val="20"/>
          <w:szCs w:val="20"/>
          <w:lang w:val="es"/>
        </w:rPr>
      </w:pPr>
      <w:r w:rsidRPr="00440E1D">
        <w:rPr>
          <w:rFonts w:cs="Arial"/>
          <w:b/>
          <w:bCs/>
          <w:sz w:val="20"/>
          <w:szCs w:val="20"/>
          <w:lang w:val="es"/>
        </w:rPr>
        <w:t>(miles de bpd)</w:t>
      </w:r>
    </w:p>
    <w:tbl>
      <w:tblPr>
        <w:tblStyle w:val="Tablaconcuadrcula"/>
        <w:tblW w:w="0" w:type="auto"/>
        <w:jc w:val="center"/>
        <w:tblLook w:val="04A0" w:firstRow="1" w:lastRow="0" w:firstColumn="1" w:lastColumn="0" w:noHBand="0" w:noVBand="1"/>
      </w:tblPr>
      <w:tblGrid>
        <w:gridCol w:w="2830"/>
        <w:gridCol w:w="1276"/>
        <w:gridCol w:w="2126"/>
        <w:gridCol w:w="1276"/>
      </w:tblGrid>
      <w:tr w:rsidR="002C7037" w:rsidRPr="00E700AC" w14:paraId="70802788" w14:textId="77777777" w:rsidTr="000E341C">
        <w:trPr>
          <w:trHeight w:val="283"/>
          <w:tblHeader/>
          <w:jc w:val="center"/>
        </w:trPr>
        <w:tc>
          <w:tcPr>
            <w:tcW w:w="2830" w:type="dxa"/>
            <w:shd w:val="clear" w:color="auto" w:fill="DBE5F1" w:themeFill="accent1" w:themeFillTint="33"/>
            <w:vAlign w:val="center"/>
          </w:tcPr>
          <w:p w14:paraId="73EDE9B9" w14:textId="77777777" w:rsidR="002C7037" w:rsidRPr="00E700AC" w:rsidRDefault="002C7037" w:rsidP="000E341C">
            <w:pPr>
              <w:spacing w:after="0"/>
              <w:jc w:val="center"/>
              <w:rPr>
                <w:rFonts w:cs="Arial"/>
                <w:b/>
                <w:bCs/>
              </w:rPr>
            </w:pPr>
            <w:r w:rsidRPr="00E700AC">
              <w:rPr>
                <w:rFonts w:cs="Arial"/>
                <w:b/>
                <w:bCs/>
              </w:rPr>
              <w:t>País</w:t>
            </w:r>
          </w:p>
        </w:tc>
        <w:tc>
          <w:tcPr>
            <w:tcW w:w="1276" w:type="dxa"/>
            <w:shd w:val="clear" w:color="auto" w:fill="DBE5F1" w:themeFill="accent1" w:themeFillTint="33"/>
            <w:vAlign w:val="center"/>
          </w:tcPr>
          <w:p w14:paraId="092C5353" w14:textId="77777777" w:rsidR="002C7037" w:rsidRPr="00E700AC" w:rsidRDefault="002C7037" w:rsidP="000E341C">
            <w:pPr>
              <w:spacing w:after="0"/>
              <w:jc w:val="center"/>
              <w:rPr>
                <w:rFonts w:cs="Arial"/>
                <w:b/>
                <w:bCs/>
              </w:rPr>
            </w:pPr>
            <w:r w:rsidRPr="00E700AC">
              <w:rPr>
                <w:rFonts w:cs="Arial"/>
                <w:b/>
                <w:bCs/>
              </w:rPr>
              <w:t>Cuota</w:t>
            </w:r>
          </w:p>
        </w:tc>
        <w:tc>
          <w:tcPr>
            <w:tcW w:w="2126" w:type="dxa"/>
            <w:shd w:val="clear" w:color="auto" w:fill="DBE5F1" w:themeFill="accent1" w:themeFillTint="33"/>
            <w:vAlign w:val="center"/>
          </w:tcPr>
          <w:p w14:paraId="04854709" w14:textId="77777777" w:rsidR="002C7037" w:rsidRPr="00E700AC" w:rsidRDefault="002C7037" w:rsidP="000E341C">
            <w:pPr>
              <w:spacing w:after="0"/>
              <w:jc w:val="center"/>
              <w:rPr>
                <w:rFonts w:cs="Arial"/>
                <w:b/>
                <w:bCs/>
              </w:rPr>
            </w:pPr>
            <w:r w:rsidRPr="00E700AC">
              <w:rPr>
                <w:rFonts w:cs="Arial"/>
                <w:b/>
                <w:bCs/>
              </w:rPr>
              <w:t>País</w:t>
            </w:r>
          </w:p>
        </w:tc>
        <w:tc>
          <w:tcPr>
            <w:tcW w:w="1276" w:type="dxa"/>
            <w:shd w:val="clear" w:color="auto" w:fill="DBE5F1" w:themeFill="accent1" w:themeFillTint="33"/>
            <w:vAlign w:val="center"/>
          </w:tcPr>
          <w:p w14:paraId="0802DA5F" w14:textId="77777777" w:rsidR="002C7037" w:rsidRPr="00E700AC" w:rsidRDefault="002C7037" w:rsidP="000E341C">
            <w:pPr>
              <w:spacing w:after="0"/>
              <w:jc w:val="center"/>
              <w:rPr>
                <w:rFonts w:cs="Arial"/>
                <w:b/>
                <w:bCs/>
              </w:rPr>
            </w:pPr>
            <w:r w:rsidRPr="00E700AC">
              <w:rPr>
                <w:rFonts w:cs="Arial"/>
                <w:b/>
                <w:bCs/>
              </w:rPr>
              <w:t>Cuota</w:t>
            </w:r>
          </w:p>
        </w:tc>
      </w:tr>
      <w:tr w:rsidR="002C7037" w:rsidRPr="00E700AC" w14:paraId="4FBFD924" w14:textId="77777777" w:rsidTr="00465C19">
        <w:trPr>
          <w:trHeight w:val="283"/>
          <w:jc w:val="center"/>
        </w:trPr>
        <w:tc>
          <w:tcPr>
            <w:tcW w:w="2830" w:type="dxa"/>
            <w:vAlign w:val="center"/>
          </w:tcPr>
          <w:p w14:paraId="7F796F02" w14:textId="77777777" w:rsidR="002C7037" w:rsidRPr="000E341C" w:rsidRDefault="002C7037" w:rsidP="000E341C">
            <w:pPr>
              <w:spacing w:after="0"/>
              <w:jc w:val="center"/>
              <w:rPr>
                <w:rFonts w:cs="Arial"/>
                <w:sz w:val="20"/>
                <w:szCs w:val="20"/>
              </w:rPr>
            </w:pPr>
            <w:r w:rsidRPr="000E341C">
              <w:rPr>
                <w:rFonts w:cs="Arial"/>
                <w:sz w:val="20"/>
                <w:szCs w:val="20"/>
              </w:rPr>
              <w:t>Argelia</w:t>
            </w:r>
          </w:p>
        </w:tc>
        <w:tc>
          <w:tcPr>
            <w:tcW w:w="1276" w:type="dxa"/>
            <w:vAlign w:val="center"/>
          </w:tcPr>
          <w:p w14:paraId="70A4A16D" w14:textId="77777777" w:rsidR="002C7037" w:rsidRPr="000E341C" w:rsidRDefault="002C7037" w:rsidP="000E341C">
            <w:pPr>
              <w:spacing w:after="0"/>
              <w:jc w:val="center"/>
              <w:rPr>
                <w:rFonts w:cs="Arial"/>
                <w:sz w:val="20"/>
                <w:szCs w:val="20"/>
              </w:rPr>
            </w:pPr>
            <w:r w:rsidRPr="000E341C">
              <w:rPr>
                <w:rFonts w:cs="Arial"/>
                <w:sz w:val="20"/>
                <w:szCs w:val="20"/>
              </w:rPr>
              <w:t>1 055</w:t>
            </w:r>
          </w:p>
        </w:tc>
        <w:tc>
          <w:tcPr>
            <w:tcW w:w="2126" w:type="dxa"/>
            <w:vAlign w:val="center"/>
          </w:tcPr>
          <w:p w14:paraId="76D1BC9E" w14:textId="77777777" w:rsidR="002C7037" w:rsidRPr="000E341C" w:rsidRDefault="002C7037" w:rsidP="000E341C">
            <w:pPr>
              <w:spacing w:after="0"/>
              <w:jc w:val="center"/>
              <w:rPr>
                <w:rFonts w:cs="Arial"/>
                <w:sz w:val="20"/>
                <w:szCs w:val="20"/>
              </w:rPr>
            </w:pPr>
            <w:r w:rsidRPr="000E341C">
              <w:rPr>
                <w:rFonts w:cs="Arial"/>
                <w:sz w:val="20"/>
                <w:szCs w:val="20"/>
              </w:rPr>
              <w:t>Kuwait</w:t>
            </w:r>
          </w:p>
        </w:tc>
        <w:tc>
          <w:tcPr>
            <w:tcW w:w="1276" w:type="dxa"/>
            <w:vAlign w:val="center"/>
          </w:tcPr>
          <w:p w14:paraId="673DFA7F" w14:textId="77777777" w:rsidR="002C7037" w:rsidRPr="000E341C" w:rsidRDefault="002C7037" w:rsidP="000E341C">
            <w:pPr>
              <w:spacing w:after="0"/>
              <w:jc w:val="center"/>
              <w:rPr>
                <w:rFonts w:cs="Arial"/>
                <w:sz w:val="20"/>
                <w:szCs w:val="20"/>
              </w:rPr>
            </w:pPr>
            <w:r w:rsidRPr="000E341C">
              <w:rPr>
                <w:rFonts w:cs="Arial"/>
                <w:sz w:val="20"/>
                <w:szCs w:val="20"/>
              </w:rPr>
              <w:t>2 811</w:t>
            </w:r>
          </w:p>
        </w:tc>
      </w:tr>
      <w:tr w:rsidR="002C7037" w:rsidRPr="00E700AC" w14:paraId="0E0ECD0C" w14:textId="77777777" w:rsidTr="00465C19">
        <w:trPr>
          <w:trHeight w:val="283"/>
          <w:jc w:val="center"/>
        </w:trPr>
        <w:tc>
          <w:tcPr>
            <w:tcW w:w="2830" w:type="dxa"/>
            <w:vAlign w:val="center"/>
          </w:tcPr>
          <w:p w14:paraId="0DFA0F5A" w14:textId="77777777" w:rsidR="002C7037" w:rsidRPr="000E341C" w:rsidRDefault="002C7037" w:rsidP="000E341C">
            <w:pPr>
              <w:spacing w:after="0"/>
              <w:jc w:val="center"/>
              <w:rPr>
                <w:rFonts w:cs="Arial"/>
                <w:sz w:val="20"/>
                <w:szCs w:val="20"/>
              </w:rPr>
            </w:pPr>
            <w:r w:rsidRPr="000E341C">
              <w:rPr>
                <w:rFonts w:cs="Arial"/>
                <w:sz w:val="20"/>
                <w:szCs w:val="20"/>
              </w:rPr>
              <w:t>Angola</w:t>
            </w:r>
          </w:p>
        </w:tc>
        <w:tc>
          <w:tcPr>
            <w:tcW w:w="1276" w:type="dxa"/>
            <w:vAlign w:val="center"/>
          </w:tcPr>
          <w:p w14:paraId="4D2B97EE" w14:textId="77777777" w:rsidR="002C7037" w:rsidRPr="000E341C" w:rsidRDefault="002C7037" w:rsidP="000E341C">
            <w:pPr>
              <w:spacing w:after="0"/>
              <w:jc w:val="center"/>
              <w:rPr>
                <w:rFonts w:cs="Arial"/>
                <w:sz w:val="20"/>
                <w:szCs w:val="20"/>
              </w:rPr>
            </w:pPr>
            <w:r w:rsidRPr="000E341C">
              <w:rPr>
                <w:rFonts w:cs="Arial"/>
                <w:sz w:val="20"/>
                <w:szCs w:val="20"/>
              </w:rPr>
              <w:t>1 525</w:t>
            </w:r>
          </w:p>
        </w:tc>
        <w:tc>
          <w:tcPr>
            <w:tcW w:w="2126" w:type="dxa"/>
            <w:vAlign w:val="center"/>
          </w:tcPr>
          <w:p w14:paraId="1C70740F" w14:textId="77777777" w:rsidR="002C7037" w:rsidRPr="000E341C" w:rsidRDefault="002C7037" w:rsidP="000E341C">
            <w:pPr>
              <w:spacing w:after="0"/>
              <w:jc w:val="center"/>
              <w:rPr>
                <w:rFonts w:cs="Arial"/>
                <w:sz w:val="20"/>
                <w:szCs w:val="20"/>
              </w:rPr>
            </w:pPr>
            <w:r w:rsidRPr="000E341C">
              <w:rPr>
                <w:rFonts w:cs="Arial"/>
                <w:sz w:val="20"/>
                <w:szCs w:val="20"/>
              </w:rPr>
              <w:t>Malasia</w:t>
            </w:r>
          </w:p>
        </w:tc>
        <w:tc>
          <w:tcPr>
            <w:tcW w:w="1276" w:type="dxa"/>
            <w:vAlign w:val="center"/>
          </w:tcPr>
          <w:p w14:paraId="21211AD3" w14:textId="77777777" w:rsidR="002C7037" w:rsidRPr="000E341C" w:rsidRDefault="002C7037" w:rsidP="000E341C">
            <w:pPr>
              <w:spacing w:after="0"/>
              <w:jc w:val="center"/>
              <w:rPr>
                <w:rFonts w:cs="Arial"/>
                <w:sz w:val="20"/>
                <w:szCs w:val="20"/>
              </w:rPr>
            </w:pPr>
            <w:r w:rsidRPr="000E341C">
              <w:rPr>
                <w:rFonts w:cs="Arial"/>
                <w:sz w:val="20"/>
                <w:szCs w:val="20"/>
              </w:rPr>
              <w:t>594</w:t>
            </w:r>
          </w:p>
        </w:tc>
      </w:tr>
      <w:tr w:rsidR="002C7037" w:rsidRPr="00E700AC" w14:paraId="1006F46E" w14:textId="77777777" w:rsidTr="00465C19">
        <w:trPr>
          <w:trHeight w:val="283"/>
          <w:jc w:val="center"/>
        </w:trPr>
        <w:tc>
          <w:tcPr>
            <w:tcW w:w="2830" w:type="dxa"/>
            <w:vAlign w:val="center"/>
          </w:tcPr>
          <w:p w14:paraId="68DD0845" w14:textId="77777777" w:rsidR="002C7037" w:rsidRPr="000E341C" w:rsidRDefault="002C7037" w:rsidP="000E341C">
            <w:pPr>
              <w:spacing w:after="0"/>
              <w:jc w:val="center"/>
              <w:rPr>
                <w:rFonts w:cs="Arial"/>
                <w:sz w:val="20"/>
                <w:szCs w:val="20"/>
              </w:rPr>
            </w:pPr>
            <w:r w:rsidRPr="000E341C">
              <w:rPr>
                <w:rFonts w:cs="Arial"/>
                <w:sz w:val="20"/>
                <w:szCs w:val="20"/>
              </w:rPr>
              <w:t>Arabia Saudita</w:t>
            </w:r>
          </w:p>
        </w:tc>
        <w:tc>
          <w:tcPr>
            <w:tcW w:w="1276" w:type="dxa"/>
            <w:vAlign w:val="center"/>
          </w:tcPr>
          <w:p w14:paraId="029320C7" w14:textId="77777777" w:rsidR="002C7037" w:rsidRPr="000E341C" w:rsidRDefault="002C7037" w:rsidP="000E341C">
            <w:pPr>
              <w:spacing w:after="0"/>
              <w:jc w:val="center"/>
              <w:rPr>
                <w:rFonts w:cs="Arial"/>
                <w:sz w:val="20"/>
                <w:szCs w:val="20"/>
              </w:rPr>
            </w:pPr>
            <w:r w:rsidRPr="000E341C">
              <w:rPr>
                <w:rFonts w:cs="Arial"/>
                <w:sz w:val="20"/>
                <w:szCs w:val="20"/>
              </w:rPr>
              <w:t>11 004</w:t>
            </w:r>
          </w:p>
        </w:tc>
        <w:tc>
          <w:tcPr>
            <w:tcW w:w="2126" w:type="dxa"/>
            <w:vAlign w:val="center"/>
          </w:tcPr>
          <w:p w14:paraId="615D205F" w14:textId="77777777" w:rsidR="002C7037" w:rsidRPr="000E341C" w:rsidRDefault="002C7037" w:rsidP="000E341C">
            <w:pPr>
              <w:spacing w:after="0"/>
              <w:jc w:val="center"/>
              <w:rPr>
                <w:rFonts w:cs="Arial"/>
                <w:sz w:val="20"/>
                <w:szCs w:val="20"/>
              </w:rPr>
            </w:pPr>
            <w:r w:rsidRPr="000E341C">
              <w:rPr>
                <w:rFonts w:cs="Arial"/>
                <w:sz w:val="20"/>
                <w:szCs w:val="20"/>
              </w:rPr>
              <w:t>México</w:t>
            </w:r>
          </w:p>
        </w:tc>
        <w:tc>
          <w:tcPr>
            <w:tcW w:w="1276" w:type="dxa"/>
            <w:vAlign w:val="center"/>
          </w:tcPr>
          <w:p w14:paraId="4CAFD18D" w14:textId="77777777" w:rsidR="002C7037" w:rsidRPr="000E341C" w:rsidRDefault="002C7037" w:rsidP="000E341C">
            <w:pPr>
              <w:spacing w:after="0"/>
              <w:jc w:val="center"/>
              <w:rPr>
                <w:rFonts w:cs="Arial"/>
                <w:sz w:val="20"/>
                <w:szCs w:val="20"/>
              </w:rPr>
            </w:pPr>
            <w:r w:rsidRPr="000E341C">
              <w:rPr>
                <w:rFonts w:cs="Arial"/>
                <w:sz w:val="20"/>
                <w:szCs w:val="20"/>
              </w:rPr>
              <w:t>1 753</w:t>
            </w:r>
          </w:p>
        </w:tc>
      </w:tr>
      <w:tr w:rsidR="002C7037" w:rsidRPr="00E700AC" w14:paraId="17827F2A" w14:textId="77777777" w:rsidTr="00465C19">
        <w:trPr>
          <w:trHeight w:val="283"/>
          <w:jc w:val="center"/>
        </w:trPr>
        <w:tc>
          <w:tcPr>
            <w:tcW w:w="2830" w:type="dxa"/>
            <w:vAlign w:val="center"/>
          </w:tcPr>
          <w:p w14:paraId="75DBCA25" w14:textId="77777777" w:rsidR="002C7037" w:rsidRPr="000E341C" w:rsidRDefault="002C7037" w:rsidP="000E341C">
            <w:pPr>
              <w:spacing w:after="0"/>
              <w:jc w:val="center"/>
              <w:rPr>
                <w:rFonts w:cs="Arial"/>
                <w:sz w:val="20"/>
                <w:szCs w:val="20"/>
              </w:rPr>
            </w:pPr>
            <w:r w:rsidRPr="000E341C">
              <w:rPr>
                <w:rFonts w:cs="Arial"/>
                <w:sz w:val="20"/>
                <w:szCs w:val="20"/>
              </w:rPr>
              <w:t>Azerbaiyán</w:t>
            </w:r>
          </w:p>
        </w:tc>
        <w:tc>
          <w:tcPr>
            <w:tcW w:w="1276" w:type="dxa"/>
            <w:vAlign w:val="center"/>
          </w:tcPr>
          <w:p w14:paraId="0BE6D166" w14:textId="77777777" w:rsidR="002C7037" w:rsidRPr="000E341C" w:rsidRDefault="002C7037" w:rsidP="000E341C">
            <w:pPr>
              <w:spacing w:after="0"/>
              <w:jc w:val="center"/>
              <w:rPr>
                <w:rFonts w:cs="Arial"/>
                <w:sz w:val="20"/>
                <w:szCs w:val="20"/>
              </w:rPr>
            </w:pPr>
            <w:r w:rsidRPr="000E341C">
              <w:rPr>
                <w:rFonts w:cs="Arial"/>
                <w:sz w:val="20"/>
                <w:szCs w:val="20"/>
              </w:rPr>
              <w:t>717</w:t>
            </w:r>
          </w:p>
        </w:tc>
        <w:tc>
          <w:tcPr>
            <w:tcW w:w="2126" w:type="dxa"/>
            <w:vAlign w:val="center"/>
          </w:tcPr>
          <w:p w14:paraId="30FBF585" w14:textId="77777777" w:rsidR="002C7037" w:rsidRPr="000E341C" w:rsidRDefault="002C7037" w:rsidP="000E341C">
            <w:pPr>
              <w:spacing w:after="0"/>
              <w:jc w:val="center"/>
              <w:rPr>
                <w:rFonts w:cs="Arial"/>
                <w:sz w:val="20"/>
                <w:szCs w:val="20"/>
              </w:rPr>
            </w:pPr>
            <w:r w:rsidRPr="000E341C">
              <w:rPr>
                <w:rFonts w:cs="Arial"/>
                <w:sz w:val="20"/>
                <w:szCs w:val="20"/>
              </w:rPr>
              <w:t>Nigeria</w:t>
            </w:r>
          </w:p>
        </w:tc>
        <w:tc>
          <w:tcPr>
            <w:tcW w:w="1276" w:type="dxa"/>
            <w:vAlign w:val="center"/>
          </w:tcPr>
          <w:p w14:paraId="4D06C363" w14:textId="77777777" w:rsidR="002C7037" w:rsidRPr="000E341C" w:rsidRDefault="002C7037" w:rsidP="000E341C">
            <w:pPr>
              <w:spacing w:after="0"/>
              <w:jc w:val="center"/>
              <w:rPr>
                <w:rFonts w:cs="Arial"/>
                <w:sz w:val="20"/>
                <w:szCs w:val="20"/>
              </w:rPr>
            </w:pPr>
            <w:r w:rsidRPr="000E341C">
              <w:rPr>
                <w:rFonts w:cs="Arial"/>
                <w:sz w:val="20"/>
                <w:szCs w:val="20"/>
              </w:rPr>
              <w:t>1 826</w:t>
            </w:r>
          </w:p>
        </w:tc>
      </w:tr>
      <w:tr w:rsidR="002C7037" w:rsidRPr="00E700AC" w14:paraId="11776143" w14:textId="77777777" w:rsidTr="00465C19">
        <w:trPr>
          <w:trHeight w:val="283"/>
          <w:jc w:val="center"/>
        </w:trPr>
        <w:tc>
          <w:tcPr>
            <w:tcW w:w="2830" w:type="dxa"/>
            <w:vAlign w:val="center"/>
          </w:tcPr>
          <w:p w14:paraId="04552BB4" w14:textId="77777777" w:rsidR="002C7037" w:rsidRPr="000E341C" w:rsidRDefault="002C7037" w:rsidP="000E341C">
            <w:pPr>
              <w:spacing w:after="0"/>
              <w:jc w:val="center"/>
              <w:rPr>
                <w:rFonts w:cs="Arial"/>
                <w:sz w:val="20"/>
                <w:szCs w:val="20"/>
              </w:rPr>
            </w:pPr>
            <w:r w:rsidRPr="000E341C">
              <w:rPr>
                <w:rFonts w:cs="Arial"/>
                <w:sz w:val="20"/>
                <w:szCs w:val="20"/>
              </w:rPr>
              <w:t xml:space="preserve">Bahréin </w:t>
            </w:r>
          </w:p>
        </w:tc>
        <w:tc>
          <w:tcPr>
            <w:tcW w:w="1276" w:type="dxa"/>
            <w:vAlign w:val="center"/>
          </w:tcPr>
          <w:p w14:paraId="527A49C4" w14:textId="77777777" w:rsidR="002C7037" w:rsidRPr="000E341C" w:rsidRDefault="002C7037" w:rsidP="000E341C">
            <w:pPr>
              <w:spacing w:after="0"/>
              <w:jc w:val="center"/>
              <w:rPr>
                <w:rFonts w:cs="Arial"/>
                <w:sz w:val="20"/>
                <w:szCs w:val="20"/>
              </w:rPr>
            </w:pPr>
            <w:r w:rsidRPr="000E341C">
              <w:rPr>
                <w:rFonts w:cs="Arial"/>
                <w:sz w:val="20"/>
                <w:szCs w:val="20"/>
              </w:rPr>
              <w:t>205</w:t>
            </w:r>
          </w:p>
        </w:tc>
        <w:tc>
          <w:tcPr>
            <w:tcW w:w="2126" w:type="dxa"/>
            <w:vAlign w:val="center"/>
          </w:tcPr>
          <w:p w14:paraId="386CD8F1" w14:textId="77777777" w:rsidR="002C7037" w:rsidRPr="000E341C" w:rsidRDefault="002C7037" w:rsidP="000E341C">
            <w:pPr>
              <w:spacing w:after="0"/>
              <w:jc w:val="center"/>
              <w:rPr>
                <w:rFonts w:cs="Arial"/>
                <w:sz w:val="20"/>
                <w:szCs w:val="20"/>
              </w:rPr>
            </w:pPr>
            <w:r w:rsidRPr="000E341C">
              <w:rPr>
                <w:rFonts w:cs="Arial"/>
                <w:sz w:val="20"/>
                <w:szCs w:val="20"/>
              </w:rPr>
              <w:t>Kazajistán</w:t>
            </w:r>
          </w:p>
        </w:tc>
        <w:tc>
          <w:tcPr>
            <w:tcW w:w="1276" w:type="dxa"/>
            <w:vAlign w:val="center"/>
          </w:tcPr>
          <w:p w14:paraId="42CB6F3D" w14:textId="77777777" w:rsidR="002C7037" w:rsidRPr="000E341C" w:rsidRDefault="002C7037" w:rsidP="000E341C">
            <w:pPr>
              <w:spacing w:after="0"/>
              <w:jc w:val="center"/>
              <w:rPr>
                <w:rFonts w:cs="Arial"/>
                <w:sz w:val="20"/>
                <w:szCs w:val="20"/>
              </w:rPr>
            </w:pPr>
            <w:r w:rsidRPr="000E341C">
              <w:rPr>
                <w:rFonts w:cs="Arial"/>
                <w:sz w:val="20"/>
                <w:szCs w:val="20"/>
              </w:rPr>
              <w:t>1 706</w:t>
            </w:r>
          </w:p>
        </w:tc>
      </w:tr>
      <w:tr w:rsidR="002C7037" w:rsidRPr="00E700AC" w14:paraId="14FCA8B5" w14:textId="77777777" w:rsidTr="00465C19">
        <w:trPr>
          <w:trHeight w:val="283"/>
          <w:jc w:val="center"/>
        </w:trPr>
        <w:tc>
          <w:tcPr>
            <w:tcW w:w="2830" w:type="dxa"/>
            <w:vAlign w:val="center"/>
          </w:tcPr>
          <w:p w14:paraId="2BDB029C" w14:textId="77777777" w:rsidR="002C7037" w:rsidRPr="000E341C" w:rsidRDefault="002C7037" w:rsidP="000E341C">
            <w:pPr>
              <w:spacing w:after="0"/>
              <w:jc w:val="center"/>
              <w:rPr>
                <w:rFonts w:cs="Arial"/>
                <w:sz w:val="20"/>
                <w:szCs w:val="20"/>
              </w:rPr>
            </w:pPr>
            <w:r w:rsidRPr="000E341C">
              <w:rPr>
                <w:rFonts w:cs="Arial"/>
                <w:sz w:val="20"/>
                <w:szCs w:val="20"/>
              </w:rPr>
              <w:t>Brunei</w:t>
            </w:r>
          </w:p>
        </w:tc>
        <w:tc>
          <w:tcPr>
            <w:tcW w:w="1276" w:type="dxa"/>
            <w:vAlign w:val="center"/>
          </w:tcPr>
          <w:p w14:paraId="0BFFE827" w14:textId="77777777" w:rsidR="002C7037" w:rsidRPr="000E341C" w:rsidRDefault="002C7037" w:rsidP="000E341C">
            <w:pPr>
              <w:spacing w:after="0"/>
              <w:jc w:val="center"/>
              <w:rPr>
                <w:rFonts w:cs="Arial"/>
                <w:sz w:val="20"/>
                <w:szCs w:val="20"/>
              </w:rPr>
            </w:pPr>
            <w:r w:rsidRPr="000E341C">
              <w:rPr>
                <w:rFonts w:cs="Arial"/>
                <w:sz w:val="20"/>
                <w:szCs w:val="20"/>
              </w:rPr>
              <w:t>102</w:t>
            </w:r>
          </w:p>
        </w:tc>
        <w:tc>
          <w:tcPr>
            <w:tcW w:w="2126" w:type="dxa"/>
            <w:vAlign w:val="center"/>
          </w:tcPr>
          <w:p w14:paraId="7379CC99" w14:textId="77777777" w:rsidR="002C7037" w:rsidRPr="000E341C" w:rsidRDefault="002C7037" w:rsidP="000E341C">
            <w:pPr>
              <w:spacing w:after="0"/>
              <w:jc w:val="center"/>
              <w:rPr>
                <w:rFonts w:cs="Arial"/>
                <w:sz w:val="20"/>
                <w:szCs w:val="20"/>
              </w:rPr>
            </w:pPr>
            <w:r w:rsidRPr="000E341C">
              <w:rPr>
                <w:rFonts w:cs="Arial"/>
                <w:sz w:val="20"/>
                <w:szCs w:val="20"/>
              </w:rPr>
              <w:t>Omán</w:t>
            </w:r>
          </w:p>
        </w:tc>
        <w:tc>
          <w:tcPr>
            <w:tcW w:w="1276" w:type="dxa"/>
            <w:vAlign w:val="center"/>
          </w:tcPr>
          <w:p w14:paraId="22AAFEC6" w14:textId="77777777" w:rsidR="002C7037" w:rsidRPr="000E341C" w:rsidRDefault="002C7037" w:rsidP="000E341C">
            <w:pPr>
              <w:spacing w:after="0"/>
              <w:jc w:val="center"/>
              <w:rPr>
                <w:rFonts w:cs="Arial"/>
                <w:sz w:val="20"/>
                <w:szCs w:val="20"/>
              </w:rPr>
            </w:pPr>
            <w:r w:rsidRPr="000E341C">
              <w:rPr>
                <w:rFonts w:cs="Arial"/>
                <w:sz w:val="20"/>
                <w:szCs w:val="20"/>
              </w:rPr>
              <w:t>881</w:t>
            </w:r>
          </w:p>
        </w:tc>
      </w:tr>
      <w:tr w:rsidR="002C7037" w:rsidRPr="00E700AC" w14:paraId="1AFCF62C" w14:textId="77777777" w:rsidTr="00465C19">
        <w:trPr>
          <w:trHeight w:val="283"/>
          <w:jc w:val="center"/>
        </w:trPr>
        <w:tc>
          <w:tcPr>
            <w:tcW w:w="2830" w:type="dxa"/>
            <w:vAlign w:val="center"/>
          </w:tcPr>
          <w:p w14:paraId="3BE0D2C3" w14:textId="77777777" w:rsidR="002C7037" w:rsidRPr="000E341C" w:rsidRDefault="002C7037" w:rsidP="000E341C">
            <w:pPr>
              <w:spacing w:after="0"/>
              <w:jc w:val="center"/>
              <w:rPr>
                <w:rFonts w:cs="Arial"/>
                <w:sz w:val="20"/>
                <w:szCs w:val="20"/>
              </w:rPr>
            </w:pPr>
            <w:r w:rsidRPr="000E341C">
              <w:rPr>
                <w:rFonts w:cs="Arial"/>
                <w:sz w:val="20"/>
                <w:szCs w:val="20"/>
              </w:rPr>
              <w:t>Congo</w:t>
            </w:r>
          </w:p>
        </w:tc>
        <w:tc>
          <w:tcPr>
            <w:tcW w:w="1276" w:type="dxa"/>
            <w:vAlign w:val="center"/>
          </w:tcPr>
          <w:p w14:paraId="3B0266B8" w14:textId="77777777" w:rsidR="002C7037" w:rsidRPr="000E341C" w:rsidRDefault="002C7037" w:rsidP="000E341C">
            <w:pPr>
              <w:spacing w:after="0"/>
              <w:jc w:val="center"/>
              <w:rPr>
                <w:rFonts w:cs="Arial"/>
                <w:sz w:val="20"/>
                <w:szCs w:val="20"/>
              </w:rPr>
            </w:pPr>
            <w:r w:rsidRPr="000E341C">
              <w:rPr>
                <w:rFonts w:cs="Arial"/>
                <w:sz w:val="20"/>
                <w:szCs w:val="20"/>
              </w:rPr>
              <w:t>325</w:t>
            </w:r>
          </w:p>
        </w:tc>
        <w:tc>
          <w:tcPr>
            <w:tcW w:w="2126" w:type="dxa"/>
            <w:vAlign w:val="center"/>
          </w:tcPr>
          <w:p w14:paraId="662B7F8D" w14:textId="77777777" w:rsidR="002C7037" w:rsidRPr="000E341C" w:rsidRDefault="002C7037" w:rsidP="000E341C">
            <w:pPr>
              <w:spacing w:after="0"/>
              <w:jc w:val="center"/>
              <w:rPr>
                <w:rFonts w:cs="Arial"/>
                <w:sz w:val="20"/>
                <w:szCs w:val="20"/>
              </w:rPr>
            </w:pPr>
            <w:r w:rsidRPr="000E341C">
              <w:rPr>
                <w:rFonts w:cs="Arial"/>
                <w:sz w:val="20"/>
                <w:szCs w:val="20"/>
              </w:rPr>
              <w:t>Rusia</w:t>
            </w:r>
          </w:p>
        </w:tc>
        <w:tc>
          <w:tcPr>
            <w:tcW w:w="1276" w:type="dxa"/>
            <w:vAlign w:val="center"/>
          </w:tcPr>
          <w:p w14:paraId="2DC934D7" w14:textId="77777777" w:rsidR="002C7037" w:rsidRPr="000E341C" w:rsidRDefault="002C7037" w:rsidP="000E341C">
            <w:pPr>
              <w:spacing w:after="0"/>
              <w:jc w:val="center"/>
              <w:rPr>
                <w:rFonts w:cs="Arial"/>
                <w:sz w:val="20"/>
                <w:szCs w:val="20"/>
              </w:rPr>
            </w:pPr>
            <w:r w:rsidRPr="000E341C">
              <w:rPr>
                <w:rFonts w:cs="Arial"/>
                <w:sz w:val="20"/>
                <w:szCs w:val="20"/>
              </w:rPr>
              <w:t>11 004</w:t>
            </w:r>
          </w:p>
        </w:tc>
      </w:tr>
      <w:tr w:rsidR="002C7037" w:rsidRPr="00E700AC" w14:paraId="13D826C4" w14:textId="77777777" w:rsidTr="00465C19">
        <w:trPr>
          <w:trHeight w:val="283"/>
          <w:jc w:val="center"/>
        </w:trPr>
        <w:tc>
          <w:tcPr>
            <w:tcW w:w="2830" w:type="dxa"/>
            <w:vAlign w:val="center"/>
          </w:tcPr>
          <w:p w14:paraId="757CB632" w14:textId="77777777" w:rsidR="002C7037" w:rsidRPr="000E341C" w:rsidRDefault="002C7037" w:rsidP="000E341C">
            <w:pPr>
              <w:spacing w:after="0"/>
              <w:jc w:val="center"/>
              <w:rPr>
                <w:rFonts w:cs="Arial"/>
                <w:sz w:val="20"/>
                <w:szCs w:val="20"/>
              </w:rPr>
            </w:pPr>
            <w:r w:rsidRPr="000E341C">
              <w:rPr>
                <w:rFonts w:cs="Arial"/>
                <w:sz w:val="20"/>
                <w:szCs w:val="20"/>
              </w:rPr>
              <w:t>Emiratos Árabes Unidos</w:t>
            </w:r>
          </w:p>
        </w:tc>
        <w:tc>
          <w:tcPr>
            <w:tcW w:w="1276" w:type="dxa"/>
            <w:vAlign w:val="center"/>
          </w:tcPr>
          <w:p w14:paraId="4C668F8E" w14:textId="77777777" w:rsidR="002C7037" w:rsidRPr="000E341C" w:rsidRDefault="002C7037" w:rsidP="000E341C">
            <w:pPr>
              <w:spacing w:after="0"/>
              <w:jc w:val="center"/>
              <w:rPr>
                <w:rFonts w:cs="Arial"/>
                <w:sz w:val="20"/>
                <w:szCs w:val="20"/>
              </w:rPr>
            </w:pPr>
            <w:r w:rsidRPr="000E341C">
              <w:rPr>
                <w:rFonts w:cs="Arial"/>
                <w:sz w:val="20"/>
                <w:szCs w:val="20"/>
              </w:rPr>
              <w:t>3 179</w:t>
            </w:r>
          </w:p>
        </w:tc>
        <w:tc>
          <w:tcPr>
            <w:tcW w:w="2126" w:type="dxa"/>
            <w:vAlign w:val="center"/>
          </w:tcPr>
          <w:p w14:paraId="159E09F0" w14:textId="77777777" w:rsidR="002C7037" w:rsidRPr="000E341C" w:rsidRDefault="002C7037" w:rsidP="000E341C">
            <w:pPr>
              <w:spacing w:after="0"/>
              <w:jc w:val="center"/>
              <w:rPr>
                <w:rFonts w:cs="Arial"/>
                <w:sz w:val="20"/>
                <w:szCs w:val="20"/>
              </w:rPr>
            </w:pPr>
            <w:r w:rsidRPr="000E341C">
              <w:rPr>
                <w:rFonts w:cs="Arial"/>
                <w:sz w:val="20"/>
                <w:szCs w:val="20"/>
              </w:rPr>
              <w:t>Sudán</w:t>
            </w:r>
          </w:p>
        </w:tc>
        <w:tc>
          <w:tcPr>
            <w:tcW w:w="1276" w:type="dxa"/>
            <w:vAlign w:val="center"/>
          </w:tcPr>
          <w:p w14:paraId="6AEFFD5F" w14:textId="77777777" w:rsidR="002C7037" w:rsidRPr="000E341C" w:rsidRDefault="002C7037" w:rsidP="000E341C">
            <w:pPr>
              <w:spacing w:after="0"/>
              <w:jc w:val="center"/>
              <w:rPr>
                <w:rFonts w:cs="Arial"/>
                <w:sz w:val="20"/>
                <w:szCs w:val="20"/>
              </w:rPr>
            </w:pPr>
            <w:r w:rsidRPr="000E341C">
              <w:rPr>
                <w:rFonts w:cs="Arial"/>
                <w:sz w:val="20"/>
                <w:szCs w:val="20"/>
              </w:rPr>
              <w:t>75</w:t>
            </w:r>
          </w:p>
        </w:tc>
      </w:tr>
      <w:tr w:rsidR="002C7037" w:rsidRPr="00E700AC" w14:paraId="0DC3C37C" w14:textId="77777777" w:rsidTr="00465C19">
        <w:trPr>
          <w:trHeight w:val="283"/>
          <w:jc w:val="center"/>
        </w:trPr>
        <w:tc>
          <w:tcPr>
            <w:tcW w:w="2830" w:type="dxa"/>
            <w:vAlign w:val="center"/>
          </w:tcPr>
          <w:p w14:paraId="6653ED6A" w14:textId="77777777" w:rsidR="002C7037" w:rsidRPr="000E341C" w:rsidRDefault="002C7037" w:rsidP="000E341C">
            <w:pPr>
              <w:spacing w:after="0"/>
              <w:jc w:val="center"/>
              <w:rPr>
                <w:rFonts w:cs="Arial"/>
                <w:sz w:val="20"/>
                <w:szCs w:val="20"/>
              </w:rPr>
            </w:pPr>
            <w:r w:rsidRPr="000E341C">
              <w:rPr>
                <w:rFonts w:cs="Arial"/>
                <w:sz w:val="20"/>
                <w:szCs w:val="20"/>
              </w:rPr>
              <w:t>Gabón</w:t>
            </w:r>
          </w:p>
        </w:tc>
        <w:tc>
          <w:tcPr>
            <w:tcW w:w="1276" w:type="dxa"/>
            <w:vAlign w:val="center"/>
          </w:tcPr>
          <w:p w14:paraId="3CC7EEE6" w14:textId="77777777" w:rsidR="002C7037" w:rsidRPr="000E341C" w:rsidRDefault="002C7037" w:rsidP="000E341C">
            <w:pPr>
              <w:spacing w:after="0"/>
              <w:jc w:val="center"/>
              <w:rPr>
                <w:rFonts w:cs="Arial"/>
                <w:sz w:val="20"/>
                <w:szCs w:val="20"/>
              </w:rPr>
            </w:pPr>
            <w:r w:rsidRPr="000E341C">
              <w:rPr>
                <w:rFonts w:cs="Arial"/>
                <w:sz w:val="20"/>
                <w:szCs w:val="20"/>
              </w:rPr>
              <w:t>186</w:t>
            </w:r>
          </w:p>
        </w:tc>
        <w:tc>
          <w:tcPr>
            <w:tcW w:w="2126" w:type="dxa"/>
            <w:vAlign w:val="center"/>
          </w:tcPr>
          <w:p w14:paraId="5D24BCE7" w14:textId="77777777" w:rsidR="002C7037" w:rsidRPr="000E341C" w:rsidRDefault="002C7037" w:rsidP="000E341C">
            <w:pPr>
              <w:spacing w:after="0"/>
              <w:jc w:val="center"/>
              <w:rPr>
                <w:rFonts w:cs="Arial"/>
                <w:sz w:val="20"/>
                <w:szCs w:val="20"/>
              </w:rPr>
            </w:pPr>
            <w:r w:rsidRPr="000E341C">
              <w:rPr>
                <w:rFonts w:cs="Arial"/>
                <w:sz w:val="20"/>
                <w:szCs w:val="20"/>
              </w:rPr>
              <w:t>Sudán del Sur</w:t>
            </w:r>
          </w:p>
        </w:tc>
        <w:tc>
          <w:tcPr>
            <w:tcW w:w="1276" w:type="dxa"/>
            <w:vAlign w:val="center"/>
          </w:tcPr>
          <w:p w14:paraId="656FD178" w14:textId="77777777" w:rsidR="002C7037" w:rsidRPr="000E341C" w:rsidRDefault="002C7037" w:rsidP="000E341C">
            <w:pPr>
              <w:spacing w:after="0"/>
              <w:jc w:val="center"/>
              <w:rPr>
                <w:rFonts w:cs="Arial"/>
                <w:sz w:val="20"/>
                <w:szCs w:val="20"/>
              </w:rPr>
            </w:pPr>
            <w:r w:rsidRPr="000E341C">
              <w:rPr>
                <w:rFonts w:cs="Arial"/>
                <w:sz w:val="20"/>
                <w:szCs w:val="20"/>
              </w:rPr>
              <w:t>130</w:t>
            </w:r>
          </w:p>
        </w:tc>
      </w:tr>
      <w:tr w:rsidR="002C7037" w:rsidRPr="00E700AC" w14:paraId="2A6FE233" w14:textId="77777777" w:rsidTr="00465C19">
        <w:trPr>
          <w:trHeight w:val="283"/>
          <w:jc w:val="center"/>
        </w:trPr>
        <w:tc>
          <w:tcPr>
            <w:tcW w:w="2830" w:type="dxa"/>
            <w:vAlign w:val="center"/>
          </w:tcPr>
          <w:p w14:paraId="2A2F2C30" w14:textId="77777777" w:rsidR="002C7037" w:rsidRPr="000E341C" w:rsidRDefault="002C7037" w:rsidP="000E341C">
            <w:pPr>
              <w:spacing w:after="0"/>
              <w:jc w:val="center"/>
              <w:rPr>
                <w:rFonts w:cs="Arial"/>
                <w:sz w:val="20"/>
                <w:szCs w:val="20"/>
              </w:rPr>
            </w:pPr>
            <w:r w:rsidRPr="000E341C">
              <w:rPr>
                <w:rFonts w:cs="Arial"/>
                <w:sz w:val="20"/>
                <w:szCs w:val="20"/>
              </w:rPr>
              <w:lastRenderedPageBreak/>
              <w:t>Guinea Ecuatorial</w:t>
            </w:r>
          </w:p>
        </w:tc>
        <w:tc>
          <w:tcPr>
            <w:tcW w:w="1276" w:type="dxa"/>
            <w:vAlign w:val="center"/>
          </w:tcPr>
          <w:p w14:paraId="6EBEF37E" w14:textId="77777777" w:rsidR="002C7037" w:rsidRPr="000E341C" w:rsidRDefault="002C7037" w:rsidP="000E341C">
            <w:pPr>
              <w:spacing w:after="0"/>
              <w:jc w:val="center"/>
              <w:rPr>
                <w:rFonts w:cs="Arial"/>
                <w:sz w:val="20"/>
                <w:szCs w:val="20"/>
              </w:rPr>
            </w:pPr>
            <w:r w:rsidRPr="000E341C">
              <w:rPr>
                <w:rFonts w:cs="Arial"/>
                <w:sz w:val="20"/>
                <w:szCs w:val="20"/>
              </w:rPr>
              <w:t>127</w:t>
            </w:r>
          </w:p>
        </w:tc>
        <w:tc>
          <w:tcPr>
            <w:tcW w:w="2126" w:type="dxa"/>
            <w:vAlign w:val="center"/>
          </w:tcPr>
          <w:p w14:paraId="2E90229C" w14:textId="77777777" w:rsidR="002C7037" w:rsidRPr="000E341C" w:rsidRDefault="002C7037" w:rsidP="000E341C">
            <w:pPr>
              <w:spacing w:after="0"/>
              <w:jc w:val="center"/>
              <w:rPr>
                <w:rFonts w:cs="Arial"/>
                <w:sz w:val="20"/>
                <w:szCs w:val="20"/>
              </w:rPr>
            </w:pPr>
            <w:r w:rsidRPr="000E341C">
              <w:rPr>
                <w:rFonts w:cs="Arial"/>
                <w:sz w:val="20"/>
                <w:szCs w:val="20"/>
              </w:rPr>
              <w:t>OPEP 10</w:t>
            </w:r>
          </w:p>
        </w:tc>
        <w:tc>
          <w:tcPr>
            <w:tcW w:w="1276" w:type="dxa"/>
            <w:vAlign w:val="center"/>
          </w:tcPr>
          <w:p w14:paraId="6A8C7BA2" w14:textId="77777777" w:rsidR="002C7037" w:rsidRPr="000E341C" w:rsidRDefault="002C7037" w:rsidP="000E341C">
            <w:pPr>
              <w:spacing w:after="0"/>
              <w:jc w:val="center"/>
              <w:rPr>
                <w:rFonts w:cs="Arial"/>
                <w:sz w:val="20"/>
                <w:szCs w:val="20"/>
              </w:rPr>
            </w:pPr>
            <w:r w:rsidRPr="000E341C">
              <w:rPr>
                <w:rFonts w:cs="Arial"/>
                <w:sz w:val="20"/>
                <w:szCs w:val="20"/>
              </w:rPr>
              <w:t>26 689</w:t>
            </w:r>
          </w:p>
        </w:tc>
      </w:tr>
      <w:tr w:rsidR="002C7037" w:rsidRPr="00E700AC" w14:paraId="395DC5C2" w14:textId="77777777" w:rsidTr="00465C19">
        <w:trPr>
          <w:trHeight w:val="283"/>
          <w:jc w:val="center"/>
        </w:trPr>
        <w:tc>
          <w:tcPr>
            <w:tcW w:w="2830" w:type="dxa"/>
            <w:vAlign w:val="center"/>
          </w:tcPr>
          <w:p w14:paraId="21458B08" w14:textId="77777777" w:rsidR="002C7037" w:rsidRPr="000E341C" w:rsidRDefault="002C7037" w:rsidP="000E341C">
            <w:pPr>
              <w:spacing w:after="0"/>
              <w:jc w:val="center"/>
              <w:rPr>
                <w:rFonts w:cs="Arial"/>
                <w:sz w:val="20"/>
                <w:szCs w:val="20"/>
              </w:rPr>
            </w:pPr>
            <w:r w:rsidRPr="000E341C">
              <w:rPr>
                <w:rFonts w:cs="Arial"/>
                <w:sz w:val="20"/>
                <w:szCs w:val="20"/>
              </w:rPr>
              <w:t>Iraq</w:t>
            </w:r>
          </w:p>
        </w:tc>
        <w:tc>
          <w:tcPr>
            <w:tcW w:w="1276" w:type="dxa"/>
            <w:vAlign w:val="center"/>
          </w:tcPr>
          <w:p w14:paraId="03F376D8" w14:textId="77777777" w:rsidR="002C7037" w:rsidRPr="000E341C" w:rsidRDefault="002C7037" w:rsidP="000E341C">
            <w:pPr>
              <w:spacing w:after="0"/>
              <w:jc w:val="center"/>
              <w:rPr>
                <w:rFonts w:cs="Arial"/>
                <w:sz w:val="20"/>
                <w:szCs w:val="20"/>
              </w:rPr>
            </w:pPr>
            <w:r w:rsidRPr="000E341C">
              <w:rPr>
                <w:rFonts w:cs="Arial"/>
                <w:sz w:val="20"/>
                <w:szCs w:val="20"/>
              </w:rPr>
              <w:t>4 651</w:t>
            </w:r>
          </w:p>
        </w:tc>
        <w:tc>
          <w:tcPr>
            <w:tcW w:w="2126" w:type="dxa"/>
            <w:vAlign w:val="center"/>
          </w:tcPr>
          <w:p w14:paraId="2E22F424" w14:textId="77777777" w:rsidR="002C7037" w:rsidRPr="000E341C" w:rsidRDefault="002C7037" w:rsidP="000E341C">
            <w:pPr>
              <w:spacing w:after="0"/>
              <w:jc w:val="center"/>
              <w:rPr>
                <w:rFonts w:cs="Arial"/>
                <w:sz w:val="20"/>
                <w:szCs w:val="20"/>
              </w:rPr>
            </w:pPr>
            <w:r w:rsidRPr="000E341C">
              <w:rPr>
                <w:rFonts w:cs="Arial"/>
                <w:sz w:val="20"/>
                <w:szCs w:val="20"/>
              </w:rPr>
              <w:t>No OPEP</w:t>
            </w:r>
          </w:p>
        </w:tc>
        <w:tc>
          <w:tcPr>
            <w:tcW w:w="1276" w:type="dxa"/>
            <w:vAlign w:val="center"/>
          </w:tcPr>
          <w:p w14:paraId="0DFCE159" w14:textId="431B0453" w:rsidR="002C7037" w:rsidRPr="000E341C" w:rsidRDefault="002C7037" w:rsidP="000E341C">
            <w:pPr>
              <w:spacing w:after="0"/>
              <w:jc w:val="center"/>
              <w:rPr>
                <w:rFonts w:cs="Arial"/>
                <w:sz w:val="20"/>
                <w:szCs w:val="20"/>
              </w:rPr>
            </w:pPr>
            <w:r w:rsidRPr="000E341C">
              <w:rPr>
                <w:rFonts w:cs="Arial"/>
                <w:sz w:val="20"/>
                <w:szCs w:val="20"/>
              </w:rPr>
              <w:t>17</w:t>
            </w:r>
            <w:r w:rsidR="00F4783C" w:rsidRPr="000E341C">
              <w:rPr>
                <w:rFonts w:cs="Arial"/>
                <w:sz w:val="20"/>
                <w:szCs w:val="20"/>
              </w:rPr>
              <w:t xml:space="preserve"> </w:t>
            </w:r>
            <w:r w:rsidRPr="000E341C">
              <w:rPr>
                <w:rFonts w:cs="Arial"/>
                <w:sz w:val="20"/>
                <w:szCs w:val="20"/>
              </w:rPr>
              <w:t>165</w:t>
            </w:r>
          </w:p>
        </w:tc>
      </w:tr>
      <w:tr w:rsidR="002C7037" w:rsidRPr="00E700AC" w14:paraId="114D1DB2" w14:textId="77777777" w:rsidTr="00465C19">
        <w:trPr>
          <w:trHeight w:val="283"/>
          <w:jc w:val="center"/>
        </w:trPr>
        <w:tc>
          <w:tcPr>
            <w:tcW w:w="2830" w:type="dxa"/>
            <w:vAlign w:val="center"/>
          </w:tcPr>
          <w:p w14:paraId="5D7886AE" w14:textId="77777777" w:rsidR="002C7037" w:rsidRPr="00E700AC" w:rsidRDefault="002C7037" w:rsidP="000E341C">
            <w:pPr>
              <w:spacing w:after="0"/>
              <w:jc w:val="center"/>
              <w:rPr>
                <w:rFonts w:cs="Arial"/>
                <w:b/>
                <w:bCs/>
              </w:rPr>
            </w:pPr>
          </w:p>
        </w:tc>
        <w:tc>
          <w:tcPr>
            <w:tcW w:w="1276" w:type="dxa"/>
            <w:vAlign w:val="center"/>
          </w:tcPr>
          <w:p w14:paraId="73D3ADEE" w14:textId="77777777" w:rsidR="002C7037" w:rsidRPr="00E700AC" w:rsidRDefault="002C7037" w:rsidP="000E341C">
            <w:pPr>
              <w:spacing w:after="0"/>
              <w:jc w:val="center"/>
              <w:rPr>
                <w:rFonts w:cs="Arial"/>
                <w:b/>
                <w:bCs/>
              </w:rPr>
            </w:pPr>
          </w:p>
        </w:tc>
        <w:tc>
          <w:tcPr>
            <w:tcW w:w="2126" w:type="dxa"/>
            <w:shd w:val="clear" w:color="auto" w:fill="D9D9D9" w:themeFill="background1" w:themeFillShade="D9"/>
            <w:vAlign w:val="center"/>
          </w:tcPr>
          <w:p w14:paraId="1AC472CF" w14:textId="77777777" w:rsidR="002C7037" w:rsidRPr="00E700AC" w:rsidRDefault="002C7037" w:rsidP="000E341C">
            <w:pPr>
              <w:spacing w:after="0"/>
              <w:jc w:val="center"/>
              <w:rPr>
                <w:rFonts w:cs="Arial"/>
                <w:b/>
                <w:bCs/>
              </w:rPr>
            </w:pPr>
            <w:r w:rsidRPr="00E700AC">
              <w:rPr>
                <w:rFonts w:cs="Arial"/>
                <w:b/>
                <w:bCs/>
              </w:rPr>
              <w:t>OPEP +</w:t>
            </w:r>
          </w:p>
        </w:tc>
        <w:tc>
          <w:tcPr>
            <w:tcW w:w="1276" w:type="dxa"/>
            <w:shd w:val="clear" w:color="auto" w:fill="D9D9D9" w:themeFill="background1" w:themeFillShade="D9"/>
            <w:vAlign w:val="center"/>
          </w:tcPr>
          <w:p w14:paraId="7D751FAD" w14:textId="77777777" w:rsidR="002C7037" w:rsidRPr="00E700AC" w:rsidRDefault="002C7037" w:rsidP="000E341C">
            <w:pPr>
              <w:spacing w:after="0"/>
              <w:jc w:val="center"/>
              <w:rPr>
                <w:rFonts w:cs="Arial"/>
                <w:b/>
                <w:bCs/>
              </w:rPr>
            </w:pPr>
            <w:r w:rsidRPr="00E700AC">
              <w:rPr>
                <w:rFonts w:cs="Arial"/>
                <w:b/>
                <w:bCs/>
              </w:rPr>
              <w:t>43 854</w:t>
            </w:r>
          </w:p>
        </w:tc>
      </w:tr>
    </w:tbl>
    <w:p w14:paraId="5678F43A" w14:textId="77777777" w:rsidR="002C7037" w:rsidRPr="00440E1D" w:rsidRDefault="002C7037" w:rsidP="002C7037">
      <w:pPr>
        <w:spacing w:after="0" w:line="240" w:lineRule="auto"/>
        <w:rPr>
          <w:rFonts w:cs="Arial"/>
          <w:lang w:val="es"/>
        </w:rPr>
      </w:pPr>
    </w:p>
    <w:p w14:paraId="793E489B" w14:textId="77777777" w:rsidR="002C7037" w:rsidRPr="00440E1D" w:rsidRDefault="002C7037" w:rsidP="002C7037">
      <w:pPr>
        <w:spacing w:after="0" w:line="240" w:lineRule="auto"/>
        <w:rPr>
          <w:rFonts w:cs="Arial"/>
          <w:lang w:val="es"/>
        </w:rPr>
      </w:pPr>
    </w:p>
    <w:p w14:paraId="657465F5" w14:textId="77777777" w:rsidR="002C7037" w:rsidRPr="00440E1D" w:rsidRDefault="002C7037" w:rsidP="002C7037">
      <w:pPr>
        <w:spacing w:after="0" w:line="240" w:lineRule="auto"/>
        <w:rPr>
          <w:rFonts w:cs="Arial"/>
          <w:lang w:val="es"/>
        </w:rPr>
      </w:pPr>
      <w:r w:rsidRPr="00440E1D">
        <w:rPr>
          <w:rFonts w:cs="Arial"/>
          <w:lang w:val="es"/>
        </w:rPr>
        <w:t>Se espera que la mayor parte del recorte de la OPEP lo asuma</w:t>
      </w:r>
      <w:r>
        <w:rPr>
          <w:rFonts w:cs="Arial"/>
          <w:lang w:val="es"/>
        </w:rPr>
        <w:t>n</w:t>
      </w:r>
      <w:r w:rsidRPr="00440E1D">
        <w:rPr>
          <w:rFonts w:cs="Arial"/>
          <w:lang w:val="es"/>
        </w:rPr>
        <w:t xml:space="preserve"> Arabia Saudita, Kuwait y los Emiratos Árabes Unidos mientras que del resto de integrantes no sufrirá mayor cambio.</w:t>
      </w:r>
    </w:p>
    <w:p w14:paraId="3D784763" w14:textId="77777777" w:rsidR="002C7037" w:rsidRPr="00440E1D" w:rsidRDefault="002C7037" w:rsidP="002C7037">
      <w:pPr>
        <w:spacing w:after="0" w:line="240" w:lineRule="auto"/>
        <w:rPr>
          <w:rFonts w:cs="Arial"/>
          <w:lang w:val="es"/>
        </w:rPr>
      </w:pPr>
    </w:p>
    <w:p w14:paraId="560E73D3" w14:textId="64BAE7EC" w:rsidR="002C7037" w:rsidRPr="00440E1D" w:rsidRDefault="03F12F47" w:rsidP="002C7037">
      <w:pPr>
        <w:spacing w:after="0" w:line="240" w:lineRule="auto"/>
        <w:rPr>
          <w:rFonts w:cs="Arial"/>
          <w:lang w:val="es"/>
        </w:rPr>
      </w:pPr>
      <w:r w:rsidRPr="03F12F47">
        <w:rPr>
          <w:rFonts w:cs="Arial"/>
          <w:lang w:val="es"/>
        </w:rPr>
        <w:t xml:space="preserve">En cuanto a los integrantes de la OPEP+ la mayor reducción provendría de Rusia donde se espera que baje a 9,5 millones de barriles diarios para el primer trimestre del 2023.  Así mismo, se hace referencia importante al impulso que podría incorporar Venezuela en la OPEP, ya que, se espera una media de 0,8 millones de barriles por día adicionales.  Lo anterior debido a la licencia otorgada a Chevron para reanudar operaciones en ese país. </w:t>
      </w:r>
    </w:p>
    <w:p w14:paraId="037E395A" w14:textId="77777777" w:rsidR="002C7037" w:rsidRPr="00440E1D" w:rsidRDefault="002C7037" w:rsidP="002C7037">
      <w:pPr>
        <w:spacing w:after="0" w:line="240" w:lineRule="auto"/>
        <w:rPr>
          <w:rFonts w:cs="Arial"/>
          <w:lang w:val="es"/>
        </w:rPr>
      </w:pPr>
    </w:p>
    <w:p w14:paraId="1C6AE10D" w14:textId="55369554" w:rsidR="002C7037" w:rsidRDefault="03F12F47" w:rsidP="002C7037">
      <w:pPr>
        <w:spacing w:after="0" w:line="240" w:lineRule="auto"/>
        <w:rPr>
          <w:rFonts w:cs="Arial"/>
          <w:lang w:val="es"/>
        </w:rPr>
      </w:pPr>
      <w:r w:rsidRPr="03F12F47">
        <w:rPr>
          <w:rFonts w:cs="Arial"/>
          <w:lang w:val="es"/>
        </w:rPr>
        <w:t>En el gráfico N°11 se presenta el comportamiento por bloques.</w:t>
      </w:r>
    </w:p>
    <w:p w14:paraId="4B4881C5" w14:textId="77777777" w:rsidR="002C7037" w:rsidRPr="00E700AC" w:rsidRDefault="002C7037" w:rsidP="002C7037">
      <w:pPr>
        <w:spacing w:after="0" w:line="240" w:lineRule="auto"/>
        <w:rPr>
          <w:rFonts w:cs="Arial"/>
          <w:lang w:val="es"/>
        </w:rPr>
      </w:pPr>
    </w:p>
    <w:p w14:paraId="37A7386F" w14:textId="77777777" w:rsidR="002C7037" w:rsidRDefault="002C7037" w:rsidP="002C7037">
      <w:pPr>
        <w:spacing w:after="0"/>
        <w:jc w:val="center"/>
        <w:rPr>
          <w:b/>
          <w:sz w:val="20"/>
          <w:lang w:val="es-MX"/>
        </w:rPr>
      </w:pPr>
    </w:p>
    <w:p w14:paraId="252CDA4F" w14:textId="4043974E" w:rsidR="002C7037" w:rsidRPr="00C64831" w:rsidRDefault="03F12F47" w:rsidP="03F12F47">
      <w:pPr>
        <w:spacing w:after="0"/>
        <w:jc w:val="center"/>
        <w:rPr>
          <w:b/>
          <w:bCs/>
          <w:sz w:val="20"/>
          <w:szCs w:val="20"/>
          <w:lang w:val="es-MX"/>
        </w:rPr>
      </w:pPr>
      <w:r w:rsidRPr="03F12F47">
        <w:rPr>
          <w:b/>
          <w:bCs/>
          <w:sz w:val="20"/>
          <w:szCs w:val="20"/>
          <w:lang w:val="es-MX"/>
        </w:rPr>
        <w:t>Gráfico N°11. Producción de petróleo, según bloque productor al 2021, 2022, 2023 proyectado real)</w:t>
      </w:r>
    </w:p>
    <w:p w14:paraId="44BFD653" w14:textId="77777777" w:rsidR="002C7037" w:rsidRDefault="002C7037" w:rsidP="002C7037"/>
    <w:p w14:paraId="0E8E0EE3" w14:textId="336D0407" w:rsidR="002C7037" w:rsidRDefault="002C7037" w:rsidP="002C7037">
      <w:pPr>
        <w:jc w:val="center"/>
        <w:rPr>
          <w:rFonts w:cs="Calibri Light"/>
          <w:sz w:val="18"/>
          <w:szCs w:val="18"/>
        </w:rPr>
      </w:pPr>
      <w:r w:rsidRPr="00086CE6">
        <w:rPr>
          <w:noProof/>
        </w:rPr>
        <w:drawing>
          <wp:inline distT="0" distB="0" distL="0" distR="0" wp14:anchorId="560E5916" wp14:editId="11F9B3A2">
            <wp:extent cx="5521325" cy="2973070"/>
            <wp:effectExtent l="0" t="0" r="3175" b="17780"/>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DDE10B" w14:textId="77777777" w:rsidR="002C7037" w:rsidRDefault="002C7037" w:rsidP="002C7037">
      <w:pPr>
        <w:rPr>
          <w:rFonts w:cs="Calibri Light"/>
          <w:sz w:val="18"/>
          <w:szCs w:val="18"/>
        </w:rPr>
      </w:pPr>
      <w:r w:rsidRPr="008F1A38">
        <w:rPr>
          <w:rFonts w:cs="Calibri Light"/>
          <w:sz w:val="18"/>
          <w:szCs w:val="18"/>
        </w:rPr>
        <w:t>Fuente: Departamento de Energía de los Estados Unidos, informe de enero del 2023.</w:t>
      </w:r>
    </w:p>
    <w:p w14:paraId="2D0F673F" w14:textId="77777777" w:rsidR="002C7037" w:rsidRPr="00341E2D" w:rsidRDefault="002C7037" w:rsidP="000E341C">
      <w:pPr>
        <w:spacing w:after="0"/>
      </w:pPr>
    </w:p>
    <w:p w14:paraId="42F8A64A" w14:textId="77777777" w:rsidR="002C7037" w:rsidRPr="00341E2D" w:rsidRDefault="002C7037" w:rsidP="000D6E36">
      <w:pPr>
        <w:pStyle w:val="Ttulo3"/>
        <w:spacing w:after="0"/>
        <w:rPr>
          <w:lang w:val="es-MX"/>
        </w:rPr>
      </w:pPr>
      <w:r w:rsidRPr="00341E2D">
        <w:rPr>
          <w:lang w:val="es-MX"/>
        </w:rPr>
        <w:t>d. Márgenes de Refinación</w:t>
      </w:r>
    </w:p>
    <w:p w14:paraId="58104CE2" w14:textId="77777777" w:rsidR="002C7037" w:rsidRPr="00341E2D" w:rsidRDefault="002C7037" w:rsidP="002C7037">
      <w:pPr>
        <w:rPr>
          <w:lang w:val="es-MX"/>
        </w:rPr>
      </w:pPr>
    </w:p>
    <w:p w14:paraId="04625871" w14:textId="77777777" w:rsidR="002C7037" w:rsidRPr="00341E2D" w:rsidRDefault="002C7037" w:rsidP="002C7037">
      <w:pPr>
        <w:spacing w:after="0" w:line="240" w:lineRule="auto"/>
        <w:rPr>
          <w:rFonts w:cs="Arial"/>
          <w:lang w:val="es-MX"/>
        </w:rPr>
      </w:pPr>
      <w:r w:rsidRPr="00341E2D">
        <w:rPr>
          <w:rFonts w:cs="Arial"/>
          <w:lang w:val="es-MX"/>
        </w:rPr>
        <w:t xml:space="preserve">Los precios de la gasolina y diésel han mostrado un comportamiento volátil en el último trimestre del año 2022 e inicios del 2023.  Se reporta que las tasas de utilización de este </w:t>
      </w:r>
      <w:r w:rsidRPr="00341E2D">
        <w:rPr>
          <w:rFonts w:cs="Arial"/>
          <w:lang w:val="es-MX"/>
        </w:rPr>
        <w:lastRenderedPageBreak/>
        <w:t>año han sido inusualmente altas manteniéndose cerca del del 90%.  En Estados Unidos la presión política por bajar los precios ha maximizado la presión sobre el uso de las refinerías.</w:t>
      </w:r>
    </w:p>
    <w:p w14:paraId="4BE78E76" w14:textId="77777777" w:rsidR="002C7037" w:rsidRPr="00341E2D" w:rsidRDefault="002C7037" w:rsidP="002C7037">
      <w:pPr>
        <w:spacing w:after="0" w:line="240" w:lineRule="auto"/>
        <w:rPr>
          <w:rFonts w:cs="Arial"/>
          <w:lang w:val="es-MX"/>
        </w:rPr>
      </w:pPr>
    </w:p>
    <w:p w14:paraId="6E8DE793" w14:textId="4CE74D0B" w:rsidR="002C7037" w:rsidRPr="00E700AC" w:rsidRDefault="002C7037" w:rsidP="03F12F47">
      <w:pPr>
        <w:spacing w:after="0" w:line="240" w:lineRule="auto"/>
        <w:rPr>
          <w:rFonts w:cs="Arial"/>
          <w:lang w:val="es-MX"/>
        </w:rPr>
      </w:pPr>
    </w:p>
    <w:p w14:paraId="60729D81" w14:textId="47EEC497" w:rsidR="002C7037" w:rsidRPr="00C64831" w:rsidRDefault="03F12F47" w:rsidP="03F12F47">
      <w:pPr>
        <w:spacing w:after="0" w:line="240" w:lineRule="auto"/>
        <w:contextualSpacing/>
        <w:rPr>
          <w:b/>
          <w:bCs/>
          <w:lang w:val="es-MX"/>
        </w:rPr>
      </w:pPr>
      <w:r w:rsidRPr="03F12F47">
        <w:rPr>
          <w:b/>
          <w:bCs/>
          <w:lang w:val="es-MX"/>
        </w:rPr>
        <w:t xml:space="preserve">Gráfico </w:t>
      </w:r>
      <w:r w:rsidRPr="03F12F47">
        <w:rPr>
          <w:rFonts w:cs="Calibri Light"/>
          <w:b/>
          <w:bCs/>
          <w:sz w:val="20"/>
          <w:szCs w:val="20"/>
        </w:rPr>
        <w:t>N°12</w:t>
      </w:r>
      <w:r w:rsidRPr="03F12F47">
        <w:rPr>
          <w:b/>
          <w:bCs/>
          <w:lang w:val="es-MX"/>
        </w:rPr>
        <w:t>. Diferencial de precios entre los productos y el crudo Brent</w:t>
      </w:r>
    </w:p>
    <w:p w14:paraId="281141F8" w14:textId="77777777" w:rsidR="002C7037" w:rsidRDefault="002C7037" w:rsidP="002C7037">
      <w:pPr>
        <w:contextualSpacing/>
        <w:jc w:val="center"/>
        <w:rPr>
          <w:lang w:val="es-MX"/>
        </w:rPr>
      </w:pPr>
    </w:p>
    <w:p w14:paraId="391C9458" w14:textId="42D2140F" w:rsidR="002C7037" w:rsidRDefault="002C7037" w:rsidP="002C7037">
      <w:pPr>
        <w:contextualSpacing/>
        <w:jc w:val="center"/>
        <w:rPr>
          <w:lang w:val="es-MX"/>
        </w:rPr>
      </w:pPr>
      <w:r w:rsidRPr="00086CE6">
        <w:rPr>
          <w:noProof/>
        </w:rPr>
        <w:drawing>
          <wp:inline distT="0" distB="0" distL="0" distR="0" wp14:anchorId="7F7C974D" wp14:editId="4CEDE406">
            <wp:extent cx="5400675" cy="2880360"/>
            <wp:effectExtent l="0" t="0" r="0" b="0"/>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586B87" w14:textId="2C33BBBD" w:rsidR="00417232" w:rsidRDefault="00417232" w:rsidP="002C7037">
      <w:pPr>
        <w:contextualSpacing/>
        <w:jc w:val="center"/>
        <w:rPr>
          <w:lang w:val="es-MX"/>
        </w:rPr>
      </w:pPr>
    </w:p>
    <w:p w14:paraId="7F69319D" w14:textId="77777777" w:rsidR="00417232" w:rsidRDefault="03F12F47" w:rsidP="00417232">
      <w:pPr>
        <w:spacing w:after="0" w:line="240" w:lineRule="auto"/>
        <w:rPr>
          <w:rFonts w:cs="Arial"/>
          <w:lang w:val="es-MX"/>
        </w:rPr>
      </w:pPr>
      <w:r w:rsidRPr="03F12F47">
        <w:rPr>
          <w:rFonts w:cs="Arial"/>
          <w:lang w:val="es-MX"/>
        </w:rPr>
        <w:t>La Administración de Información Energética de los Estados Unidos ha informado en el informe del mes de enero del 2023 que los márgenes de las refinadoras de gasolina disminuirán un 29% y un 20% para el diésel a partir de este año 2023 a medida que la producción de las refinerías siga siendo mayor de lo habitual debido a los sólidos márgenes de refinación obtenidos.</w:t>
      </w:r>
    </w:p>
    <w:p w14:paraId="01A1452E" w14:textId="77777777" w:rsidR="00417232" w:rsidRPr="00E700AC" w:rsidRDefault="00417232" w:rsidP="00417232">
      <w:pPr>
        <w:spacing w:after="0" w:line="240" w:lineRule="auto"/>
        <w:rPr>
          <w:rFonts w:cs="Arial"/>
          <w:lang w:val="es-MX"/>
        </w:rPr>
      </w:pPr>
    </w:p>
    <w:p w14:paraId="22E7B3FA" w14:textId="77777777" w:rsidR="00417232" w:rsidRDefault="16155265" w:rsidP="00417232">
      <w:pPr>
        <w:spacing w:after="0" w:line="240" w:lineRule="auto"/>
        <w:rPr>
          <w:rFonts w:cs="Arial"/>
          <w:lang w:val="es-MX"/>
        </w:rPr>
      </w:pPr>
      <w:r w:rsidRPr="16155265">
        <w:rPr>
          <w:rFonts w:cs="Arial"/>
          <w:lang w:val="es-MX"/>
        </w:rPr>
        <w:t>Finalmente, se espera que para este año 2023 Medio Oriente, China y los Estados Unidos pongan en funcionamiento nueva capacidad de refinación lo que contribuiría adicionalmente a disminuir aún más los márgenes de refinación del mercado.</w:t>
      </w:r>
    </w:p>
    <w:p w14:paraId="039170CD" w14:textId="33529FA1" w:rsidR="16155265" w:rsidRDefault="16155265" w:rsidP="16155265">
      <w:pPr>
        <w:spacing w:after="0" w:line="240" w:lineRule="auto"/>
        <w:rPr>
          <w:rFonts w:cs="Arial"/>
          <w:lang w:val="es-MX"/>
        </w:rPr>
      </w:pPr>
    </w:p>
    <w:p w14:paraId="1156E934" w14:textId="4BC7946F" w:rsidR="006546BC" w:rsidRDefault="16155265" w:rsidP="000E341C">
      <w:pPr>
        <w:spacing w:after="0" w:line="240" w:lineRule="auto"/>
        <w:rPr>
          <w:rFonts w:cs="Arial"/>
          <w:lang w:val="es-MX"/>
        </w:rPr>
      </w:pPr>
      <w:bookmarkStart w:id="316" w:name="_Toc4427146"/>
      <w:bookmarkStart w:id="317" w:name="_Toc58835958"/>
      <w:bookmarkEnd w:id="314"/>
      <w:bookmarkEnd w:id="316"/>
      <w:bookmarkEnd w:id="317"/>
      <w:r w:rsidRPr="000E341C">
        <w:rPr>
          <w:b/>
          <w:bCs/>
          <w:lang w:val="es-MX"/>
        </w:rPr>
        <w:t xml:space="preserve">e. </w:t>
      </w:r>
      <w:r w:rsidRPr="16155265">
        <w:rPr>
          <w:b/>
          <w:bCs/>
          <w:lang w:val="es-MX"/>
        </w:rPr>
        <w:t>Comportamiento del precio del dólar</w:t>
      </w:r>
    </w:p>
    <w:p w14:paraId="1620FA5D" w14:textId="106A7DFF" w:rsidR="006546BC" w:rsidRDefault="006546BC" w:rsidP="16155265">
      <w:pPr>
        <w:spacing w:after="0" w:line="240" w:lineRule="auto"/>
        <w:rPr>
          <w:rFonts w:cs="Arial"/>
          <w:lang w:val="es-MX"/>
        </w:rPr>
      </w:pPr>
    </w:p>
    <w:p w14:paraId="7ADAE349" w14:textId="0E91BC9A" w:rsidR="006546BC" w:rsidRDefault="16155265" w:rsidP="16155265">
      <w:pPr>
        <w:spacing w:after="0" w:line="240" w:lineRule="auto"/>
        <w:rPr>
          <w:rFonts w:cs="Arial"/>
          <w:lang w:val="es-MX"/>
        </w:rPr>
      </w:pPr>
      <w:r w:rsidRPr="16155265">
        <w:rPr>
          <w:rFonts w:cs="Arial"/>
          <w:lang w:val="es-MX"/>
        </w:rPr>
        <w:t>El valor del dólar en el 2022 mostró un comportamiento alcista al menos hasta mediados de año (según el tipo de cambio multilateral) , muchos países vieron depreciar o devaluar sus monedas frente al dólar}, sin embargo, en meses recientes el fenómeno se revirtió parcialmente.  Un dólar más débil potencia valores nominales de los crudos más altos y viceversa.</w:t>
      </w:r>
    </w:p>
    <w:p w14:paraId="446248D0" w14:textId="77777777" w:rsidR="0084688C" w:rsidRDefault="0084688C" w:rsidP="000E341C">
      <w:pPr>
        <w:spacing w:after="0"/>
        <w:rPr>
          <w:rFonts w:cs="Arial"/>
          <w:bCs/>
          <w:lang w:val="es-MX"/>
        </w:rPr>
      </w:pPr>
    </w:p>
    <w:bookmarkEnd w:id="315"/>
    <w:p w14:paraId="6D04F4EB" w14:textId="77777777" w:rsidR="00AD3638" w:rsidRPr="006E6390" w:rsidRDefault="00AD3638" w:rsidP="000E341C">
      <w:pPr>
        <w:spacing w:after="0"/>
      </w:pPr>
    </w:p>
    <w:p w14:paraId="7234C11F" w14:textId="627E758F" w:rsidR="00AD3638" w:rsidRPr="006E6390" w:rsidRDefault="03F12F47" w:rsidP="03F12F47">
      <w:pPr>
        <w:spacing w:line="240" w:lineRule="auto"/>
        <w:ind w:right="-96"/>
        <w:contextualSpacing/>
        <w:jc w:val="center"/>
        <w:rPr>
          <w:rFonts w:cs="Calibri Light"/>
          <w:b/>
          <w:bCs/>
          <w:sz w:val="20"/>
          <w:szCs w:val="20"/>
        </w:rPr>
      </w:pPr>
      <w:r w:rsidRPr="03F12F47">
        <w:rPr>
          <w:rFonts w:cs="Calibri Light"/>
          <w:b/>
          <w:bCs/>
          <w:sz w:val="20"/>
          <w:szCs w:val="20"/>
        </w:rPr>
        <w:t>Gráfico N°13. Tipo de Cambio Multilateral de Estados Unidos y el precio de los crudos Brent y WTI (enero 2012-enero 2023)</w:t>
      </w:r>
    </w:p>
    <w:p w14:paraId="2A0B36B5" w14:textId="77777777" w:rsidR="0051514D" w:rsidRDefault="0051514D" w:rsidP="00AD3638">
      <w:pPr>
        <w:spacing w:before="240" w:line="240" w:lineRule="auto"/>
        <w:ind w:right="-96"/>
        <w:contextualSpacing/>
        <w:jc w:val="center"/>
        <w:rPr>
          <w:rFonts w:cs="Calibri Light"/>
          <w:sz w:val="18"/>
          <w:szCs w:val="18"/>
          <w:shd w:val="clear" w:color="auto" w:fill="FFFFFF"/>
        </w:rPr>
      </w:pPr>
    </w:p>
    <w:p w14:paraId="0B3E79A0" w14:textId="77777777" w:rsidR="0051514D" w:rsidRDefault="0051514D" w:rsidP="00AD3638">
      <w:pPr>
        <w:spacing w:before="240" w:line="240" w:lineRule="auto"/>
        <w:ind w:right="-96"/>
        <w:contextualSpacing/>
        <w:jc w:val="center"/>
        <w:rPr>
          <w:rFonts w:cs="Calibri Light"/>
          <w:sz w:val="18"/>
          <w:szCs w:val="18"/>
          <w:shd w:val="clear" w:color="auto" w:fill="FFFFFF"/>
        </w:rPr>
      </w:pPr>
      <w:r>
        <w:rPr>
          <w:noProof/>
        </w:rPr>
        <w:lastRenderedPageBreak/>
        <w:drawing>
          <wp:inline distT="0" distB="0" distL="0" distR="0" wp14:anchorId="41A2701B" wp14:editId="0FB38385">
            <wp:extent cx="5580000" cy="3060000"/>
            <wp:effectExtent l="0" t="0" r="1905" b="7620"/>
            <wp:docPr id="31" name="Gráfico 31">
              <a:extLst xmlns:a="http://schemas.openxmlformats.org/drawingml/2006/main">
                <a:ext uri="{FF2B5EF4-FFF2-40B4-BE49-F238E27FC236}">
                  <a16:creationId xmlns:a16="http://schemas.microsoft.com/office/drawing/2014/main" id="{FBC1B275-2CED-4F40-BA92-F6BA2018B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CCA79E" w14:textId="77777777" w:rsidR="00AD3638" w:rsidRPr="006E6390" w:rsidRDefault="00AD3638" w:rsidP="00AD3638">
      <w:pPr>
        <w:spacing w:before="240" w:line="240" w:lineRule="auto"/>
        <w:ind w:right="-96"/>
        <w:contextualSpacing/>
        <w:jc w:val="center"/>
        <w:rPr>
          <w:rFonts w:cs="Calibri Light"/>
          <w:sz w:val="18"/>
          <w:szCs w:val="18"/>
        </w:rPr>
      </w:pPr>
      <w:r w:rsidRPr="006E6390">
        <w:rPr>
          <w:rFonts w:cs="Calibri Light"/>
          <w:sz w:val="18"/>
          <w:szCs w:val="18"/>
          <w:shd w:val="clear" w:color="auto" w:fill="FFFFFF"/>
        </w:rPr>
        <w:t>Fuente: Elaboración propia a partir de precios reportados en</w:t>
      </w:r>
      <w:r w:rsidRPr="006E6390">
        <w:rPr>
          <w:rFonts w:cs="Calibri Light"/>
          <w:sz w:val="18"/>
          <w:szCs w:val="18"/>
        </w:rPr>
        <w:t xml:space="preserve"> </w:t>
      </w:r>
      <w:hyperlink r:id="rId42" w:tgtFrame="_blank" w:history="1">
        <w:r w:rsidRPr="006E6390">
          <w:rPr>
            <w:rStyle w:val="Hipervnculo"/>
            <w:rFonts w:cs="Calibri Light"/>
            <w:color w:val="auto"/>
            <w:sz w:val="18"/>
            <w:szCs w:val="18"/>
            <w:shd w:val="clear" w:color="auto" w:fill="FFFFFF"/>
          </w:rPr>
          <w:t>https://fred.stlouisfed.org/series/DTWEXB</w:t>
        </w:r>
      </w:hyperlink>
    </w:p>
    <w:p w14:paraId="244756F4" w14:textId="77777777" w:rsidR="00AD3638" w:rsidRPr="000E341C" w:rsidRDefault="00AD3638" w:rsidP="00AD3638">
      <w:pPr>
        <w:spacing w:before="240"/>
        <w:contextualSpacing/>
        <w:rPr>
          <w:bCs/>
        </w:rPr>
      </w:pPr>
    </w:p>
    <w:p w14:paraId="5FDFA089" w14:textId="77777777" w:rsidR="005C12EC" w:rsidRPr="006E6390" w:rsidRDefault="005C12EC" w:rsidP="005C12EC">
      <w:pPr>
        <w:pStyle w:val="Ttulo2"/>
      </w:pPr>
      <w:bookmarkStart w:id="318" w:name="_Toc38630841"/>
      <w:r w:rsidRPr="006E6390">
        <w:t>5.7 Importación de combustibles</w:t>
      </w:r>
      <w:bookmarkEnd w:id="318"/>
    </w:p>
    <w:p w14:paraId="211E9611" w14:textId="0B215F14" w:rsidR="00214DEE" w:rsidRDefault="00214DEE" w:rsidP="00F01787">
      <w:pPr>
        <w:spacing w:after="0"/>
      </w:pPr>
      <w:r w:rsidRPr="006E6390">
        <w:t>Las importaciones de combustibles están en función de los requerimientos de demanda y la variación de inventarios para cubrir el punto de reorden y garantizar la seguridad y continuidad del abastecimiento.</w:t>
      </w:r>
    </w:p>
    <w:p w14:paraId="1A493A77" w14:textId="77777777" w:rsidR="0022448A" w:rsidRPr="006E6390" w:rsidRDefault="0022448A" w:rsidP="009C653D">
      <w:pPr>
        <w:spacing w:after="0"/>
      </w:pPr>
    </w:p>
    <w:p w14:paraId="2D6FCC0A" w14:textId="285FD16D" w:rsidR="00214DEE" w:rsidRDefault="00214DEE" w:rsidP="009C653D">
      <w:pPr>
        <w:spacing w:after="0"/>
      </w:pPr>
      <w:r w:rsidRPr="006E6390">
        <w:t>El volumen importado totaliz</w:t>
      </w:r>
      <w:r w:rsidR="00A70966">
        <w:t>ó</w:t>
      </w:r>
      <w:r w:rsidR="00A07C2B" w:rsidRPr="006E6390">
        <w:t xml:space="preserve"> </w:t>
      </w:r>
      <w:r w:rsidR="001F26CF">
        <w:t>17,1</w:t>
      </w:r>
      <w:r w:rsidR="001C5B54" w:rsidRPr="006E6390">
        <w:t xml:space="preserve"> </w:t>
      </w:r>
      <w:r w:rsidR="00A07C2B" w:rsidRPr="006E6390">
        <w:t>millones de</w:t>
      </w:r>
      <w:r w:rsidRPr="006E6390">
        <w:t xml:space="preserve"> b</w:t>
      </w:r>
      <w:r w:rsidR="00A70966">
        <w:t>arriles</w:t>
      </w:r>
      <w:r w:rsidR="00A07C2B" w:rsidRPr="006E6390">
        <w:t>,</w:t>
      </w:r>
      <w:r w:rsidR="001F26CF">
        <w:t xml:space="preserve"> 21</w:t>
      </w:r>
      <w:r w:rsidRPr="006E6390">
        <w:t>,</w:t>
      </w:r>
      <w:r w:rsidR="001F26CF">
        <w:t>0</w:t>
      </w:r>
      <w:r w:rsidR="001F26CF" w:rsidRPr="006E6390">
        <w:t xml:space="preserve"> </w:t>
      </w:r>
      <w:r w:rsidR="00A07C2B" w:rsidRPr="006E6390">
        <w:t>millones de</w:t>
      </w:r>
      <w:r w:rsidRPr="006E6390">
        <w:t xml:space="preserve"> </w:t>
      </w:r>
      <w:r w:rsidRPr="00BA5BC9">
        <w:t>b</w:t>
      </w:r>
      <w:r w:rsidR="00A70966" w:rsidRPr="00BA5BC9">
        <w:t>arriles</w:t>
      </w:r>
      <w:r w:rsidR="00A07C2B" w:rsidRPr="00BA5BC9">
        <w:t xml:space="preserve"> y 21,</w:t>
      </w:r>
      <w:r w:rsidR="00B11C62" w:rsidRPr="00BA5BC9">
        <w:t>1</w:t>
      </w:r>
      <w:r w:rsidR="00B11C62" w:rsidRPr="006E6390">
        <w:t xml:space="preserve"> </w:t>
      </w:r>
      <w:r w:rsidR="00A07C2B" w:rsidRPr="006E6390">
        <w:t>millones de b</w:t>
      </w:r>
      <w:r w:rsidR="00A70966">
        <w:t>arriles</w:t>
      </w:r>
      <w:r w:rsidRPr="006E6390">
        <w:t xml:space="preserve">, con tasas de variación de </w:t>
      </w:r>
      <w:r w:rsidR="001F26CF" w:rsidRPr="006E6390">
        <w:t>-22,9%</w:t>
      </w:r>
      <w:r w:rsidR="007C54AE" w:rsidRPr="006E6390">
        <w:t>,</w:t>
      </w:r>
      <w:r w:rsidR="001C5B54" w:rsidRPr="006E6390">
        <w:t xml:space="preserve"> </w:t>
      </w:r>
      <w:r w:rsidR="00705068" w:rsidRPr="006E6390">
        <w:t>2</w:t>
      </w:r>
      <w:r w:rsidR="00A07C2B" w:rsidRPr="006E6390">
        <w:t>2,</w:t>
      </w:r>
      <w:r w:rsidR="001F26CF">
        <w:t>5</w:t>
      </w:r>
      <w:r w:rsidR="00705068" w:rsidRPr="006E6390">
        <w:t>%</w:t>
      </w:r>
      <w:r w:rsidR="007C54AE" w:rsidRPr="006E6390">
        <w:t xml:space="preserve"> y </w:t>
      </w:r>
      <w:r w:rsidR="00BA5BC9">
        <w:t>0,7</w:t>
      </w:r>
      <w:r w:rsidR="007C54AE" w:rsidRPr="006E6390">
        <w:t>%</w:t>
      </w:r>
      <w:r w:rsidRPr="006E6390">
        <w:t>, en</w:t>
      </w:r>
      <w:r w:rsidR="007C54AE" w:rsidRPr="006E6390">
        <w:t xml:space="preserve"> </w:t>
      </w:r>
      <w:r w:rsidR="001F26CF" w:rsidRPr="006E6390">
        <w:t>20</w:t>
      </w:r>
      <w:r w:rsidR="001F26CF">
        <w:t>20</w:t>
      </w:r>
      <w:r w:rsidR="00A07C2B" w:rsidRPr="006E6390">
        <w:t xml:space="preserve">, </w:t>
      </w:r>
      <w:r w:rsidR="001F26CF" w:rsidRPr="006E6390">
        <w:t>202</w:t>
      </w:r>
      <w:r w:rsidR="001F26CF">
        <w:t>1</w:t>
      </w:r>
      <w:r w:rsidR="001F26CF" w:rsidRPr="006E6390">
        <w:t xml:space="preserve"> </w:t>
      </w:r>
      <w:r w:rsidRPr="006E6390">
        <w:t xml:space="preserve">y </w:t>
      </w:r>
      <w:r w:rsidR="001F26CF" w:rsidRPr="006E6390">
        <w:t>202</w:t>
      </w:r>
      <w:r w:rsidR="001F26CF">
        <w:t>2</w:t>
      </w:r>
      <w:r w:rsidRPr="006E6390">
        <w:t xml:space="preserve">, respectivamente. </w:t>
      </w:r>
      <w:r w:rsidR="006E3EE2" w:rsidRPr="006E6390">
        <w:t xml:space="preserve"> </w:t>
      </w:r>
      <w:r w:rsidRPr="006E6390">
        <w:t xml:space="preserve">En </w:t>
      </w:r>
      <w:r w:rsidR="00705068" w:rsidRPr="006E6390">
        <w:t>20</w:t>
      </w:r>
      <w:r w:rsidR="007C54AE" w:rsidRPr="006E6390">
        <w:t>21</w:t>
      </w:r>
      <w:r w:rsidR="00705068" w:rsidRPr="006E6390">
        <w:t xml:space="preserve"> </w:t>
      </w:r>
      <w:r w:rsidRPr="006E6390">
        <w:t xml:space="preserve">hubo un incremento de los inventarios, mientras que en </w:t>
      </w:r>
      <w:r w:rsidR="001F26CF" w:rsidRPr="006E6390">
        <w:t>202</w:t>
      </w:r>
      <w:r w:rsidR="001F26CF">
        <w:t>2</w:t>
      </w:r>
      <w:r w:rsidR="001F26CF" w:rsidRPr="006E6390">
        <w:t xml:space="preserve"> </w:t>
      </w:r>
      <w:r w:rsidR="001F26CF">
        <w:t xml:space="preserve">se observó una </w:t>
      </w:r>
      <w:r w:rsidR="00BA5BC9">
        <w:t xml:space="preserve">reducción </w:t>
      </w:r>
      <w:r w:rsidR="004B39F3">
        <w:t>del 17,1% entre el saldo inicial el 1 de enero y el final el 31 de diciembre</w:t>
      </w:r>
      <w:r w:rsidR="007048F2">
        <w:t xml:space="preserve"> (aproximadamente 473 678 barriles)</w:t>
      </w:r>
      <w:r w:rsidRPr="006E6390">
        <w:t>.</w:t>
      </w:r>
    </w:p>
    <w:p w14:paraId="4111B208" w14:textId="77777777" w:rsidR="0022448A" w:rsidRPr="006E6390" w:rsidRDefault="0022448A" w:rsidP="005A5BD0">
      <w:pPr>
        <w:spacing w:after="0"/>
      </w:pPr>
    </w:p>
    <w:p w14:paraId="34F36883" w14:textId="2EFA6F0F" w:rsidR="005C12EC" w:rsidRDefault="00214DEE" w:rsidP="005A5BD0">
      <w:pPr>
        <w:spacing w:after="0"/>
      </w:pPr>
      <w:r w:rsidRPr="006E6390">
        <w:t>El costo de las importaciones depende de la dinámica internacional, tanto de los fundamentales (oferta y demanda), como de las variables de velocidad (aspectos geopolíticos y de los mercados financieros).</w:t>
      </w:r>
      <w:r w:rsidR="00BA5BC9">
        <w:t xml:space="preserve">  </w:t>
      </w:r>
    </w:p>
    <w:p w14:paraId="14E172AD" w14:textId="77777777" w:rsidR="0022448A" w:rsidRPr="006E6390" w:rsidRDefault="0022448A" w:rsidP="005A5BD0">
      <w:pPr>
        <w:spacing w:after="0"/>
      </w:pPr>
    </w:p>
    <w:p w14:paraId="604E535A" w14:textId="3698599E" w:rsidR="005A5BD0" w:rsidRDefault="00A004DF">
      <w:pPr>
        <w:spacing w:after="0"/>
      </w:pPr>
      <w:r w:rsidRPr="006E6390">
        <w:t>E</w:t>
      </w:r>
      <w:r w:rsidR="005C12EC" w:rsidRPr="006E6390">
        <w:t>l costo CIF</w:t>
      </w:r>
      <w:r w:rsidRPr="006E6390">
        <w:t xml:space="preserve"> de las importaciones </w:t>
      </w:r>
      <w:r w:rsidR="005C12EC" w:rsidRPr="006E6390">
        <w:t>fue de</w:t>
      </w:r>
      <w:r w:rsidR="00E71F6B" w:rsidRPr="006E6390">
        <w:t xml:space="preserve"> </w:t>
      </w:r>
      <w:r w:rsidR="001F26CF">
        <w:t xml:space="preserve">USD </w:t>
      </w:r>
      <w:r w:rsidR="001F26CF" w:rsidRPr="006E6390">
        <w:t>834,6 millones</w:t>
      </w:r>
      <w:r w:rsidR="00E71F6B" w:rsidRPr="006E6390">
        <w:t xml:space="preserve">, </w:t>
      </w:r>
      <w:r w:rsidR="002216CE">
        <w:t xml:space="preserve">USD </w:t>
      </w:r>
      <w:r w:rsidR="001F26CF" w:rsidRPr="006E6390">
        <w:t xml:space="preserve">1 595,1 </w:t>
      </w:r>
      <w:r w:rsidR="001F26CF" w:rsidRPr="002216CE">
        <w:t>millones</w:t>
      </w:r>
      <w:r w:rsidRPr="002216CE">
        <w:t xml:space="preserve">, y </w:t>
      </w:r>
      <w:r w:rsidR="005A01A0" w:rsidRPr="002216CE">
        <w:t>USD</w:t>
      </w:r>
      <w:r w:rsidR="00B10E2B" w:rsidRPr="002216CE">
        <w:t xml:space="preserve"> </w:t>
      </w:r>
      <w:r w:rsidR="001F26CF" w:rsidRPr="002216CE">
        <w:t xml:space="preserve">2 </w:t>
      </w:r>
      <w:r w:rsidR="002216CE" w:rsidRPr="002216CE">
        <w:t>5</w:t>
      </w:r>
      <w:r w:rsidR="002216CE" w:rsidRPr="005A5BD0">
        <w:t>14</w:t>
      </w:r>
      <w:r w:rsidR="00E71F6B" w:rsidRPr="002216CE">
        <w:t>,</w:t>
      </w:r>
      <w:r w:rsidR="002216CE" w:rsidRPr="002216CE">
        <w:t xml:space="preserve">9 </w:t>
      </w:r>
      <w:r w:rsidRPr="002216CE">
        <w:t xml:space="preserve">millones en los años </w:t>
      </w:r>
      <w:r w:rsidR="001F26CF" w:rsidRPr="002216CE">
        <w:t>2020</w:t>
      </w:r>
      <w:r w:rsidRPr="002216CE">
        <w:t xml:space="preserve">, </w:t>
      </w:r>
      <w:r w:rsidR="001F26CF" w:rsidRPr="002216CE">
        <w:t xml:space="preserve">2021 </w:t>
      </w:r>
      <w:r w:rsidRPr="002216CE">
        <w:t xml:space="preserve">y </w:t>
      </w:r>
      <w:r w:rsidR="001F26CF" w:rsidRPr="002216CE">
        <w:t>2022</w:t>
      </w:r>
      <w:r w:rsidR="0065350A" w:rsidRPr="002216CE">
        <w:t>; la</w:t>
      </w:r>
      <w:r w:rsidRPr="002216CE">
        <w:t xml:space="preserve"> tasa de variación anual </w:t>
      </w:r>
      <w:r w:rsidR="00E71F6B" w:rsidRPr="002216CE">
        <w:t>para</w:t>
      </w:r>
      <w:r w:rsidR="00E71F6B" w:rsidRPr="006E6390">
        <w:t xml:space="preserve"> los años </w:t>
      </w:r>
      <w:r w:rsidRPr="006E6390">
        <w:t xml:space="preserve">fue </w:t>
      </w:r>
      <w:r w:rsidR="00E71F6B" w:rsidRPr="006E6390">
        <w:t>de -</w:t>
      </w:r>
      <w:r w:rsidR="001F26CF">
        <w:t>47</w:t>
      </w:r>
      <w:r w:rsidRPr="006E6390">
        <w:t>%</w:t>
      </w:r>
      <w:r w:rsidR="00E71F6B" w:rsidRPr="006E6390">
        <w:t>,</w:t>
      </w:r>
      <w:r w:rsidR="006F2193" w:rsidRPr="006E6390">
        <w:t xml:space="preserve"> </w:t>
      </w:r>
      <w:r w:rsidR="001F26CF" w:rsidRPr="00041B93">
        <w:t>91</w:t>
      </w:r>
      <w:r w:rsidR="00165234" w:rsidRPr="00041B93">
        <w:t>%</w:t>
      </w:r>
      <w:r w:rsidR="00E71F6B" w:rsidRPr="00041B93">
        <w:t xml:space="preserve"> y </w:t>
      </w:r>
      <w:r w:rsidR="00041B93" w:rsidRPr="005A5BD0">
        <w:t>57,7</w:t>
      </w:r>
      <w:r w:rsidR="00E71F6B" w:rsidRPr="00041B93">
        <w:t>%</w:t>
      </w:r>
      <w:r w:rsidRPr="00041B93">
        <w:t>, respectivamente</w:t>
      </w:r>
      <w:r w:rsidRPr="006E6390">
        <w:t>.</w:t>
      </w:r>
      <w:r w:rsidR="00C64381">
        <w:t xml:space="preserve">  Los valores anteriores reflejan </w:t>
      </w:r>
      <w:r w:rsidR="005A5BD0">
        <w:t>el aumento</w:t>
      </w:r>
      <w:r w:rsidR="00C64381">
        <w:t xml:space="preserve"> de los precios internacionales</w:t>
      </w:r>
      <w:r w:rsidR="005A5BD0">
        <w:t>.</w:t>
      </w:r>
    </w:p>
    <w:p w14:paraId="5CD6E626" w14:textId="77777777" w:rsidR="0022448A" w:rsidRPr="006E6390" w:rsidRDefault="0022448A" w:rsidP="005A5BD0">
      <w:pPr>
        <w:spacing w:after="0"/>
      </w:pPr>
    </w:p>
    <w:p w14:paraId="2DF5FBCC" w14:textId="635F32B3" w:rsidR="00EA0CBA" w:rsidRPr="006E6390" w:rsidRDefault="001F26CF" w:rsidP="006642FB">
      <w:r>
        <w:t>E</w:t>
      </w:r>
      <w:r w:rsidR="0065350A" w:rsidRPr="006E6390">
        <w:t xml:space="preserve">l costo CIF </w:t>
      </w:r>
      <w:r w:rsidR="009F256A" w:rsidRPr="006E6390">
        <w:t>y el volumen importado disminuyeron</w:t>
      </w:r>
      <w:r w:rsidR="0065350A" w:rsidRPr="006E6390">
        <w:t xml:space="preserve"> en 20</w:t>
      </w:r>
      <w:r w:rsidR="009A5CCA" w:rsidRPr="006E6390">
        <w:t>20</w:t>
      </w:r>
      <w:r w:rsidR="0065350A" w:rsidRPr="006E6390">
        <w:t xml:space="preserve">, lo que </w:t>
      </w:r>
      <w:r w:rsidRPr="006E6390">
        <w:t>obedec</w:t>
      </w:r>
      <w:r>
        <w:t>ió</w:t>
      </w:r>
      <w:r w:rsidRPr="006E6390">
        <w:t xml:space="preserve"> </w:t>
      </w:r>
      <w:r w:rsidR="0065350A" w:rsidRPr="006E6390">
        <w:t>al comportamiento del precio internacional</w:t>
      </w:r>
      <w:r>
        <w:t xml:space="preserve"> relacionado principalmente con la pandemia de Covid-19</w:t>
      </w:r>
      <w:r w:rsidR="0065350A" w:rsidRPr="006E6390">
        <w:t xml:space="preserve">. </w:t>
      </w:r>
      <w:r w:rsidR="00A70966">
        <w:t xml:space="preserve"> </w:t>
      </w:r>
      <w:r w:rsidR="0065350A" w:rsidRPr="006E6390">
        <w:t xml:space="preserve">En </w:t>
      </w:r>
      <w:r w:rsidR="0045075F" w:rsidRPr="006E6390">
        <w:t>202</w:t>
      </w:r>
      <w:r w:rsidR="002672B0" w:rsidRPr="006E6390">
        <w:t>1</w:t>
      </w:r>
      <w:r w:rsidR="0045075F" w:rsidRPr="006E6390">
        <w:t xml:space="preserve">, </w:t>
      </w:r>
      <w:r w:rsidR="002672B0" w:rsidRPr="006E6390">
        <w:t>aumenta</w:t>
      </w:r>
      <w:r w:rsidR="0045075F" w:rsidRPr="006E6390">
        <w:t xml:space="preserve"> tanto el volumen importado como el importe de la factura petrolera.</w:t>
      </w:r>
      <w:r w:rsidR="002672B0" w:rsidRPr="006E6390">
        <w:t xml:space="preserve"> </w:t>
      </w:r>
      <w:r w:rsidR="00A70966">
        <w:t xml:space="preserve"> </w:t>
      </w:r>
      <w:r w:rsidR="0045075F" w:rsidRPr="006E6390">
        <w:t>E</w:t>
      </w:r>
      <w:r w:rsidR="0065350A" w:rsidRPr="006E6390">
        <w:t xml:space="preserve">l costo promedio CIF </w:t>
      </w:r>
      <w:r w:rsidR="00586428" w:rsidRPr="006E6390">
        <w:t xml:space="preserve">en </w:t>
      </w:r>
      <w:r w:rsidRPr="006E6390">
        <w:t>20</w:t>
      </w:r>
      <w:r>
        <w:t>20</w:t>
      </w:r>
      <w:r w:rsidRPr="006E6390">
        <w:t xml:space="preserve"> </w:t>
      </w:r>
      <w:r w:rsidR="00586428" w:rsidRPr="006E6390">
        <w:t>fue de</w:t>
      </w:r>
      <w:r w:rsidR="0065350A" w:rsidRPr="006E6390">
        <w:t xml:space="preserve"> US</w:t>
      </w:r>
      <w:r w:rsidR="000D2250">
        <w:t xml:space="preserve">D </w:t>
      </w:r>
      <w:r w:rsidRPr="006E6390">
        <w:t>47,34</w:t>
      </w:r>
      <w:r>
        <w:t>/barril (e</w:t>
      </w:r>
      <w:r w:rsidR="00771F0E" w:rsidRPr="006E6390">
        <w:t xml:space="preserve">l menor valor de los </w:t>
      </w:r>
      <w:r w:rsidR="00771F0E" w:rsidRPr="006E6390">
        <w:lastRenderedPageBreak/>
        <w:t>últimos doce años</w:t>
      </w:r>
      <w:r>
        <w:t xml:space="preserve">), </w:t>
      </w:r>
      <w:r w:rsidR="00586428" w:rsidRPr="006E6390">
        <w:t>en 2021 fue de US</w:t>
      </w:r>
      <w:r w:rsidR="000D2250">
        <w:t xml:space="preserve">D </w:t>
      </w:r>
      <w:r w:rsidR="00586428" w:rsidRPr="006E6390">
        <w:t>7</w:t>
      </w:r>
      <w:r w:rsidR="00CF0BF8" w:rsidRPr="006E6390">
        <w:t>6</w:t>
      </w:r>
      <w:r w:rsidR="00586428" w:rsidRPr="006E6390">
        <w:t>,</w:t>
      </w:r>
      <w:r w:rsidR="00CF0BF8" w:rsidRPr="006E6390">
        <w:t>08</w:t>
      </w:r>
      <w:r>
        <w:t>/barril</w:t>
      </w:r>
      <w:r w:rsidR="00586428" w:rsidRPr="006E6390">
        <w:t xml:space="preserve"> un incremento de 60,</w:t>
      </w:r>
      <w:r w:rsidR="00CF0BF8" w:rsidRPr="006E6390">
        <w:t>7</w:t>
      </w:r>
      <w:r w:rsidR="00586428" w:rsidRPr="006E6390">
        <w:t>%</w:t>
      </w:r>
      <w:r>
        <w:t xml:space="preserve">, y para 2022 la media fue de USD </w:t>
      </w:r>
      <w:r w:rsidR="009E5A78">
        <w:t>119,12</w:t>
      </w:r>
      <w:r>
        <w:t>/barril</w:t>
      </w:r>
      <w:r w:rsidR="009E5A78">
        <w:t xml:space="preserve"> (+56,6%) cercano a valores promedio de 2011 y 2012</w:t>
      </w:r>
      <w:r>
        <w:t>.</w:t>
      </w:r>
    </w:p>
    <w:p w14:paraId="56DDDBE2" w14:textId="5ED32B3E"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Gráfico N°</w:t>
      </w:r>
      <w:r w:rsidR="00EB584F" w:rsidRPr="006E6390">
        <w:rPr>
          <w:rFonts w:ascii="Helvetica" w:hAnsi="Helvetica" w:cs="Helvetica"/>
        </w:rPr>
        <w:t>1</w:t>
      </w:r>
      <w:r w:rsidR="00EB584F">
        <w:rPr>
          <w:rFonts w:ascii="Helvetica" w:hAnsi="Helvetica" w:cs="Helvetica"/>
        </w:rPr>
        <w:t>4</w:t>
      </w:r>
    </w:p>
    <w:p w14:paraId="18495AA6" w14:textId="77777777"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 xml:space="preserve">Importaciones por año: Volumen total (miles de barriles) </w:t>
      </w:r>
    </w:p>
    <w:p w14:paraId="51275B36" w14:textId="77777777" w:rsidR="005C12EC" w:rsidRPr="006E6390" w:rsidRDefault="005C12EC" w:rsidP="005C12EC">
      <w:pPr>
        <w:pStyle w:val="Ttuloscuadros"/>
        <w:tabs>
          <w:tab w:val="left" w:pos="9270"/>
        </w:tabs>
        <w:rPr>
          <w:rFonts w:ascii="Helvetica" w:hAnsi="Helvetica" w:cs="Helvetica"/>
        </w:rPr>
      </w:pPr>
      <w:r w:rsidRPr="006E6390">
        <w:rPr>
          <w:rFonts w:ascii="Helvetica" w:hAnsi="Helvetica" w:cs="Helvetica"/>
        </w:rPr>
        <w:t>y precio CIF ponderado promedio (US</w:t>
      </w:r>
      <w:r w:rsidR="000D2250">
        <w:rPr>
          <w:rFonts w:ascii="Helvetica" w:hAnsi="Helvetica" w:cs="Helvetica"/>
        </w:rPr>
        <w:t>D</w:t>
      </w:r>
      <w:r w:rsidRPr="006E6390">
        <w:rPr>
          <w:rFonts w:ascii="Helvetica" w:hAnsi="Helvetica" w:cs="Helvetica"/>
        </w:rPr>
        <w:t>/bbl)</w:t>
      </w:r>
      <w:r w:rsidR="007C76F6">
        <w:rPr>
          <w:rFonts w:ascii="Helvetica" w:hAnsi="Helvetica" w:cs="Helvetica"/>
        </w:rPr>
        <w:t xml:space="preserve"> (2011-2022)</w:t>
      </w:r>
    </w:p>
    <w:p w14:paraId="6DE2F657" w14:textId="662ED5CB" w:rsidR="005C12EC" w:rsidRPr="006E6390" w:rsidRDefault="002D25CB" w:rsidP="005C12EC">
      <w:pPr>
        <w:tabs>
          <w:tab w:val="left" w:pos="9270"/>
        </w:tabs>
        <w:spacing w:after="0"/>
        <w:jc w:val="center"/>
        <w:rPr>
          <w:rFonts w:ascii="Helvetica" w:hAnsi="Helvetica" w:cs="Helvetica"/>
          <w:noProof/>
          <w:lang w:eastAsia="es-ES_tradnl"/>
        </w:rPr>
      </w:pPr>
      <w:r w:rsidRPr="006E6390">
        <w:rPr>
          <w:noProof/>
        </w:rPr>
        <w:t xml:space="preserve"> </w:t>
      </w:r>
      <w:r w:rsidR="00376896">
        <w:rPr>
          <w:noProof/>
        </w:rPr>
        <w:drawing>
          <wp:inline distT="0" distB="0" distL="0" distR="0" wp14:anchorId="734706D8" wp14:editId="75049A90">
            <wp:extent cx="5580000" cy="2880000"/>
            <wp:effectExtent l="0" t="0" r="1905" b="0"/>
            <wp:docPr id="8" name="Gráfico 8">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114BA3" w14:textId="516E5422" w:rsidR="005C12EC" w:rsidRDefault="005C12EC" w:rsidP="00F1172C">
      <w:pPr>
        <w:pStyle w:val="piedepgina0"/>
        <w:tabs>
          <w:tab w:val="left" w:pos="3000"/>
        </w:tabs>
        <w:ind w:left="720"/>
        <w:rPr>
          <w:rFonts w:cs="Arial"/>
          <w:sz w:val="20"/>
          <w:szCs w:val="20"/>
        </w:rPr>
      </w:pPr>
      <w:r w:rsidRPr="006E6390">
        <w:rPr>
          <w:rFonts w:cs="Arial"/>
          <w:sz w:val="20"/>
          <w:szCs w:val="20"/>
        </w:rPr>
        <w:t>Fuente: RECOPE</w:t>
      </w:r>
      <w:r w:rsidR="00F1172C" w:rsidRPr="006E6390">
        <w:rPr>
          <w:rFonts w:cs="Arial"/>
          <w:sz w:val="20"/>
          <w:szCs w:val="20"/>
        </w:rPr>
        <w:t xml:space="preserve">. </w:t>
      </w:r>
      <w:r w:rsidR="002D25CB" w:rsidRPr="006E6390">
        <w:rPr>
          <w:rFonts w:cs="Arial"/>
          <w:sz w:val="20"/>
          <w:szCs w:val="20"/>
        </w:rPr>
        <w:t xml:space="preserve">Depto. </w:t>
      </w:r>
      <w:r w:rsidR="003D2E55" w:rsidRPr="006E6390">
        <w:rPr>
          <w:rFonts w:cs="Arial"/>
          <w:sz w:val="20"/>
          <w:szCs w:val="20"/>
        </w:rPr>
        <w:t>D</w:t>
      </w:r>
      <w:r w:rsidR="00F1172C" w:rsidRPr="006E6390">
        <w:rPr>
          <w:rFonts w:cs="Arial"/>
          <w:sz w:val="20"/>
          <w:szCs w:val="20"/>
        </w:rPr>
        <w:t>e Comercio Internacional</w:t>
      </w:r>
    </w:p>
    <w:p w14:paraId="732B3A61" w14:textId="77777777" w:rsidR="007C76F6" w:rsidRPr="006E6390" w:rsidRDefault="007C76F6" w:rsidP="005D55D3">
      <w:pPr>
        <w:pStyle w:val="piedepgina0"/>
        <w:tabs>
          <w:tab w:val="left" w:pos="3000"/>
        </w:tabs>
        <w:spacing w:after="0"/>
        <w:ind w:left="720"/>
        <w:rPr>
          <w:rFonts w:cs="Arial"/>
          <w:sz w:val="20"/>
          <w:szCs w:val="20"/>
        </w:rPr>
      </w:pPr>
    </w:p>
    <w:p w14:paraId="5C6B984B" w14:textId="4ED23A7E" w:rsidR="002F38FA" w:rsidRPr="006E6390" w:rsidRDefault="002F38FA" w:rsidP="002F38FA">
      <w:pPr>
        <w:pStyle w:val="Ttuloscuadros"/>
        <w:tabs>
          <w:tab w:val="left" w:pos="9270"/>
        </w:tabs>
        <w:rPr>
          <w:rFonts w:ascii="Helvetica" w:hAnsi="Helvetica" w:cs="Helvetica"/>
        </w:rPr>
      </w:pPr>
      <w:r w:rsidRPr="006E6390">
        <w:rPr>
          <w:rFonts w:ascii="Helvetica" w:hAnsi="Helvetica" w:cs="Helvetica"/>
        </w:rPr>
        <w:t>Gráfico N°</w:t>
      </w:r>
      <w:r w:rsidR="00EB584F" w:rsidRPr="006E6390">
        <w:rPr>
          <w:rFonts w:ascii="Helvetica" w:hAnsi="Helvetica" w:cs="Helvetica"/>
        </w:rPr>
        <w:t>1</w:t>
      </w:r>
      <w:r w:rsidR="00EB584F">
        <w:rPr>
          <w:rFonts w:ascii="Helvetica" w:hAnsi="Helvetica" w:cs="Helvetica"/>
        </w:rPr>
        <w:t>5</w:t>
      </w:r>
    </w:p>
    <w:p w14:paraId="26BE553B" w14:textId="5F07601B" w:rsidR="002F38FA" w:rsidRPr="006E6390" w:rsidRDefault="002F38FA" w:rsidP="002F38FA">
      <w:pPr>
        <w:pStyle w:val="Ttuloscuadros"/>
        <w:tabs>
          <w:tab w:val="left" w:pos="9270"/>
        </w:tabs>
        <w:rPr>
          <w:rFonts w:ascii="Helvetica" w:hAnsi="Helvetica" w:cs="Helvetica"/>
        </w:rPr>
      </w:pPr>
      <w:r w:rsidRPr="006E6390">
        <w:rPr>
          <w:rFonts w:ascii="Helvetica" w:hAnsi="Helvetica" w:cs="Helvetica"/>
        </w:rPr>
        <w:t xml:space="preserve">Composición volumétrica de las importaciones por producto </w:t>
      </w:r>
      <w:r w:rsidR="008A6668" w:rsidRPr="006E6390">
        <w:rPr>
          <w:rFonts w:ascii="Helvetica" w:hAnsi="Helvetica" w:cs="Helvetica"/>
        </w:rPr>
        <w:t>201</w:t>
      </w:r>
      <w:r w:rsidR="008A6668">
        <w:rPr>
          <w:rFonts w:ascii="Helvetica" w:hAnsi="Helvetica" w:cs="Helvetica"/>
        </w:rPr>
        <w:t>3</w:t>
      </w:r>
      <w:r w:rsidRPr="006E6390">
        <w:rPr>
          <w:rFonts w:ascii="Helvetica" w:hAnsi="Helvetica" w:cs="Helvetica"/>
        </w:rPr>
        <w:t>-</w:t>
      </w:r>
      <w:r w:rsidR="00E77581" w:rsidRPr="006E6390">
        <w:rPr>
          <w:rFonts w:ascii="Helvetica" w:hAnsi="Helvetica" w:cs="Helvetica"/>
        </w:rPr>
        <w:t>202</w:t>
      </w:r>
      <w:r w:rsidR="00E77581">
        <w:rPr>
          <w:rFonts w:ascii="Helvetica" w:hAnsi="Helvetica" w:cs="Helvetica"/>
        </w:rPr>
        <w:t>2</w:t>
      </w:r>
    </w:p>
    <w:p w14:paraId="6ED8860F" w14:textId="38FEE15F" w:rsidR="002F38FA" w:rsidRPr="006E6390" w:rsidRDefault="002E1682" w:rsidP="002F38FA">
      <w:pPr>
        <w:tabs>
          <w:tab w:val="left" w:pos="9270"/>
        </w:tabs>
        <w:spacing w:after="0"/>
        <w:jc w:val="center"/>
        <w:rPr>
          <w:rFonts w:ascii="Helvetica" w:hAnsi="Helvetica" w:cs="Helvetica"/>
        </w:rPr>
      </w:pPr>
      <w:r w:rsidRPr="006E6390">
        <w:rPr>
          <w:noProof/>
        </w:rPr>
        <w:t xml:space="preserve"> </w:t>
      </w:r>
      <w:r w:rsidR="000F33A2">
        <w:rPr>
          <w:noProof/>
        </w:rPr>
        <w:drawing>
          <wp:inline distT="0" distB="0" distL="0" distR="0" wp14:anchorId="6635E1C8" wp14:editId="6FF05EC8">
            <wp:extent cx="5580000" cy="2880000"/>
            <wp:effectExtent l="0" t="0" r="1905" b="0"/>
            <wp:docPr id="12" name="Gráfico 1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9BCE30" w14:textId="52CFC627" w:rsidR="00D276CF" w:rsidRPr="006E6390" w:rsidRDefault="00D276CF" w:rsidP="00D276CF">
      <w:pPr>
        <w:tabs>
          <w:tab w:val="left" w:pos="9270"/>
        </w:tabs>
        <w:ind w:left="709"/>
        <w:rPr>
          <w:rFonts w:cs="Arial"/>
          <w:sz w:val="20"/>
          <w:szCs w:val="20"/>
        </w:rPr>
      </w:pPr>
      <w:r w:rsidRPr="006E6390">
        <w:rPr>
          <w:rFonts w:cs="Arial"/>
          <w:sz w:val="20"/>
          <w:szCs w:val="20"/>
        </w:rPr>
        <w:t>Fuente: RECOPE. D</w:t>
      </w:r>
      <w:r w:rsidR="002E1682" w:rsidRPr="006E6390">
        <w:rPr>
          <w:rFonts w:cs="Arial"/>
          <w:sz w:val="20"/>
          <w:szCs w:val="20"/>
        </w:rPr>
        <w:t>epto.</w:t>
      </w:r>
      <w:r w:rsidRPr="006E6390">
        <w:rPr>
          <w:rFonts w:cs="Arial"/>
          <w:sz w:val="20"/>
          <w:szCs w:val="20"/>
        </w:rPr>
        <w:t xml:space="preserve"> </w:t>
      </w:r>
      <w:r w:rsidR="00774B6A">
        <w:rPr>
          <w:rFonts w:cs="Arial"/>
          <w:sz w:val="20"/>
          <w:szCs w:val="20"/>
        </w:rPr>
        <w:t>d</w:t>
      </w:r>
      <w:r w:rsidRPr="006E6390">
        <w:rPr>
          <w:rFonts w:cs="Arial"/>
          <w:sz w:val="20"/>
          <w:szCs w:val="20"/>
        </w:rPr>
        <w:t>e Comercio Internacional</w:t>
      </w:r>
    </w:p>
    <w:p w14:paraId="0B41A7BC" w14:textId="77777777" w:rsidR="007C76F6" w:rsidRDefault="007C76F6" w:rsidP="005D55D3">
      <w:pPr>
        <w:tabs>
          <w:tab w:val="left" w:pos="9270"/>
        </w:tabs>
        <w:spacing w:after="0"/>
        <w:rPr>
          <w:rFonts w:cs="Arial"/>
        </w:rPr>
      </w:pPr>
    </w:p>
    <w:p w14:paraId="70CC95C9" w14:textId="49659DCC" w:rsidR="005C12EC" w:rsidRDefault="005C12EC" w:rsidP="005D55D3">
      <w:pPr>
        <w:tabs>
          <w:tab w:val="left" w:pos="9270"/>
        </w:tabs>
        <w:spacing w:after="0"/>
        <w:rPr>
          <w:rFonts w:cs="Arial"/>
        </w:rPr>
      </w:pPr>
      <w:r w:rsidRPr="006E6390">
        <w:rPr>
          <w:rFonts w:cs="Arial"/>
        </w:rPr>
        <w:t xml:space="preserve">En lo que respecta a la modalidad de contratación, el Reglamento de Contrataciones de </w:t>
      </w:r>
      <w:r w:rsidRPr="007E1A4B">
        <w:rPr>
          <w:rFonts w:cs="Arial"/>
        </w:rPr>
        <w:t xml:space="preserve">RECOPE S.A., en su artículo 15 establece tres modalidades de compra: la contratación estatal, el concurso internacional y la contratación concursada.  En </w:t>
      </w:r>
      <w:r w:rsidR="00663796" w:rsidRPr="007E1A4B">
        <w:rPr>
          <w:rFonts w:cs="Arial"/>
        </w:rPr>
        <w:t>2020, debido a las medidas tomadas por la Administración para enfrentar los efectos de la pandemia de Covid-19</w:t>
      </w:r>
      <w:r w:rsidR="003A0CE9" w:rsidRPr="005D55D3">
        <w:rPr>
          <w:rFonts w:cs="Arial"/>
        </w:rPr>
        <w:t xml:space="preserve"> (</w:t>
      </w:r>
      <w:r w:rsidR="00663796" w:rsidRPr="007E1A4B">
        <w:rPr>
          <w:rFonts w:cs="Arial"/>
        </w:rPr>
        <w:t>que incluyeron la renegociación de contratos con proveedores y la reorganización de los embarques enlistados</w:t>
      </w:r>
      <w:r w:rsidR="003A0CE9" w:rsidRPr="005D55D3">
        <w:rPr>
          <w:rFonts w:cs="Arial"/>
        </w:rPr>
        <w:t>)</w:t>
      </w:r>
      <w:r w:rsidR="00663796" w:rsidRPr="007E1A4B">
        <w:rPr>
          <w:rFonts w:cs="Arial"/>
        </w:rPr>
        <w:t xml:space="preserve"> las compras por concurso internacional fueron el 95,6% (</w:t>
      </w:r>
      <w:r w:rsidR="005A01A0" w:rsidRPr="007E1A4B">
        <w:rPr>
          <w:rFonts w:cs="Arial"/>
        </w:rPr>
        <w:t>USD</w:t>
      </w:r>
      <w:r w:rsidR="0024056E" w:rsidRPr="007E1A4B">
        <w:rPr>
          <w:rFonts w:cs="Arial"/>
        </w:rPr>
        <w:t xml:space="preserve"> </w:t>
      </w:r>
      <w:r w:rsidR="00663796" w:rsidRPr="001069E5">
        <w:rPr>
          <w:rFonts w:cs="Arial"/>
        </w:rPr>
        <w:t>803</w:t>
      </w:r>
      <w:r w:rsidR="00A70966" w:rsidRPr="001069E5">
        <w:rPr>
          <w:rFonts w:cs="Arial"/>
        </w:rPr>
        <w:t> </w:t>
      </w:r>
      <w:r w:rsidR="00663796" w:rsidRPr="001069E5">
        <w:rPr>
          <w:rFonts w:cs="Arial"/>
        </w:rPr>
        <w:t>928</w:t>
      </w:r>
      <w:r w:rsidR="00A70966" w:rsidRPr="001069E5">
        <w:rPr>
          <w:rFonts w:cs="Arial"/>
        </w:rPr>
        <w:t xml:space="preserve"> </w:t>
      </w:r>
      <w:r w:rsidR="00663796" w:rsidRPr="001069E5">
        <w:rPr>
          <w:rFonts w:cs="Arial"/>
        </w:rPr>
        <w:t>518) y por Contratación Excepcionada un 4,4% (</w:t>
      </w:r>
      <w:r w:rsidR="005A01A0" w:rsidRPr="001069E5">
        <w:rPr>
          <w:rFonts w:cs="Arial"/>
        </w:rPr>
        <w:t>USD</w:t>
      </w:r>
      <w:r w:rsidR="0024056E" w:rsidRPr="001069E5">
        <w:rPr>
          <w:rFonts w:cs="Arial"/>
        </w:rPr>
        <w:t xml:space="preserve"> </w:t>
      </w:r>
      <w:r w:rsidR="00663796" w:rsidRPr="001069E5">
        <w:rPr>
          <w:rFonts w:cs="Arial"/>
        </w:rPr>
        <w:t>30</w:t>
      </w:r>
      <w:r w:rsidR="00A70966" w:rsidRPr="001069E5">
        <w:rPr>
          <w:rFonts w:cs="Arial"/>
        </w:rPr>
        <w:t> </w:t>
      </w:r>
      <w:r w:rsidR="00663796" w:rsidRPr="001069E5">
        <w:rPr>
          <w:rFonts w:cs="Arial"/>
        </w:rPr>
        <w:t>796</w:t>
      </w:r>
      <w:r w:rsidR="00A70966" w:rsidRPr="001069E5">
        <w:rPr>
          <w:rFonts w:cs="Arial"/>
        </w:rPr>
        <w:t xml:space="preserve"> </w:t>
      </w:r>
      <w:r w:rsidR="00663796" w:rsidRPr="001069E5">
        <w:rPr>
          <w:rFonts w:cs="Arial"/>
        </w:rPr>
        <w:t>143), concentrándose en octubre y diciembre.</w:t>
      </w:r>
    </w:p>
    <w:p w14:paraId="478B91F6" w14:textId="77777777" w:rsidR="0022448A" w:rsidRPr="001069E5" w:rsidRDefault="0022448A" w:rsidP="007E3191">
      <w:pPr>
        <w:tabs>
          <w:tab w:val="left" w:pos="9270"/>
        </w:tabs>
        <w:spacing w:after="0"/>
        <w:rPr>
          <w:rFonts w:cs="Arial"/>
        </w:rPr>
      </w:pPr>
    </w:p>
    <w:p w14:paraId="739B2C96" w14:textId="4DFE3DAF" w:rsidR="00287F64" w:rsidRDefault="00474B5B" w:rsidP="0022448A">
      <w:pPr>
        <w:tabs>
          <w:tab w:val="left" w:pos="9270"/>
        </w:tabs>
        <w:spacing w:after="0"/>
        <w:rPr>
          <w:rFonts w:cs="Arial"/>
        </w:rPr>
      </w:pPr>
      <w:r w:rsidRPr="001069E5">
        <w:rPr>
          <w:rFonts w:cs="Arial"/>
        </w:rPr>
        <w:t>Para el año 202</w:t>
      </w:r>
      <w:r w:rsidR="00472129" w:rsidRPr="001069E5">
        <w:rPr>
          <w:rFonts w:cs="Arial"/>
        </w:rPr>
        <w:t>1</w:t>
      </w:r>
      <w:r w:rsidRPr="001069E5">
        <w:rPr>
          <w:rFonts w:cs="Arial"/>
        </w:rPr>
        <w:t>,</w:t>
      </w:r>
      <w:r w:rsidR="00472129" w:rsidRPr="001069E5">
        <w:rPr>
          <w:rFonts w:cs="Arial"/>
        </w:rPr>
        <w:t xml:space="preserve"> </w:t>
      </w:r>
      <w:r w:rsidR="006D52FB" w:rsidRPr="001069E5">
        <w:rPr>
          <w:rFonts w:cs="Arial"/>
        </w:rPr>
        <w:t>las compras por concurso internacional fueron el 9</w:t>
      </w:r>
      <w:r w:rsidR="00472129" w:rsidRPr="001069E5">
        <w:rPr>
          <w:rFonts w:cs="Arial"/>
        </w:rPr>
        <w:t>8</w:t>
      </w:r>
      <w:r w:rsidR="006D52FB" w:rsidRPr="001069E5">
        <w:rPr>
          <w:rFonts w:cs="Arial"/>
        </w:rPr>
        <w:t>,</w:t>
      </w:r>
      <w:r w:rsidR="00472129" w:rsidRPr="001069E5">
        <w:rPr>
          <w:rFonts w:cs="Arial"/>
        </w:rPr>
        <w:t>2</w:t>
      </w:r>
      <w:r w:rsidR="006D52FB" w:rsidRPr="001069E5">
        <w:rPr>
          <w:rFonts w:cs="Arial"/>
        </w:rPr>
        <w:t>% (</w:t>
      </w:r>
      <w:r w:rsidR="005A01A0" w:rsidRPr="001069E5">
        <w:rPr>
          <w:rFonts w:cs="Arial"/>
        </w:rPr>
        <w:t>USD</w:t>
      </w:r>
      <w:r w:rsidR="007C4705" w:rsidRPr="007E3191">
        <w:rPr>
          <w:rFonts w:cs="Arial"/>
        </w:rPr>
        <w:t xml:space="preserve"> </w:t>
      </w:r>
      <w:r w:rsidR="00472129" w:rsidRPr="001069E5">
        <w:rPr>
          <w:rFonts w:cs="Arial"/>
        </w:rPr>
        <w:t>1 569 849 785</w:t>
      </w:r>
      <w:r w:rsidR="006D52FB" w:rsidRPr="001069E5">
        <w:rPr>
          <w:rFonts w:cs="Arial"/>
        </w:rPr>
        <w:t xml:space="preserve">) y por Contratación Excepcionada </w:t>
      </w:r>
      <w:r w:rsidR="00472129" w:rsidRPr="001069E5">
        <w:rPr>
          <w:rFonts w:cs="Arial"/>
        </w:rPr>
        <w:t>1</w:t>
      </w:r>
      <w:r w:rsidR="006D52FB" w:rsidRPr="001069E5">
        <w:rPr>
          <w:rFonts w:cs="Arial"/>
        </w:rPr>
        <w:t>,</w:t>
      </w:r>
      <w:r w:rsidR="00472129" w:rsidRPr="001069E5">
        <w:rPr>
          <w:rFonts w:cs="Arial"/>
        </w:rPr>
        <w:t>8</w:t>
      </w:r>
      <w:r w:rsidR="006D52FB" w:rsidRPr="001069E5">
        <w:rPr>
          <w:rFonts w:cs="Arial"/>
        </w:rPr>
        <w:t>% (</w:t>
      </w:r>
      <w:r w:rsidR="005A01A0" w:rsidRPr="001069E5">
        <w:rPr>
          <w:rFonts w:cs="Arial"/>
        </w:rPr>
        <w:t>USD</w:t>
      </w:r>
      <w:r w:rsidR="007C4705" w:rsidRPr="007E3191">
        <w:rPr>
          <w:rFonts w:cs="Arial"/>
        </w:rPr>
        <w:t xml:space="preserve"> </w:t>
      </w:r>
      <w:r w:rsidR="00472129" w:rsidRPr="001069E5">
        <w:rPr>
          <w:rFonts w:cs="Arial"/>
        </w:rPr>
        <w:t>25</w:t>
      </w:r>
      <w:r w:rsidR="00A70966" w:rsidRPr="001069E5">
        <w:rPr>
          <w:rFonts w:cs="Arial"/>
        </w:rPr>
        <w:t> </w:t>
      </w:r>
      <w:r w:rsidR="00472129" w:rsidRPr="001069E5">
        <w:rPr>
          <w:rFonts w:cs="Arial"/>
        </w:rPr>
        <w:t>238</w:t>
      </w:r>
      <w:r w:rsidR="00A70966" w:rsidRPr="001069E5">
        <w:rPr>
          <w:rFonts w:cs="Arial"/>
        </w:rPr>
        <w:t xml:space="preserve"> </w:t>
      </w:r>
      <w:r w:rsidR="00472129" w:rsidRPr="001069E5">
        <w:rPr>
          <w:rFonts w:cs="Arial"/>
        </w:rPr>
        <w:t>02</w:t>
      </w:r>
      <w:r w:rsidR="006D52FB" w:rsidRPr="001069E5">
        <w:rPr>
          <w:rFonts w:cs="Arial"/>
        </w:rPr>
        <w:t>1)</w:t>
      </w:r>
      <w:r w:rsidR="009875B8" w:rsidRPr="001069E5">
        <w:rPr>
          <w:rFonts w:cs="Arial"/>
        </w:rPr>
        <w:t xml:space="preserve">, concentrándose en </w:t>
      </w:r>
      <w:r w:rsidR="00472129" w:rsidRPr="001069E5">
        <w:rPr>
          <w:rFonts w:cs="Arial"/>
        </w:rPr>
        <w:t>abril</w:t>
      </w:r>
      <w:r w:rsidR="009875B8" w:rsidRPr="001069E5">
        <w:rPr>
          <w:rFonts w:cs="Arial"/>
        </w:rPr>
        <w:t xml:space="preserve"> y diciembre.</w:t>
      </w:r>
      <w:r w:rsidR="006D52FB" w:rsidRPr="001069E5">
        <w:rPr>
          <w:rFonts w:cs="Arial"/>
        </w:rPr>
        <w:t xml:space="preserve"> </w:t>
      </w:r>
      <w:r w:rsidR="007C4705" w:rsidRPr="001069E5">
        <w:rPr>
          <w:rFonts w:cs="Arial"/>
        </w:rPr>
        <w:t xml:space="preserve"> En tanto, en 2022 las compras concursadas sumaron el 99,6% (USD 2 505 726 195) y las de contratación excepcionada apenas el 0,4% (USD 9 161 662).</w:t>
      </w:r>
    </w:p>
    <w:p w14:paraId="0EF09742" w14:textId="77777777" w:rsidR="0022448A" w:rsidRDefault="0022448A" w:rsidP="007E3191">
      <w:pPr>
        <w:tabs>
          <w:tab w:val="left" w:pos="9270"/>
        </w:tabs>
        <w:spacing w:after="0"/>
        <w:rPr>
          <w:rFonts w:cs="Arial"/>
        </w:rPr>
      </w:pPr>
    </w:p>
    <w:p w14:paraId="2860A414" w14:textId="77777777" w:rsidR="0022448A" w:rsidRPr="006E6390" w:rsidRDefault="0022448A" w:rsidP="005C12EC">
      <w:pPr>
        <w:tabs>
          <w:tab w:val="left" w:pos="9270"/>
        </w:tabs>
        <w:rPr>
          <w:rFonts w:cs="Arial"/>
        </w:rPr>
      </w:pPr>
    </w:p>
    <w:p w14:paraId="230A7E57" w14:textId="3B1D39C5" w:rsidR="005C12EC" w:rsidRPr="006E6390" w:rsidRDefault="005C12EC" w:rsidP="005C12EC">
      <w:pPr>
        <w:pStyle w:val="Ttuloscuadros"/>
        <w:tabs>
          <w:tab w:val="left" w:pos="9270"/>
        </w:tabs>
        <w:rPr>
          <w:rFonts w:cs="Arial"/>
        </w:rPr>
      </w:pPr>
      <w:r w:rsidRPr="006E6390">
        <w:rPr>
          <w:rFonts w:cs="Arial"/>
        </w:rPr>
        <w:t>Gráfico N°</w:t>
      </w:r>
      <w:r w:rsidR="00EB584F" w:rsidRPr="006E6390">
        <w:rPr>
          <w:rFonts w:cs="Arial"/>
        </w:rPr>
        <w:t>1</w:t>
      </w:r>
      <w:r w:rsidR="00EB584F">
        <w:rPr>
          <w:rFonts w:cs="Arial"/>
        </w:rPr>
        <w:t>6</w:t>
      </w:r>
    </w:p>
    <w:p w14:paraId="649D8F38" w14:textId="260F23E8" w:rsidR="005C12EC" w:rsidRPr="006E6390" w:rsidRDefault="005C12EC" w:rsidP="005C12EC">
      <w:pPr>
        <w:pStyle w:val="Ttuloscuadros"/>
        <w:tabs>
          <w:tab w:val="left" w:pos="9270"/>
        </w:tabs>
        <w:rPr>
          <w:rFonts w:cs="Arial"/>
        </w:rPr>
      </w:pPr>
      <w:r w:rsidRPr="006E6390">
        <w:rPr>
          <w:rFonts w:cs="Arial"/>
        </w:rPr>
        <w:t>Importaciones según modalidad de compra (</w:t>
      </w:r>
      <w:r w:rsidR="003B4034" w:rsidRPr="006E6390">
        <w:rPr>
          <w:rFonts w:cs="Arial"/>
        </w:rPr>
        <w:t>20</w:t>
      </w:r>
      <w:r w:rsidR="003B4034">
        <w:rPr>
          <w:rFonts w:cs="Arial"/>
        </w:rPr>
        <w:t>11</w:t>
      </w:r>
      <w:r w:rsidR="003B4034" w:rsidRPr="006E6390">
        <w:rPr>
          <w:rFonts w:cs="Arial"/>
        </w:rPr>
        <w:t xml:space="preserve"> </w:t>
      </w:r>
      <w:r w:rsidRPr="006E6390">
        <w:rPr>
          <w:rFonts w:cs="Arial"/>
        </w:rPr>
        <w:t xml:space="preserve">– </w:t>
      </w:r>
      <w:r w:rsidR="003B4034" w:rsidRPr="006E6390">
        <w:rPr>
          <w:rFonts w:cs="Arial"/>
        </w:rPr>
        <w:t>202</w:t>
      </w:r>
      <w:r w:rsidR="003B4034">
        <w:rPr>
          <w:rFonts w:cs="Arial"/>
        </w:rPr>
        <w:t>2</w:t>
      </w:r>
      <w:r w:rsidRPr="006E6390">
        <w:rPr>
          <w:rFonts w:cs="Arial"/>
        </w:rPr>
        <w:t>)</w:t>
      </w:r>
    </w:p>
    <w:p w14:paraId="0B8C395A" w14:textId="2DE13A39" w:rsidR="005C12EC" w:rsidRPr="006E6390" w:rsidRDefault="003D0C68" w:rsidP="005C12EC">
      <w:pPr>
        <w:tabs>
          <w:tab w:val="left" w:pos="9270"/>
        </w:tabs>
        <w:spacing w:after="0"/>
        <w:jc w:val="center"/>
        <w:rPr>
          <w:rFonts w:ascii="Helvetica" w:hAnsi="Helvetica" w:cs="Helvetica"/>
        </w:rPr>
      </w:pPr>
      <w:r>
        <w:rPr>
          <w:noProof/>
        </w:rPr>
        <w:drawing>
          <wp:inline distT="0" distB="0" distL="0" distR="0" wp14:anchorId="55AF6DAB" wp14:editId="2474EDBD">
            <wp:extent cx="5580000" cy="2880000"/>
            <wp:effectExtent l="0" t="0" r="1905" b="0"/>
            <wp:docPr id="13" name="Gráfico 13">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80FBA7" w14:textId="77777777" w:rsidR="005C12EC" w:rsidRPr="006E6390" w:rsidRDefault="005C12EC" w:rsidP="0093688C">
      <w:pPr>
        <w:ind w:left="709"/>
        <w:rPr>
          <w:rFonts w:cs="Arial"/>
          <w:sz w:val="20"/>
          <w:szCs w:val="20"/>
        </w:rPr>
      </w:pPr>
      <w:r w:rsidRPr="006E6390">
        <w:rPr>
          <w:rFonts w:cs="Arial"/>
          <w:sz w:val="20"/>
          <w:szCs w:val="20"/>
        </w:rPr>
        <w:t xml:space="preserve">Fuente: </w:t>
      </w:r>
      <w:r w:rsidR="00932FE4" w:rsidRPr="006E6390">
        <w:rPr>
          <w:rFonts w:cs="Arial"/>
          <w:sz w:val="20"/>
          <w:szCs w:val="20"/>
        </w:rPr>
        <w:t xml:space="preserve">RECOPE </w:t>
      </w:r>
      <w:r w:rsidRPr="006E6390">
        <w:rPr>
          <w:rFonts w:cs="Arial"/>
          <w:sz w:val="20"/>
          <w:szCs w:val="20"/>
        </w:rPr>
        <w:t>Dirección de Comercio Inte</w:t>
      </w:r>
      <w:r w:rsidR="00932FE4" w:rsidRPr="006E6390">
        <w:rPr>
          <w:rFonts w:cs="Arial"/>
          <w:sz w:val="20"/>
          <w:szCs w:val="20"/>
        </w:rPr>
        <w:t>rnacional</w:t>
      </w:r>
    </w:p>
    <w:p w14:paraId="7842F3DB" w14:textId="140199B6" w:rsidR="005C12EC" w:rsidRPr="00642EF3" w:rsidRDefault="005C12EC" w:rsidP="007C1974">
      <w:pPr>
        <w:spacing w:after="0"/>
        <w:rPr>
          <w:rFonts w:cs="Arial"/>
        </w:rPr>
      </w:pPr>
      <w:r w:rsidRPr="00057452">
        <w:rPr>
          <w:rFonts w:cs="Arial"/>
        </w:rPr>
        <w:t xml:space="preserve">Entre 2012 y </w:t>
      </w:r>
      <w:r w:rsidR="003D0C68" w:rsidRPr="00057452">
        <w:rPr>
          <w:rFonts w:cs="Arial"/>
        </w:rPr>
        <w:t>2022</w:t>
      </w:r>
      <w:r w:rsidRPr="00057452">
        <w:rPr>
          <w:rFonts w:cs="Arial"/>
        </w:rPr>
        <w:t xml:space="preserve">, la procedencia de las importaciones mayoritariamente fue de la Costa del Golfo. </w:t>
      </w:r>
      <w:r w:rsidR="006E137B" w:rsidRPr="00057452">
        <w:rPr>
          <w:rFonts w:cs="Arial"/>
        </w:rPr>
        <w:t xml:space="preserve"> </w:t>
      </w:r>
      <w:r w:rsidRPr="00057452">
        <w:rPr>
          <w:rFonts w:cs="Arial"/>
        </w:rPr>
        <w:t xml:space="preserve">El siguiente cuadro muestra el desglose por proveedor de las importaciones de RECOPE en </w:t>
      </w:r>
      <w:r w:rsidR="00057452" w:rsidRPr="00057452">
        <w:rPr>
          <w:rFonts w:cs="Arial"/>
        </w:rPr>
        <w:t>202</w:t>
      </w:r>
      <w:r w:rsidR="00057452" w:rsidRPr="00642EF3">
        <w:rPr>
          <w:rFonts w:cs="Arial"/>
        </w:rPr>
        <w:t>1</w:t>
      </w:r>
      <w:r w:rsidR="00057452" w:rsidRPr="00057452">
        <w:rPr>
          <w:rFonts w:cs="Arial"/>
        </w:rPr>
        <w:t xml:space="preserve"> </w:t>
      </w:r>
      <w:r w:rsidRPr="00057452">
        <w:rPr>
          <w:rFonts w:cs="Arial"/>
        </w:rPr>
        <w:t xml:space="preserve">y </w:t>
      </w:r>
      <w:r w:rsidR="00057452" w:rsidRPr="00057452">
        <w:rPr>
          <w:rFonts w:cs="Arial"/>
        </w:rPr>
        <w:t>202</w:t>
      </w:r>
      <w:r w:rsidR="00057452" w:rsidRPr="00642EF3">
        <w:rPr>
          <w:rFonts w:cs="Arial"/>
        </w:rPr>
        <w:t>2</w:t>
      </w:r>
      <w:r w:rsidRPr="00057452">
        <w:rPr>
          <w:rFonts w:cs="Arial"/>
        </w:rPr>
        <w:t xml:space="preserve">, </w:t>
      </w:r>
      <w:r w:rsidR="00F26766" w:rsidRPr="00057452">
        <w:rPr>
          <w:rFonts w:cs="Arial"/>
        </w:rPr>
        <w:t>con</w:t>
      </w:r>
      <w:r w:rsidR="00057452" w:rsidRPr="00642EF3">
        <w:rPr>
          <w:rFonts w:cs="Arial"/>
        </w:rPr>
        <w:t xml:space="preserve"> Valero Marketing&amp;Supply Co. como </w:t>
      </w:r>
      <w:r w:rsidRPr="00057452">
        <w:rPr>
          <w:rFonts w:cs="Arial"/>
        </w:rPr>
        <w:t xml:space="preserve">el mayor proveedor </w:t>
      </w:r>
      <w:r w:rsidR="00C77432" w:rsidRPr="00057452">
        <w:rPr>
          <w:rFonts w:cs="Arial"/>
        </w:rPr>
        <w:t>a nivel de participación en</w:t>
      </w:r>
      <w:r w:rsidR="00057452" w:rsidRPr="00642EF3">
        <w:rPr>
          <w:rFonts w:cs="Arial"/>
        </w:rPr>
        <w:t xml:space="preserve"> volumen, no así en facturado.</w:t>
      </w:r>
      <w:r w:rsidR="00472129" w:rsidRPr="00057452">
        <w:rPr>
          <w:rFonts w:cs="Arial"/>
        </w:rPr>
        <w:t xml:space="preserve"> </w:t>
      </w:r>
      <w:r w:rsidR="006E137B" w:rsidRPr="00057452">
        <w:rPr>
          <w:rFonts w:cs="Arial"/>
        </w:rPr>
        <w:t xml:space="preserve"> </w:t>
      </w:r>
      <w:r w:rsidR="00C77432" w:rsidRPr="00057452">
        <w:rPr>
          <w:rFonts w:cs="Arial"/>
        </w:rPr>
        <w:t xml:space="preserve">Pero en el periodo </w:t>
      </w:r>
      <w:r w:rsidR="00057452" w:rsidRPr="00057452">
        <w:rPr>
          <w:rFonts w:cs="Arial"/>
        </w:rPr>
        <w:t>202</w:t>
      </w:r>
      <w:r w:rsidR="00057452" w:rsidRPr="00642EF3">
        <w:rPr>
          <w:rFonts w:cs="Arial"/>
        </w:rPr>
        <w:t>2</w:t>
      </w:r>
      <w:r w:rsidR="00057452" w:rsidRPr="00057452">
        <w:rPr>
          <w:rFonts w:cs="Arial"/>
        </w:rPr>
        <w:t xml:space="preserve"> </w:t>
      </w:r>
      <w:r w:rsidR="00C77432" w:rsidRPr="00057452">
        <w:rPr>
          <w:rFonts w:cs="Arial"/>
        </w:rPr>
        <w:t xml:space="preserve">el proveedor con mayor volumen comprado fue </w:t>
      </w:r>
      <w:r w:rsidR="00057452" w:rsidRPr="00642EF3">
        <w:rPr>
          <w:rFonts w:cs="Arial"/>
        </w:rPr>
        <w:t>EXXON Mobil Sales&amp;Supply (38,8%); mientras que en facturado CIF la firma Marathon International Products Supply fue el principal proveedor (50,9%)</w:t>
      </w:r>
      <w:r w:rsidR="00C77432" w:rsidRPr="00057452">
        <w:rPr>
          <w:rFonts w:cs="Arial"/>
        </w:rPr>
        <w:t>.</w:t>
      </w:r>
      <w:r w:rsidRPr="00057452">
        <w:rPr>
          <w:rFonts w:cs="Arial"/>
        </w:rPr>
        <w:t xml:space="preserve"> </w:t>
      </w:r>
      <w:r w:rsidR="006E137B" w:rsidRPr="00057452">
        <w:rPr>
          <w:rFonts w:cs="Arial"/>
        </w:rPr>
        <w:t xml:space="preserve"> </w:t>
      </w:r>
      <w:r w:rsidRPr="00057452">
        <w:rPr>
          <w:rFonts w:cs="Arial"/>
        </w:rPr>
        <w:t xml:space="preserve">En la columna (%) se pondera la participación de cada proveedor entre ambos </w:t>
      </w:r>
      <w:r w:rsidRPr="00057452">
        <w:rPr>
          <w:rFonts w:cs="Arial"/>
        </w:rPr>
        <w:lastRenderedPageBreak/>
        <w:t>años, tanto en volumen como por importe pagado, de modo de poder ordenarlos de mayor a menor.</w:t>
      </w:r>
      <w:r w:rsidRPr="006E6390">
        <w:rPr>
          <w:rFonts w:cs="Arial"/>
          <w:b/>
          <w:bCs/>
        </w:rPr>
        <w:t xml:space="preserve"> </w:t>
      </w:r>
    </w:p>
    <w:p w14:paraId="3B920F9F" w14:textId="77777777" w:rsidR="003F2A20" w:rsidRPr="003F2A20" w:rsidRDefault="003F2A20" w:rsidP="005C12EC">
      <w:pPr>
        <w:rPr>
          <w:rFonts w:cs="Arial"/>
        </w:rPr>
      </w:pPr>
    </w:p>
    <w:p w14:paraId="6D6E125D" w14:textId="1C72A6B9" w:rsidR="005C12EC" w:rsidRPr="006E6390" w:rsidRDefault="005C12EC" w:rsidP="005C12EC">
      <w:pPr>
        <w:pStyle w:val="Ttuloscuadros"/>
        <w:tabs>
          <w:tab w:val="left" w:pos="9270"/>
        </w:tabs>
        <w:rPr>
          <w:rFonts w:cs="Arial"/>
        </w:rPr>
      </w:pPr>
      <w:r w:rsidRPr="006E6390">
        <w:rPr>
          <w:rFonts w:cs="Arial"/>
        </w:rPr>
        <w:t>Cuadro N°</w:t>
      </w:r>
      <w:r w:rsidR="0044062B" w:rsidRPr="006E6390">
        <w:rPr>
          <w:rFonts w:cs="Arial"/>
        </w:rPr>
        <w:t>2</w:t>
      </w:r>
      <w:r w:rsidR="0044062B">
        <w:rPr>
          <w:rFonts w:cs="Arial"/>
        </w:rPr>
        <w:t>9</w:t>
      </w:r>
    </w:p>
    <w:p w14:paraId="32C35E31" w14:textId="268BA57B" w:rsidR="005C12EC" w:rsidRPr="006E6390" w:rsidRDefault="005C12EC" w:rsidP="005C12EC">
      <w:pPr>
        <w:pStyle w:val="Ttuloscuadros"/>
        <w:tabs>
          <w:tab w:val="left" w:pos="9270"/>
        </w:tabs>
        <w:rPr>
          <w:rFonts w:cs="Arial"/>
        </w:rPr>
      </w:pPr>
      <w:r w:rsidRPr="006E6390">
        <w:rPr>
          <w:rFonts w:cs="Arial"/>
        </w:rPr>
        <w:t>Desglose de las importaciones por proveedor (</w:t>
      </w:r>
      <w:r w:rsidR="00344114" w:rsidRPr="006E6390">
        <w:rPr>
          <w:rFonts w:cs="Arial"/>
        </w:rPr>
        <w:t>20</w:t>
      </w:r>
      <w:r w:rsidR="00256D26" w:rsidRPr="006E6390">
        <w:rPr>
          <w:rFonts w:cs="Arial"/>
        </w:rPr>
        <w:t>2</w:t>
      </w:r>
      <w:r w:rsidR="003B4034">
        <w:rPr>
          <w:rFonts w:cs="Arial"/>
        </w:rPr>
        <w:t>1-</w:t>
      </w:r>
      <w:r w:rsidRPr="006E6390">
        <w:rPr>
          <w:rFonts w:cs="Arial"/>
        </w:rPr>
        <w:t xml:space="preserve"> </w:t>
      </w:r>
      <w:r w:rsidR="003B4034" w:rsidRPr="006E6390">
        <w:rPr>
          <w:rFonts w:cs="Arial"/>
        </w:rPr>
        <w:t>202</w:t>
      </w:r>
      <w:r w:rsidR="003B4034">
        <w:rPr>
          <w:rFonts w:cs="Arial"/>
        </w:rPr>
        <w:t>2</w:t>
      </w:r>
      <w:r w:rsidRPr="006E6390">
        <w:rPr>
          <w:rFonts w:cs="Arial"/>
        </w:rPr>
        <w:t>)</w:t>
      </w:r>
    </w:p>
    <w:tbl>
      <w:tblPr>
        <w:tblW w:w="8670" w:type="dxa"/>
        <w:jc w:val="center"/>
        <w:tblCellMar>
          <w:left w:w="70" w:type="dxa"/>
          <w:right w:w="70" w:type="dxa"/>
        </w:tblCellMar>
        <w:tblLook w:val="04A0" w:firstRow="1" w:lastRow="0" w:firstColumn="1" w:lastColumn="0" w:noHBand="0" w:noVBand="1"/>
      </w:tblPr>
      <w:tblGrid>
        <w:gridCol w:w="2542"/>
        <w:gridCol w:w="993"/>
        <w:gridCol w:w="992"/>
        <w:gridCol w:w="594"/>
        <w:gridCol w:w="1532"/>
        <w:gridCol w:w="1418"/>
        <w:gridCol w:w="599"/>
      </w:tblGrid>
      <w:tr w:rsidR="003D2E55" w:rsidRPr="003D2E55" w14:paraId="3B0C85F6" w14:textId="77777777" w:rsidTr="00642EF3">
        <w:trPr>
          <w:trHeight w:val="300"/>
          <w:tblHeader/>
          <w:jc w:val="center"/>
        </w:trPr>
        <w:tc>
          <w:tcPr>
            <w:tcW w:w="2542" w:type="dxa"/>
            <w:vMerge w:val="restart"/>
            <w:tcBorders>
              <w:top w:val="single" w:sz="8" w:space="0" w:color="BFBFBF"/>
              <w:left w:val="single" w:sz="8" w:space="0" w:color="BFBFBF"/>
              <w:bottom w:val="single" w:sz="4" w:space="0" w:color="BFBFBF"/>
              <w:right w:val="single" w:sz="4" w:space="0" w:color="BFBFBF"/>
            </w:tcBorders>
            <w:shd w:val="clear" w:color="auto" w:fill="auto"/>
            <w:noWrap/>
            <w:vAlign w:val="center"/>
            <w:hideMark/>
          </w:tcPr>
          <w:p w14:paraId="19EEF00E" w14:textId="77777777" w:rsidR="003D2E55" w:rsidRPr="003D2E55" w:rsidRDefault="003D2E55" w:rsidP="003D2E55">
            <w:pPr>
              <w:spacing w:after="0" w:line="240" w:lineRule="auto"/>
              <w:jc w:val="left"/>
              <w:rPr>
                <w:rFonts w:cs="Arial"/>
                <w:b/>
                <w:bCs/>
                <w:color w:val="000000"/>
                <w:sz w:val="16"/>
                <w:szCs w:val="16"/>
              </w:rPr>
            </w:pPr>
            <w:r w:rsidRPr="003D2E55">
              <w:rPr>
                <w:rFonts w:cs="Arial"/>
                <w:b/>
                <w:bCs/>
                <w:color w:val="000000"/>
                <w:sz w:val="16"/>
                <w:szCs w:val="16"/>
              </w:rPr>
              <w:t>Proveedor</w:t>
            </w:r>
          </w:p>
        </w:tc>
        <w:tc>
          <w:tcPr>
            <w:tcW w:w="2579" w:type="dxa"/>
            <w:gridSpan w:val="3"/>
            <w:tcBorders>
              <w:top w:val="single" w:sz="8" w:space="0" w:color="BFBFBF"/>
              <w:left w:val="nil"/>
              <w:bottom w:val="single" w:sz="4" w:space="0" w:color="BFBFBF"/>
              <w:right w:val="single" w:sz="4" w:space="0" w:color="BFBFBF"/>
            </w:tcBorders>
            <w:shd w:val="clear" w:color="000000" w:fill="FFFFFF"/>
            <w:noWrap/>
            <w:vAlign w:val="center"/>
            <w:hideMark/>
          </w:tcPr>
          <w:p w14:paraId="7E7BF5BD"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Volumen facturado (bbls)</w:t>
            </w:r>
          </w:p>
        </w:tc>
        <w:tc>
          <w:tcPr>
            <w:tcW w:w="3549" w:type="dxa"/>
            <w:gridSpan w:val="3"/>
            <w:tcBorders>
              <w:top w:val="single" w:sz="8" w:space="0" w:color="BFBFBF"/>
              <w:left w:val="nil"/>
              <w:bottom w:val="single" w:sz="4" w:space="0" w:color="BFBFBF"/>
              <w:right w:val="single" w:sz="8" w:space="0" w:color="BFBFBF"/>
            </w:tcBorders>
            <w:shd w:val="clear" w:color="000000" w:fill="FFFFFF"/>
            <w:noWrap/>
            <w:vAlign w:val="center"/>
            <w:hideMark/>
          </w:tcPr>
          <w:p w14:paraId="748F5DC0"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Costo CIF (US$)</w:t>
            </w:r>
          </w:p>
        </w:tc>
      </w:tr>
      <w:tr w:rsidR="002D5476" w:rsidRPr="003D2E55" w14:paraId="47EC40E1" w14:textId="77777777" w:rsidTr="00935FC1">
        <w:trPr>
          <w:trHeight w:val="300"/>
          <w:jc w:val="center"/>
        </w:trPr>
        <w:tc>
          <w:tcPr>
            <w:tcW w:w="2542" w:type="dxa"/>
            <w:vMerge/>
            <w:tcBorders>
              <w:top w:val="single" w:sz="8" w:space="0" w:color="BFBFBF"/>
              <w:left w:val="single" w:sz="8" w:space="0" w:color="BFBFBF"/>
              <w:bottom w:val="single" w:sz="4" w:space="0" w:color="BFBFBF"/>
              <w:right w:val="single" w:sz="4" w:space="0" w:color="BFBFBF"/>
            </w:tcBorders>
            <w:vAlign w:val="center"/>
            <w:hideMark/>
          </w:tcPr>
          <w:p w14:paraId="6A7C07E7" w14:textId="77777777" w:rsidR="003D2E55" w:rsidRPr="003D2E55" w:rsidRDefault="003D2E55" w:rsidP="003D2E55">
            <w:pPr>
              <w:spacing w:after="0" w:line="240" w:lineRule="auto"/>
              <w:jc w:val="left"/>
              <w:rPr>
                <w:rFonts w:cs="Arial"/>
                <w:b/>
                <w:bCs/>
                <w:color w:val="000000"/>
                <w:sz w:val="16"/>
                <w:szCs w:val="16"/>
              </w:rPr>
            </w:pPr>
          </w:p>
        </w:tc>
        <w:tc>
          <w:tcPr>
            <w:tcW w:w="993" w:type="dxa"/>
            <w:tcBorders>
              <w:top w:val="nil"/>
              <w:left w:val="nil"/>
              <w:bottom w:val="single" w:sz="4" w:space="0" w:color="BFBFBF"/>
              <w:right w:val="single" w:sz="4" w:space="0" w:color="BFBFBF"/>
            </w:tcBorders>
            <w:shd w:val="clear" w:color="000000" w:fill="FFFFFF"/>
            <w:noWrap/>
            <w:vAlign w:val="center"/>
            <w:hideMark/>
          </w:tcPr>
          <w:p w14:paraId="33482B72"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2021</w:t>
            </w:r>
          </w:p>
        </w:tc>
        <w:tc>
          <w:tcPr>
            <w:tcW w:w="992" w:type="dxa"/>
            <w:tcBorders>
              <w:top w:val="nil"/>
              <w:left w:val="nil"/>
              <w:bottom w:val="single" w:sz="4" w:space="0" w:color="BFBFBF"/>
              <w:right w:val="single" w:sz="4" w:space="0" w:color="BFBFBF"/>
            </w:tcBorders>
            <w:shd w:val="clear" w:color="000000" w:fill="FFFFFF"/>
            <w:noWrap/>
            <w:vAlign w:val="center"/>
            <w:hideMark/>
          </w:tcPr>
          <w:p w14:paraId="72B777EC"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2022</w:t>
            </w:r>
          </w:p>
        </w:tc>
        <w:tc>
          <w:tcPr>
            <w:tcW w:w="594" w:type="dxa"/>
            <w:tcBorders>
              <w:top w:val="nil"/>
              <w:left w:val="nil"/>
              <w:bottom w:val="single" w:sz="4" w:space="0" w:color="BFBFBF"/>
              <w:right w:val="single" w:sz="4" w:space="0" w:color="BFBFBF"/>
            </w:tcBorders>
            <w:shd w:val="clear" w:color="000000" w:fill="FFFFFF"/>
            <w:noWrap/>
            <w:vAlign w:val="center"/>
            <w:hideMark/>
          </w:tcPr>
          <w:p w14:paraId="03808BD4"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w:t>
            </w:r>
          </w:p>
        </w:tc>
        <w:tc>
          <w:tcPr>
            <w:tcW w:w="1532" w:type="dxa"/>
            <w:tcBorders>
              <w:top w:val="nil"/>
              <w:left w:val="nil"/>
              <w:bottom w:val="single" w:sz="4" w:space="0" w:color="BFBFBF"/>
              <w:right w:val="single" w:sz="4" w:space="0" w:color="BFBFBF"/>
            </w:tcBorders>
            <w:shd w:val="clear" w:color="000000" w:fill="FFFFFF"/>
            <w:noWrap/>
            <w:vAlign w:val="center"/>
            <w:hideMark/>
          </w:tcPr>
          <w:p w14:paraId="7580F77D"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2021</w:t>
            </w:r>
          </w:p>
        </w:tc>
        <w:tc>
          <w:tcPr>
            <w:tcW w:w="1418" w:type="dxa"/>
            <w:tcBorders>
              <w:top w:val="nil"/>
              <w:left w:val="nil"/>
              <w:bottom w:val="single" w:sz="4" w:space="0" w:color="BFBFBF"/>
              <w:right w:val="single" w:sz="4" w:space="0" w:color="BFBFBF"/>
            </w:tcBorders>
            <w:shd w:val="clear" w:color="000000" w:fill="FFFFFF"/>
            <w:noWrap/>
            <w:vAlign w:val="center"/>
            <w:hideMark/>
          </w:tcPr>
          <w:p w14:paraId="6FA36E71"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2022</w:t>
            </w:r>
          </w:p>
        </w:tc>
        <w:tc>
          <w:tcPr>
            <w:tcW w:w="594" w:type="dxa"/>
            <w:tcBorders>
              <w:top w:val="nil"/>
              <w:left w:val="nil"/>
              <w:bottom w:val="single" w:sz="4" w:space="0" w:color="BFBFBF"/>
              <w:right w:val="single" w:sz="8" w:space="0" w:color="BFBFBF"/>
            </w:tcBorders>
            <w:shd w:val="clear" w:color="000000" w:fill="FFFFFF"/>
            <w:noWrap/>
            <w:vAlign w:val="center"/>
            <w:hideMark/>
          </w:tcPr>
          <w:p w14:paraId="6BD0E4F3"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w:t>
            </w:r>
          </w:p>
        </w:tc>
      </w:tr>
      <w:tr w:rsidR="00935FC1" w:rsidRPr="003D2E55" w14:paraId="72C53E3B" w14:textId="77777777" w:rsidTr="00642EF3">
        <w:trPr>
          <w:trHeight w:val="450"/>
          <w:jc w:val="center"/>
        </w:trPr>
        <w:tc>
          <w:tcPr>
            <w:tcW w:w="2542" w:type="dxa"/>
            <w:tcBorders>
              <w:top w:val="nil"/>
              <w:left w:val="single" w:sz="8" w:space="0" w:color="BFBFBF"/>
              <w:bottom w:val="single" w:sz="4" w:space="0" w:color="BFBFBF"/>
              <w:right w:val="single" w:sz="4" w:space="0" w:color="BFBFBF"/>
            </w:tcBorders>
            <w:shd w:val="clear" w:color="auto" w:fill="auto"/>
            <w:noWrap/>
            <w:vAlign w:val="center"/>
            <w:hideMark/>
          </w:tcPr>
          <w:p w14:paraId="4D81C24B"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Valero Marketing &amp;Supply Co.</w:t>
            </w:r>
          </w:p>
        </w:tc>
        <w:tc>
          <w:tcPr>
            <w:tcW w:w="993" w:type="dxa"/>
            <w:tcBorders>
              <w:top w:val="nil"/>
              <w:left w:val="nil"/>
              <w:bottom w:val="single" w:sz="4" w:space="0" w:color="BFBFBF"/>
              <w:right w:val="single" w:sz="4" w:space="0" w:color="BFBFBF"/>
            </w:tcBorders>
            <w:shd w:val="clear" w:color="auto" w:fill="auto"/>
            <w:noWrap/>
            <w:vAlign w:val="center"/>
            <w:hideMark/>
          </w:tcPr>
          <w:p w14:paraId="060786D3"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13 766 467</w:t>
            </w:r>
          </w:p>
        </w:tc>
        <w:tc>
          <w:tcPr>
            <w:tcW w:w="992" w:type="dxa"/>
            <w:tcBorders>
              <w:top w:val="nil"/>
              <w:left w:val="nil"/>
              <w:bottom w:val="single" w:sz="4" w:space="0" w:color="BFBFBF"/>
              <w:right w:val="single" w:sz="4" w:space="0" w:color="BFBFBF"/>
            </w:tcBorders>
            <w:shd w:val="clear" w:color="auto" w:fill="auto"/>
            <w:noWrap/>
            <w:vAlign w:val="center"/>
            <w:hideMark/>
          </w:tcPr>
          <w:p w14:paraId="69CBFC61"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594" w:type="dxa"/>
            <w:tcBorders>
              <w:top w:val="nil"/>
              <w:left w:val="nil"/>
              <w:bottom w:val="single" w:sz="4" w:space="0" w:color="BFBFBF"/>
              <w:right w:val="single" w:sz="4" w:space="0" w:color="BFBFBF"/>
            </w:tcBorders>
            <w:shd w:val="clear" w:color="auto" w:fill="auto"/>
            <w:noWrap/>
            <w:vAlign w:val="center"/>
            <w:hideMark/>
          </w:tcPr>
          <w:p w14:paraId="519E0A20"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32,7%</w:t>
            </w:r>
          </w:p>
        </w:tc>
        <w:tc>
          <w:tcPr>
            <w:tcW w:w="1532" w:type="dxa"/>
            <w:tcBorders>
              <w:top w:val="nil"/>
              <w:left w:val="nil"/>
              <w:bottom w:val="single" w:sz="4" w:space="0" w:color="BFBFBF"/>
              <w:right w:val="single" w:sz="4" w:space="0" w:color="BFBFBF"/>
            </w:tcBorders>
            <w:shd w:val="clear" w:color="auto" w:fill="auto"/>
            <w:noWrap/>
            <w:vAlign w:val="center"/>
            <w:hideMark/>
          </w:tcPr>
          <w:p w14:paraId="36F75540" w14:textId="77D78616"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1 066 284 574,66 </w:t>
            </w:r>
          </w:p>
        </w:tc>
        <w:tc>
          <w:tcPr>
            <w:tcW w:w="1418" w:type="dxa"/>
            <w:tcBorders>
              <w:top w:val="nil"/>
              <w:left w:val="nil"/>
              <w:bottom w:val="single" w:sz="4" w:space="0" w:color="BFBFBF"/>
              <w:right w:val="single" w:sz="4" w:space="0" w:color="BFBFBF"/>
            </w:tcBorders>
            <w:shd w:val="clear" w:color="auto" w:fill="auto"/>
            <w:noWrap/>
            <w:vAlign w:val="center"/>
            <w:hideMark/>
          </w:tcPr>
          <w:p w14:paraId="498E5A1B"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594" w:type="dxa"/>
            <w:tcBorders>
              <w:top w:val="nil"/>
              <w:left w:val="nil"/>
              <w:bottom w:val="single" w:sz="4" w:space="0" w:color="BFBFBF"/>
              <w:right w:val="single" w:sz="8" w:space="0" w:color="BFBFBF"/>
            </w:tcBorders>
            <w:shd w:val="clear" w:color="auto" w:fill="auto"/>
            <w:noWrap/>
            <w:vAlign w:val="center"/>
            <w:hideMark/>
          </w:tcPr>
          <w:p w14:paraId="7523A030"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25,9%</w:t>
            </w:r>
          </w:p>
        </w:tc>
      </w:tr>
      <w:tr w:rsidR="00935FC1" w:rsidRPr="003D2E55" w14:paraId="2C249EF4" w14:textId="77777777" w:rsidTr="00642EF3">
        <w:trPr>
          <w:trHeight w:val="450"/>
          <w:jc w:val="center"/>
        </w:trPr>
        <w:tc>
          <w:tcPr>
            <w:tcW w:w="2542" w:type="dxa"/>
            <w:tcBorders>
              <w:top w:val="nil"/>
              <w:left w:val="single" w:sz="8" w:space="0" w:color="BFBFBF"/>
              <w:bottom w:val="single" w:sz="4" w:space="0" w:color="BFBFBF"/>
              <w:right w:val="single" w:sz="4" w:space="0" w:color="BFBFBF"/>
            </w:tcBorders>
            <w:shd w:val="clear" w:color="000000" w:fill="F2F2F2"/>
            <w:noWrap/>
            <w:vAlign w:val="center"/>
            <w:hideMark/>
          </w:tcPr>
          <w:p w14:paraId="13F153C0"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EXXON Mobil Sales &amp; Supply</w:t>
            </w:r>
          </w:p>
        </w:tc>
        <w:tc>
          <w:tcPr>
            <w:tcW w:w="993" w:type="dxa"/>
            <w:tcBorders>
              <w:top w:val="nil"/>
              <w:left w:val="nil"/>
              <w:bottom w:val="single" w:sz="4" w:space="0" w:color="BFBFBF"/>
              <w:right w:val="single" w:sz="4" w:space="0" w:color="BFBFBF"/>
            </w:tcBorders>
            <w:shd w:val="clear" w:color="000000" w:fill="F2F2F2"/>
            <w:noWrap/>
            <w:vAlign w:val="center"/>
            <w:hideMark/>
          </w:tcPr>
          <w:p w14:paraId="2C269909"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2 781 449</w:t>
            </w:r>
          </w:p>
        </w:tc>
        <w:tc>
          <w:tcPr>
            <w:tcW w:w="992" w:type="dxa"/>
            <w:tcBorders>
              <w:top w:val="nil"/>
              <w:left w:val="nil"/>
              <w:bottom w:val="single" w:sz="4" w:space="0" w:color="BFBFBF"/>
              <w:right w:val="single" w:sz="4" w:space="0" w:color="BFBFBF"/>
            </w:tcBorders>
            <w:shd w:val="clear" w:color="000000" w:fill="F2F2F2"/>
            <w:noWrap/>
            <w:vAlign w:val="center"/>
            <w:hideMark/>
          </w:tcPr>
          <w:p w14:paraId="5FC9AF28"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8 187 171</w:t>
            </w:r>
          </w:p>
        </w:tc>
        <w:tc>
          <w:tcPr>
            <w:tcW w:w="594" w:type="dxa"/>
            <w:tcBorders>
              <w:top w:val="nil"/>
              <w:left w:val="nil"/>
              <w:bottom w:val="single" w:sz="4" w:space="0" w:color="BFBFBF"/>
              <w:right w:val="single" w:sz="4" w:space="0" w:color="BFBFBF"/>
            </w:tcBorders>
            <w:shd w:val="clear" w:color="000000" w:fill="F2F2F2"/>
            <w:noWrap/>
            <w:vAlign w:val="center"/>
            <w:hideMark/>
          </w:tcPr>
          <w:p w14:paraId="575176E8"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26,1%</w:t>
            </w:r>
          </w:p>
        </w:tc>
        <w:tc>
          <w:tcPr>
            <w:tcW w:w="1532" w:type="dxa"/>
            <w:tcBorders>
              <w:top w:val="nil"/>
              <w:left w:val="nil"/>
              <w:bottom w:val="single" w:sz="4" w:space="0" w:color="BFBFBF"/>
              <w:right w:val="single" w:sz="4" w:space="0" w:color="BFBFBF"/>
            </w:tcBorders>
            <w:shd w:val="clear" w:color="000000" w:fill="F2F2F2"/>
            <w:noWrap/>
            <w:vAlign w:val="center"/>
            <w:hideMark/>
          </w:tcPr>
          <w:p w14:paraId="6B4B9944" w14:textId="1943BA45"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252 125 236,30 </w:t>
            </w:r>
          </w:p>
        </w:tc>
        <w:tc>
          <w:tcPr>
            <w:tcW w:w="1418" w:type="dxa"/>
            <w:tcBorders>
              <w:top w:val="nil"/>
              <w:left w:val="nil"/>
              <w:bottom w:val="single" w:sz="4" w:space="0" w:color="BFBFBF"/>
              <w:right w:val="single" w:sz="4" w:space="0" w:color="BFBFBF"/>
            </w:tcBorders>
            <w:shd w:val="clear" w:color="000000" w:fill="F2F2F2"/>
            <w:noWrap/>
            <w:vAlign w:val="center"/>
            <w:hideMark/>
          </w:tcPr>
          <w:p w14:paraId="4E43B0A0" w14:textId="723B9B2C"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978 312 831,97 </w:t>
            </w:r>
          </w:p>
        </w:tc>
        <w:tc>
          <w:tcPr>
            <w:tcW w:w="594" w:type="dxa"/>
            <w:tcBorders>
              <w:top w:val="nil"/>
              <w:left w:val="nil"/>
              <w:bottom w:val="single" w:sz="4" w:space="0" w:color="BFBFBF"/>
              <w:right w:val="single" w:sz="8" w:space="0" w:color="BFBFBF"/>
            </w:tcBorders>
            <w:shd w:val="clear" w:color="000000" w:fill="F2F2F2"/>
            <w:noWrap/>
            <w:vAlign w:val="center"/>
            <w:hideMark/>
          </w:tcPr>
          <w:p w14:paraId="15DBCBC2"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29,9%</w:t>
            </w:r>
          </w:p>
        </w:tc>
      </w:tr>
      <w:tr w:rsidR="00935FC1" w:rsidRPr="003D2E55" w14:paraId="4BEFC956" w14:textId="77777777" w:rsidTr="00642EF3">
        <w:trPr>
          <w:trHeight w:val="900"/>
          <w:jc w:val="center"/>
        </w:trPr>
        <w:tc>
          <w:tcPr>
            <w:tcW w:w="2542" w:type="dxa"/>
            <w:tcBorders>
              <w:top w:val="nil"/>
              <w:left w:val="single" w:sz="8" w:space="0" w:color="BFBFBF"/>
              <w:bottom w:val="single" w:sz="4" w:space="0" w:color="BFBFBF"/>
              <w:right w:val="single" w:sz="4" w:space="0" w:color="BFBFBF"/>
            </w:tcBorders>
            <w:shd w:val="clear" w:color="000000" w:fill="FFFFFF"/>
            <w:noWrap/>
            <w:vAlign w:val="center"/>
            <w:hideMark/>
          </w:tcPr>
          <w:p w14:paraId="13F2C970" w14:textId="77777777" w:rsidR="003D2E55" w:rsidRPr="00642EF3" w:rsidRDefault="003D2E55" w:rsidP="003D2E55">
            <w:pPr>
              <w:spacing w:after="0" w:line="240" w:lineRule="auto"/>
              <w:rPr>
                <w:rFonts w:cs="Arial"/>
                <w:b/>
                <w:bCs/>
                <w:color w:val="000000"/>
                <w:sz w:val="16"/>
                <w:szCs w:val="16"/>
                <w:lang w:val="en-US"/>
              </w:rPr>
            </w:pPr>
            <w:r w:rsidRPr="00642EF3">
              <w:rPr>
                <w:rFonts w:cs="Arial"/>
                <w:b/>
                <w:bCs/>
                <w:color w:val="000000"/>
                <w:sz w:val="16"/>
                <w:szCs w:val="16"/>
                <w:lang w:val="en-US"/>
              </w:rPr>
              <w:t>Marathon International Products Supply llc</w:t>
            </w:r>
          </w:p>
        </w:tc>
        <w:tc>
          <w:tcPr>
            <w:tcW w:w="993" w:type="dxa"/>
            <w:tcBorders>
              <w:top w:val="nil"/>
              <w:left w:val="nil"/>
              <w:bottom w:val="single" w:sz="4" w:space="0" w:color="BFBFBF"/>
              <w:right w:val="single" w:sz="4" w:space="0" w:color="BFBFBF"/>
            </w:tcBorders>
            <w:shd w:val="clear" w:color="000000" w:fill="FFFFFF"/>
            <w:noWrap/>
            <w:vAlign w:val="center"/>
            <w:hideMark/>
          </w:tcPr>
          <w:p w14:paraId="64269C83"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921 107</w:t>
            </w:r>
          </w:p>
        </w:tc>
        <w:tc>
          <w:tcPr>
            <w:tcW w:w="992" w:type="dxa"/>
            <w:tcBorders>
              <w:top w:val="nil"/>
              <w:left w:val="nil"/>
              <w:bottom w:val="single" w:sz="4" w:space="0" w:color="BFBFBF"/>
              <w:right w:val="single" w:sz="4" w:space="0" w:color="BFBFBF"/>
            </w:tcBorders>
            <w:shd w:val="clear" w:color="000000" w:fill="FFFFFF"/>
            <w:noWrap/>
            <w:vAlign w:val="center"/>
            <w:hideMark/>
          </w:tcPr>
          <w:p w14:paraId="384F2ABA"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9 070 897</w:t>
            </w:r>
          </w:p>
        </w:tc>
        <w:tc>
          <w:tcPr>
            <w:tcW w:w="594" w:type="dxa"/>
            <w:tcBorders>
              <w:top w:val="nil"/>
              <w:left w:val="nil"/>
              <w:bottom w:val="single" w:sz="4" w:space="0" w:color="BFBFBF"/>
              <w:right w:val="single" w:sz="4" w:space="0" w:color="BFBFBF"/>
            </w:tcBorders>
            <w:shd w:val="clear" w:color="auto" w:fill="auto"/>
            <w:noWrap/>
            <w:vAlign w:val="center"/>
            <w:hideMark/>
          </w:tcPr>
          <w:p w14:paraId="5026F2F1"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23,8%</w:t>
            </w:r>
          </w:p>
        </w:tc>
        <w:tc>
          <w:tcPr>
            <w:tcW w:w="1532" w:type="dxa"/>
            <w:tcBorders>
              <w:top w:val="nil"/>
              <w:left w:val="nil"/>
              <w:bottom w:val="single" w:sz="4" w:space="0" w:color="BFBFBF"/>
              <w:right w:val="single" w:sz="4" w:space="0" w:color="BFBFBF"/>
            </w:tcBorders>
            <w:shd w:val="clear" w:color="000000" w:fill="FFFFFF"/>
            <w:noWrap/>
            <w:vAlign w:val="center"/>
            <w:hideMark/>
          </w:tcPr>
          <w:p w14:paraId="0142EB6F" w14:textId="5029792C"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79 753 186,32 </w:t>
            </w:r>
          </w:p>
        </w:tc>
        <w:tc>
          <w:tcPr>
            <w:tcW w:w="1418" w:type="dxa"/>
            <w:tcBorders>
              <w:top w:val="nil"/>
              <w:left w:val="nil"/>
              <w:bottom w:val="single" w:sz="4" w:space="0" w:color="BFBFBF"/>
              <w:right w:val="single" w:sz="4" w:space="0" w:color="BFBFBF"/>
            </w:tcBorders>
            <w:shd w:val="clear" w:color="000000" w:fill="FFFFFF"/>
            <w:noWrap/>
            <w:vAlign w:val="center"/>
            <w:hideMark/>
          </w:tcPr>
          <w:p w14:paraId="7F4EB9AB" w14:textId="5FBEA85D"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1 280 341 083,86 </w:t>
            </w:r>
          </w:p>
        </w:tc>
        <w:tc>
          <w:tcPr>
            <w:tcW w:w="594" w:type="dxa"/>
            <w:tcBorders>
              <w:top w:val="nil"/>
              <w:left w:val="nil"/>
              <w:bottom w:val="single" w:sz="4" w:space="0" w:color="BFBFBF"/>
              <w:right w:val="single" w:sz="8" w:space="0" w:color="BFBFBF"/>
            </w:tcBorders>
            <w:shd w:val="clear" w:color="auto" w:fill="auto"/>
            <w:noWrap/>
            <w:vAlign w:val="center"/>
            <w:hideMark/>
          </w:tcPr>
          <w:p w14:paraId="0A35C5BE"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33,1%</w:t>
            </w:r>
          </w:p>
        </w:tc>
      </w:tr>
      <w:tr w:rsidR="00935FC1" w:rsidRPr="003D2E55" w14:paraId="628AC5FB" w14:textId="77777777" w:rsidTr="00642EF3">
        <w:trPr>
          <w:trHeight w:val="450"/>
          <w:jc w:val="center"/>
        </w:trPr>
        <w:tc>
          <w:tcPr>
            <w:tcW w:w="2542" w:type="dxa"/>
            <w:tcBorders>
              <w:top w:val="nil"/>
              <w:left w:val="single" w:sz="8" w:space="0" w:color="BFBFBF"/>
              <w:bottom w:val="single" w:sz="4" w:space="0" w:color="BFBFBF"/>
              <w:right w:val="single" w:sz="4" w:space="0" w:color="BFBFBF"/>
            </w:tcBorders>
            <w:shd w:val="clear" w:color="000000" w:fill="F2F2F2"/>
            <w:noWrap/>
            <w:vAlign w:val="center"/>
            <w:hideMark/>
          </w:tcPr>
          <w:p w14:paraId="490BD4BD"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Carib LPG Trading Ltd</w:t>
            </w:r>
          </w:p>
        </w:tc>
        <w:tc>
          <w:tcPr>
            <w:tcW w:w="993" w:type="dxa"/>
            <w:tcBorders>
              <w:top w:val="nil"/>
              <w:left w:val="nil"/>
              <w:bottom w:val="single" w:sz="4" w:space="0" w:color="BFBFBF"/>
              <w:right w:val="single" w:sz="4" w:space="0" w:color="BFBFBF"/>
            </w:tcBorders>
            <w:shd w:val="clear" w:color="000000" w:fill="F2F2F2"/>
            <w:noWrap/>
            <w:vAlign w:val="center"/>
            <w:hideMark/>
          </w:tcPr>
          <w:p w14:paraId="65ED3119"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2 345 343</w:t>
            </w:r>
          </w:p>
        </w:tc>
        <w:tc>
          <w:tcPr>
            <w:tcW w:w="992" w:type="dxa"/>
            <w:tcBorders>
              <w:top w:val="nil"/>
              <w:left w:val="nil"/>
              <w:bottom w:val="single" w:sz="4" w:space="0" w:color="BFBFBF"/>
              <w:right w:val="single" w:sz="4" w:space="0" w:color="BFBFBF"/>
            </w:tcBorders>
            <w:shd w:val="clear" w:color="000000" w:fill="F2F2F2"/>
            <w:noWrap/>
            <w:vAlign w:val="center"/>
            <w:hideMark/>
          </w:tcPr>
          <w:p w14:paraId="57816F23"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2 480 216</w:t>
            </w:r>
          </w:p>
        </w:tc>
        <w:tc>
          <w:tcPr>
            <w:tcW w:w="594" w:type="dxa"/>
            <w:tcBorders>
              <w:top w:val="nil"/>
              <w:left w:val="nil"/>
              <w:bottom w:val="single" w:sz="4" w:space="0" w:color="BFBFBF"/>
              <w:right w:val="single" w:sz="4" w:space="0" w:color="BFBFBF"/>
            </w:tcBorders>
            <w:shd w:val="clear" w:color="000000" w:fill="F2F2F2"/>
            <w:noWrap/>
            <w:vAlign w:val="center"/>
            <w:hideMark/>
          </w:tcPr>
          <w:p w14:paraId="1B917080"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11,5%</w:t>
            </w:r>
          </w:p>
        </w:tc>
        <w:tc>
          <w:tcPr>
            <w:tcW w:w="1532" w:type="dxa"/>
            <w:tcBorders>
              <w:top w:val="nil"/>
              <w:left w:val="nil"/>
              <w:bottom w:val="single" w:sz="4" w:space="0" w:color="BFBFBF"/>
              <w:right w:val="single" w:sz="4" w:space="0" w:color="BFBFBF"/>
            </w:tcBorders>
            <w:shd w:val="clear" w:color="000000" w:fill="F2F2F2"/>
            <w:noWrap/>
            <w:vAlign w:val="center"/>
            <w:hideMark/>
          </w:tcPr>
          <w:p w14:paraId="3595AFB9" w14:textId="1508845C"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119 513 095,45 </w:t>
            </w:r>
          </w:p>
        </w:tc>
        <w:tc>
          <w:tcPr>
            <w:tcW w:w="1418" w:type="dxa"/>
            <w:tcBorders>
              <w:top w:val="nil"/>
              <w:left w:val="nil"/>
              <w:bottom w:val="single" w:sz="4" w:space="0" w:color="BFBFBF"/>
              <w:right w:val="single" w:sz="4" w:space="0" w:color="BFBFBF"/>
            </w:tcBorders>
            <w:shd w:val="clear" w:color="000000" w:fill="F2F2F2"/>
            <w:noWrap/>
            <w:vAlign w:val="center"/>
            <w:hideMark/>
          </w:tcPr>
          <w:p w14:paraId="4A832226" w14:textId="73F3FD4C"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136 388 036,38 </w:t>
            </w:r>
          </w:p>
        </w:tc>
        <w:tc>
          <w:tcPr>
            <w:tcW w:w="594" w:type="dxa"/>
            <w:tcBorders>
              <w:top w:val="nil"/>
              <w:left w:val="nil"/>
              <w:bottom w:val="single" w:sz="4" w:space="0" w:color="BFBFBF"/>
              <w:right w:val="single" w:sz="8" w:space="0" w:color="BFBFBF"/>
            </w:tcBorders>
            <w:shd w:val="clear" w:color="000000" w:fill="F2F2F2"/>
            <w:noWrap/>
            <w:vAlign w:val="center"/>
            <w:hideMark/>
          </w:tcPr>
          <w:p w14:paraId="23C1F2C2"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6,2%</w:t>
            </w:r>
          </w:p>
        </w:tc>
      </w:tr>
      <w:tr w:rsidR="00935FC1" w:rsidRPr="003D2E55" w14:paraId="145DECE6" w14:textId="77777777" w:rsidTr="00642EF3">
        <w:trPr>
          <w:trHeight w:val="300"/>
          <w:jc w:val="center"/>
        </w:trPr>
        <w:tc>
          <w:tcPr>
            <w:tcW w:w="2542" w:type="dxa"/>
            <w:tcBorders>
              <w:top w:val="nil"/>
              <w:left w:val="single" w:sz="8" w:space="0" w:color="BFBFBF"/>
              <w:bottom w:val="single" w:sz="4" w:space="0" w:color="BFBFBF"/>
              <w:right w:val="single" w:sz="4" w:space="0" w:color="BFBFBF"/>
            </w:tcBorders>
            <w:shd w:val="clear" w:color="auto" w:fill="auto"/>
            <w:noWrap/>
            <w:vAlign w:val="center"/>
            <w:hideMark/>
          </w:tcPr>
          <w:p w14:paraId="00DA0F4B"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Vitol Incorporated</w:t>
            </w:r>
          </w:p>
        </w:tc>
        <w:tc>
          <w:tcPr>
            <w:tcW w:w="993" w:type="dxa"/>
            <w:tcBorders>
              <w:top w:val="nil"/>
              <w:left w:val="nil"/>
              <w:bottom w:val="single" w:sz="4" w:space="0" w:color="BFBFBF"/>
              <w:right w:val="single" w:sz="4" w:space="0" w:color="BFBFBF"/>
            </w:tcBorders>
            <w:shd w:val="clear" w:color="auto" w:fill="auto"/>
            <w:noWrap/>
            <w:vAlign w:val="center"/>
            <w:hideMark/>
          </w:tcPr>
          <w:p w14:paraId="4889734F"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863 350</w:t>
            </w:r>
          </w:p>
        </w:tc>
        <w:tc>
          <w:tcPr>
            <w:tcW w:w="992" w:type="dxa"/>
            <w:tcBorders>
              <w:top w:val="nil"/>
              <w:left w:val="nil"/>
              <w:bottom w:val="single" w:sz="4" w:space="0" w:color="BFBFBF"/>
              <w:right w:val="single" w:sz="4" w:space="0" w:color="BFBFBF"/>
            </w:tcBorders>
            <w:shd w:val="clear" w:color="auto" w:fill="auto"/>
            <w:noWrap/>
            <w:vAlign w:val="center"/>
            <w:hideMark/>
          </w:tcPr>
          <w:p w14:paraId="5C1966FB"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411 317</w:t>
            </w:r>
          </w:p>
        </w:tc>
        <w:tc>
          <w:tcPr>
            <w:tcW w:w="594" w:type="dxa"/>
            <w:tcBorders>
              <w:top w:val="nil"/>
              <w:left w:val="nil"/>
              <w:bottom w:val="single" w:sz="4" w:space="0" w:color="BFBFBF"/>
              <w:right w:val="single" w:sz="4" w:space="0" w:color="BFBFBF"/>
            </w:tcBorders>
            <w:shd w:val="clear" w:color="auto" w:fill="auto"/>
            <w:noWrap/>
            <w:vAlign w:val="center"/>
            <w:hideMark/>
          </w:tcPr>
          <w:p w14:paraId="559082D9"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3,0%</w:t>
            </w:r>
          </w:p>
        </w:tc>
        <w:tc>
          <w:tcPr>
            <w:tcW w:w="1532" w:type="dxa"/>
            <w:tcBorders>
              <w:top w:val="nil"/>
              <w:left w:val="nil"/>
              <w:bottom w:val="single" w:sz="4" w:space="0" w:color="BFBFBF"/>
              <w:right w:val="single" w:sz="4" w:space="0" w:color="BFBFBF"/>
            </w:tcBorders>
            <w:shd w:val="clear" w:color="auto" w:fill="auto"/>
            <w:noWrap/>
            <w:vAlign w:val="center"/>
            <w:hideMark/>
          </w:tcPr>
          <w:p w14:paraId="23F8AC9B" w14:textId="16BC1141"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56 214 880,14 </w:t>
            </w:r>
          </w:p>
        </w:tc>
        <w:tc>
          <w:tcPr>
            <w:tcW w:w="1418" w:type="dxa"/>
            <w:tcBorders>
              <w:top w:val="nil"/>
              <w:left w:val="nil"/>
              <w:bottom w:val="single" w:sz="4" w:space="0" w:color="BFBFBF"/>
              <w:right w:val="single" w:sz="4" w:space="0" w:color="BFBFBF"/>
            </w:tcBorders>
            <w:shd w:val="clear" w:color="auto" w:fill="auto"/>
            <w:noWrap/>
            <w:vAlign w:val="center"/>
            <w:hideMark/>
          </w:tcPr>
          <w:p w14:paraId="16026DC2" w14:textId="6B3206CC"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32 807 870,92 </w:t>
            </w:r>
          </w:p>
        </w:tc>
        <w:tc>
          <w:tcPr>
            <w:tcW w:w="594" w:type="dxa"/>
            <w:tcBorders>
              <w:top w:val="nil"/>
              <w:left w:val="nil"/>
              <w:bottom w:val="single" w:sz="4" w:space="0" w:color="BFBFBF"/>
              <w:right w:val="single" w:sz="8" w:space="0" w:color="BFBFBF"/>
            </w:tcBorders>
            <w:shd w:val="clear" w:color="auto" w:fill="auto"/>
            <w:noWrap/>
            <w:vAlign w:val="center"/>
            <w:hideMark/>
          </w:tcPr>
          <w:p w14:paraId="76396ED6"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2,2%</w:t>
            </w:r>
          </w:p>
        </w:tc>
      </w:tr>
      <w:tr w:rsidR="00935FC1" w:rsidRPr="003D2E55" w14:paraId="5F391006" w14:textId="77777777" w:rsidTr="00642EF3">
        <w:trPr>
          <w:trHeight w:val="300"/>
          <w:jc w:val="center"/>
        </w:trPr>
        <w:tc>
          <w:tcPr>
            <w:tcW w:w="2542" w:type="dxa"/>
            <w:tcBorders>
              <w:top w:val="nil"/>
              <w:left w:val="single" w:sz="8" w:space="0" w:color="BFBFBF"/>
              <w:bottom w:val="single" w:sz="4" w:space="0" w:color="BFBFBF"/>
              <w:right w:val="single" w:sz="4" w:space="0" w:color="BFBFBF"/>
            </w:tcBorders>
            <w:shd w:val="clear" w:color="000000" w:fill="F2F2F2"/>
            <w:noWrap/>
            <w:vAlign w:val="center"/>
            <w:hideMark/>
          </w:tcPr>
          <w:p w14:paraId="7255EF6B"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GUNVOR S.A.</w:t>
            </w:r>
          </w:p>
        </w:tc>
        <w:tc>
          <w:tcPr>
            <w:tcW w:w="993" w:type="dxa"/>
            <w:tcBorders>
              <w:top w:val="nil"/>
              <w:left w:val="nil"/>
              <w:bottom w:val="single" w:sz="4" w:space="0" w:color="BFBFBF"/>
              <w:right w:val="single" w:sz="4" w:space="0" w:color="BFBFBF"/>
            </w:tcBorders>
            <w:shd w:val="clear" w:color="000000" w:fill="F2F2F2"/>
            <w:noWrap/>
            <w:vAlign w:val="center"/>
            <w:hideMark/>
          </w:tcPr>
          <w:p w14:paraId="65CEE117"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273 487</w:t>
            </w:r>
          </w:p>
        </w:tc>
        <w:tc>
          <w:tcPr>
            <w:tcW w:w="992" w:type="dxa"/>
            <w:tcBorders>
              <w:top w:val="nil"/>
              <w:left w:val="nil"/>
              <w:bottom w:val="single" w:sz="4" w:space="0" w:color="BFBFBF"/>
              <w:right w:val="single" w:sz="4" w:space="0" w:color="BFBFBF"/>
            </w:tcBorders>
            <w:shd w:val="clear" w:color="000000" w:fill="F2F2F2"/>
            <w:noWrap/>
            <w:vAlign w:val="center"/>
            <w:hideMark/>
          </w:tcPr>
          <w:p w14:paraId="4C9E2E0F"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372 953</w:t>
            </w:r>
          </w:p>
        </w:tc>
        <w:tc>
          <w:tcPr>
            <w:tcW w:w="594" w:type="dxa"/>
            <w:tcBorders>
              <w:top w:val="nil"/>
              <w:left w:val="nil"/>
              <w:bottom w:val="single" w:sz="4" w:space="0" w:color="BFBFBF"/>
              <w:right w:val="single" w:sz="4" w:space="0" w:color="BFBFBF"/>
            </w:tcBorders>
            <w:shd w:val="clear" w:color="000000" w:fill="F2F2F2"/>
            <w:noWrap/>
            <w:vAlign w:val="center"/>
            <w:hideMark/>
          </w:tcPr>
          <w:p w14:paraId="6B59D535"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1,5%</w:t>
            </w:r>
          </w:p>
        </w:tc>
        <w:tc>
          <w:tcPr>
            <w:tcW w:w="1532" w:type="dxa"/>
            <w:tcBorders>
              <w:top w:val="nil"/>
              <w:left w:val="nil"/>
              <w:bottom w:val="single" w:sz="4" w:space="0" w:color="BFBFBF"/>
              <w:right w:val="single" w:sz="4" w:space="0" w:color="BFBFBF"/>
            </w:tcBorders>
            <w:shd w:val="clear" w:color="000000" w:fill="F2F2F2"/>
            <w:noWrap/>
            <w:vAlign w:val="center"/>
            <w:hideMark/>
          </w:tcPr>
          <w:p w14:paraId="70553156" w14:textId="7689EB69"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19 660 567,07 </w:t>
            </w:r>
          </w:p>
        </w:tc>
        <w:tc>
          <w:tcPr>
            <w:tcW w:w="1418" w:type="dxa"/>
            <w:tcBorders>
              <w:top w:val="nil"/>
              <w:left w:val="nil"/>
              <w:bottom w:val="single" w:sz="4" w:space="0" w:color="BFBFBF"/>
              <w:right w:val="single" w:sz="4" w:space="0" w:color="BFBFBF"/>
            </w:tcBorders>
            <w:shd w:val="clear" w:color="000000" w:fill="F2F2F2"/>
            <w:noWrap/>
            <w:vAlign w:val="center"/>
            <w:hideMark/>
          </w:tcPr>
          <w:p w14:paraId="0F529D6A" w14:textId="6F649791"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35 582 130,78 </w:t>
            </w:r>
          </w:p>
        </w:tc>
        <w:tc>
          <w:tcPr>
            <w:tcW w:w="594" w:type="dxa"/>
            <w:tcBorders>
              <w:top w:val="nil"/>
              <w:left w:val="nil"/>
              <w:bottom w:val="single" w:sz="4" w:space="0" w:color="BFBFBF"/>
              <w:right w:val="single" w:sz="8" w:space="0" w:color="BFBFBF"/>
            </w:tcBorders>
            <w:shd w:val="clear" w:color="000000" w:fill="F2F2F2"/>
            <w:noWrap/>
            <w:vAlign w:val="center"/>
            <w:hideMark/>
          </w:tcPr>
          <w:p w14:paraId="6F6DB802"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1,3%</w:t>
            </w:r>
          </w:p>
        </w:tc>
      </w:tr>
      <w:tr w:rsidR="00935FC1" w:rsidRPr="003D2E55" w14:paraId="23A35C83" w14:textId="77777777" w:rsidTr="00642EF3">
        <w:trPr>
          <w:trHeight w:val="450"/>
          <w:jc w:val="center"/>
        </w:trPr>
        <w:tc>
          <w:tcPr>
            <w:tcW w:w="2542" w:type="dxa"/>
            <w:tcBorders>
              <w:top w:val="nil"/>
              <w:left w:val="single" w:sz="8" w:space="0" w:color="BFBFBF"/>
              <w:bottom w:val="single" w:sz="4" w:space="0" w:color="BFBFBF"/>
              <w:right w:val="single" w:sz="4" w:space="0" w:color="BFBFBF"/>
            </w:tcBorders>
            <w:shd w:val="clear" w:color="000000" w:fill="FFFFFF"/>
            <w:noWrap/>
            <w:vAlign w:val="center"/>
            <w:hideMark/>
          </w:tcPr>
          <w:p w14:paraId="2B289437"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TRAFIGURA PTE LTD</w:t>
            </w:r>
          </w:p>
        </w:tc>
        <w:tc>
          <w:tcPr>
            <w:tcW w:w="993" w:type="dxa"/>
            <w:tcBorders>
              <w:top w:val="nil"/>
              <w:left w:val="nil"/>
              <w:bottom w:val="single" w:sz="4" w:space="0" w:color="BFBFBF"/>
              <w:right w:val="single" w:sz="4" w:space="0" w:color="BFBFBF"/>
            </w:tcBorders>
            <w:shd w:val="clear" w:color="000000" w:fill="FFFFFF"/>
            <w:noWrap/>
            <w:vAlign w:val="center"/>
            <w:hideMark/>
          </w:tcPr>
          <w:p w14:paraId="4ECADA3F"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992" w:type="dxa"/>
            <w:tcBorders>
              <w:top w:val="nil"/>
              <w:left w:val="nil"/>
              <w:bottom w:val="single" w:sz="4" w:space="0" w:color="BFBFBF"/>
              <w:right w:val="single" w:sz="4" w:space="0" w:color="BFBFBF"/>
            </w:tcBorders>
            <w:shd w:val="clear" w:color="000000" w:fill="FFFFFF"/>
            <w:noWrap/>
            <w:vAlign w:val="center"/>
            <w:hideMark/>
          </w:tcPr>
          <w:p w14:paraId="57237BAD"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483 846</w:t>
            </w:r>
          </w:p>
        </w:tc>
        <w:tc>
          <w:tcPr>
            <w:tcW w:w="594" w:type="dxa"/>
            <w:tcBorders>
              <w:top w:val="nil"/>
              <w:left w:val="nil"/>
              <w:bottom w:val="single" w:sz="4" w:space="0" w:color="BFBFBF"/>
              <w:right w:val="single" w:sz="4" w:space="0" w:color="BFBFBF"/>
            </w:tcBorders>
            <w:shd w:val="clear" w:color="auto" w:fill="auto"/>
            <w:noWrap/>
            <w:vAlign w:val="center"/>
            <w:hideMark/>
          </w:tcPr>
          <w:p w14:paraId="074C7F0E"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1,2%</w:t>
            </w:r>
          </w:p>
        </w:tc>
        <w:tc>
          <w:tcPr>
            <w:tcW w:w="1532" w:type="dxa"/>
            <w:tcBorders>
              <w:top w:val="nil"/>
              <w:left w:val="nil"/>
              <w:bottom w:val="single" w:sz="4" w:space="0" w:color="BFBFBF"/>
              <w:right w:val="single" w:sz="4" w:space="0" w:color="BFBFBF"/>
            </w:tcBorders>
            <w:shd w:val="clear" w:color="000000" w:fill="FFFFFF"/>
            <w:noWrap/>
            <w:vAlign w:val="center"/>
            <w:hideMark/>
          </w:tcPr>
          <w:p w14:paraId="1CB30272"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1418" w:type="dxa"/>
            <w:tcBorders>
              <w:top w:val="nil"/>
              <w:left w:val="nil"/>
              <w:bottom w:val="single" w:sz="4" w:space="0" w:color="BFBFBF"/>
              <w:right w:val="single" w:sz="4" w:space="0" w:color="BFBFBF"/>
            </w:tcBorders>
            <w:shd w:val="clear" w:color="000000" w:fill="FFFFFF"/>
            <w:noWrap/>
            <w:vAlign w:val="center"/>
            <w:hideMark/>
          </w:tcPr>
          <w:p w14:paraId="1A719866" w14:textId="280AB0BF"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41 796 123,35 </w:t>
            </w:r>
          </w:p>
        </w:tc>
        <w:tc>
          <w:tcPr>
            <w:tcW w:w="594" w:type="dxa"/>
            <w:tcBorders>
              <w:top w:val="nil"/>
              <w:left w:val="nil"/>
              <w:bottom w:val="single" w:sz="4" w:space="0" w:color="BFBFBF"/>
              <w:right w:val="single" w:sz="8" w:space="0" w:color="BFBFBF"/>
            </w:tcBorders>
            <w:shd w:val="clear" w:color="auto" w:fill="auto"/>
            <w:noWrap/>
            <w:vAlign w:val="center"/>
            <w:hideMark/>
          </w:tcPr>
          <w:p w14:paraId="12F03163"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1,0%</w:t>
            </w:r>
          </w:p>
        </w:tc>
      </w:tr>
      <w:tr w:rsidR="00935FC1" w:rsidRPr="003D2E55" w14:paraId="2102067C" w14:textId="77777777" w:rsidTr="00642EF3">
        <w:trPr>
          <w:trHeight w:val="450"/>
          <w:jc w:val="center"/>
        </w:trPr>
        <w:tc>
          <w:tcPr>
            <w:tcW w:w="2542" w:type="dxa"/>
            <w:tcBorders>
              <w:top w:val="nil"/>
              <w:left w:val="single" w:sz="8" w:space="0" w:color="BFBFBF"/>
              <w:bottom w:val="single" w:sz="4" w:space="0" w:color="BFBFBF"/>
              <w:right w:val="single" w:sz="4" w:space="0" w:color="BFBFBF"/>
            </w:tcBorders>
            <w:shd w:val="clear" w:color="000000" w:fill="F2F2F2"/>
            <w:noWrap/>
            <w:vAlign w:val="center"/>
            <w:hideMark/>
          </w:tcPr>
          <w:p w14:paraId="4D20D43F"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FREEPOINT COMMODITIES LLC</w:t>
            </w:r>
          </w:p>
        </w:tc>
        <w:tc>
          <w:tcPr>
            <w:tcW w:w="993" w:type="dxa"/>
            <w:tcBorders>
              <w:top w:val="nil"/>
              <w:left w:val="nil"/>
              <w:bottom w:val="single" w:sz="4" w:space="0" w:color="BFBFBF"/>
              <w:right w:val="single" w:sz="4" w:space="0" w:color="BFBFBF"/>
            </w:tcBorders>
            <w:shd w:val="clear" w:color="000000" w:fill="F2F2F2"/>
            <w:noWrap/>
            <w:vAlign w:val="center"/>
            <w:hideMark/>
          </w:tcPr>
          <w:p w14:paraId="7F7B59BD"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992" w:type="dxa"/>
            <w:tcBorders>
              <w:top w:val="nil"/>
              <w:left w:val="nil"/>
              <w:bottom w:val="single" w:sz="4" w:space="0" w:color="BFBFBF"/>
              <w:right w:val="single" w:sz="4" w:space="0" w:color="BFBFBF"/>
            </w:tcBorders>
            <w:shd w:val="clear" w:color="000000" w:fill="F2F2F2"/>
            <w:noWrap/>
            <w:vAlign w:val="center"/>
            <w:hideMark/>
          </w:tcPr>
          <w:p w14:paraId="3A2E943B"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94 713</w:t>
            </w:r>
          </w:p>
        </w:tc>
        <w:tc>
          <w:tcPr>
            <w:tcW w:w="594" w:type="dxa"/>
            <w:tcBorders>
              <w:top w:val="nil"/>
              <w:left w:val="nil"/>
              <w:bottom w:val="single" w:sz="4" w:space="0" w:color="BFBFBF"/>
              <w:right w:val="single" w:sz="4" w:space="0" w:color="BFBFBF"/>
            </w:tcBorders>
            <w:shd w:val="clear" w:color="000000" w:fill="F2F2F2"/>
            <w:noWrap/>
            <w:vAlign w:val="center"/>
            <w:hideMark/>
          </w:tcPr>
          <w:p w14:paraId="27F97CEB"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0,2%</w:t>
            </w:r>
          </w:p>
        </w:tc>
        <w:tc>
          <w:tcPr>
            <w:tcW w:w="1532" w:type="dxa"/>
            <w:tcBorders>
              <w:top w:val="nil"/>
              <w:left w:val="nil"/>
              <w:bottom w:val="single" w:sz="4" w:space="0" w:color="BFBFBF"/>
              <w:right w:val="single" w:sz="4" w:space="0" w:color="BFBFBF"/>
            </w:tcBorders>
            <w:shd w:val="clear" w:color="000000" w:fill="F2F2F2"/>
            <w:noWrap/>
            <w:vAlign w:val="center"/>
            <w:hideMark/>
          </w:tcPr>
          <w:p w14:paraId="293A02E9"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w:t>
            </w:r>
          </w:p>
        </w:tc>
        <w:tc>
          <w:tcPr>
            <w:tcW w:w="1418" w:type="dxa"/>
            <w:tcBorders>
              <w:top w:val="nil"/>
              <w:left w:val="nil"/>
              <w:bottom w:val="single" w:sz="4" w:space="0" w:color="BFBFBF"/>
              <w:right w:val="single" w:sz="4" w:space="0" w:color="BFBFBF"/>
            </w:tcBorders>
            <w:shd w:val="clear" w:color="000000" w:fill="F2F2F2"/>
            <w:noWrap/>
            <w:vAlign w:val="center"/>
            <w:hideMark/>
          </w:tcPr>
          <w:p w14:paraId="318E7FAF" w14:textId="279F76E5"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7 432 450,92 </w:t>
            </w:r>
          </w:p>
        </w:tc>
        <w:tc>
          <w:tcPr>
            <w:tcW w:w="594" w:type="dxa"/>
            <w:tcBorders>
              <w:top w:val="nil"/>
              <w:left w:val="nil"/>
              <w:bottom w:val="single" w:sz="4" w:space="0" w:color="BFBFBF"/>
              <w:right w:val="single" w:sz="8" w:space="0" w:color="BFBFBF"/>
            </w:tcBorders>
            <w:shd w:val="clear" w:color="000000" w:fill="F2F2F2"/>
            <w:noWrap/>
            <w:vAlign w:val="center"/>
            <w:hideMark/>
          </w:tcPr>
          <w:p w14:paraId="42C52AA6"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0,2%</w:t>
            </w:r>
          </w:p>
        </w:tc>
      </w:tr>
      <w:tr w:rsidR="00935FC1" w:rsidRPr="003D2E55" w14:paraId="1937DA3B" w14:textId="77777777" w:rsidTr="00642EF3">
        <w:trPr>
          <w:trHeight w:val="300"/>
          <w:jc w:val="center"/>
        </w:trPr>
        <w:tc>
          <w:tcPr>
            <w:tcW w:w="2542" w:type="dxa"/>
            <w:tcBorders>
              <w:top w:val="nil"/>
              <w:left w:val="single" w:sz="8" w:space="0" w:color="BFBFBF"/>
              <w:bottom w:val="single" w:sz="4" w:space="0" w:color="BFBFBF"/>
              <w:right w:val="single" w:sz="4" w:space="0" w:color="BFBFBF"/>
            </w:tcBorders>
            <w:shd w:val="clear" w:color="000000" w:fill="FFFFFF"/>
            <w:noWrap/>
            <w:vAlign w:val="center"/>
            <w:hideMark/>
          </w:tcPr>
          <w:p w14:paraId="65BF9744"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Puma Energy</w:t>
            </w:r>
          </w:p>
        </w:tc>
        <w:tc>
          <w:tcPr>
            <w:tcW w:w="993" w:type="dxa"/>
            <w:tcBorders>
              <w:top w:val="nil"/>
              <w:left w:val="nil"/>
              <w:bottom w:val="single" w:sz="4" w:space="0" w:color="BFBFBF"/>
              <w:right w:val="single" w:sz="4" w:space="0" w:color="BFBFBF"/>
            </w:tcBorders>
            <w:shd w:val="clear" w:color="000000" w:fill="FFFFFF"/>
            <w:noWrap/>
            <w:vAlign w:val="center"/>
            <w:hideMark/>
          </w:tcPr>
          <w:p w14:paraId="021AEBD7"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8 635</w:t>
            </w:r>
          </w:p>
        </w:tc>
        <w:tc>
          <w:tcPr>
            <w:tcW w:w="992" w:type="dxa"/>
            <w:tcBorders>
              <w:top w:val="nil"/>
              <w:left w:val="nil"/>
              <w:bottom w:val="single" w:sz="4" w:space="0" w:color="BFBFBF"/>
              <w:right w:val="single" w:sz="4" w:space="0" w:color="BFBFBF"/>
            </w:tcBorders>
            <w:shd w:val="clear" w:color="000000" w:fill="FFFFFF"/>
            <w:noWrap/>
            <w:vAlign w:val="center"/>
            <w:hideMark/>
          </w:tcPr>
          <w:p w14:paraId="5DD64C4E"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10 337</w:t>
            </w:r>
          </w:p>
        </w:tc>
        <w:tc>
          <w:tcPr>
            <w:tcW w:w="594" w:type="dxa"/>
            <w:tcBorders>
              <w:top w:val="nil"/>
              <w:left w:val="nil"/>
              <w:bottom w:val="single" w:sz="4" w:space="0" w:color="BFBFBF"/>
              <w:right w:val="single" w:sz="4" w:space="0" w:color="BFBFBF"/>
            </w:tcBorders>
            <w:shd w:val="clear" w:color="auto" w:fill="auto"/>
            <w:noWrap/>
            <w:vAlign w:val="center"/>
            <w:hideMark/>
          </w:tcPr>
          <w:p w14:paraId="013A24D5"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0,0%</w:t>
            </w:r>
          </w:p>
        </w:tc>
        <w:tc>
          <w:tcPr>
            <w:tcW w:w="1532" w:type="dxa"/>
            <w:tcBorders>
              <w:top w:val="nil"/>
              <w:left w:val="nil"/>
              <w:bottom w:val="single" w:sz="4" w:space="0" w:color="BFBFBF"/>
              <w:right w:val="single" w:sz="4" w:space="0" w:color="BFBFBF"/>
            </w:tcBorders>
            <w:shd w:val="clear" w:color="000000" w:fill="FFFFFF"/>
            <w:noWrap/>
            <w:vAlign w:val="center"/>
            <w:hideMark/>
          </w:tcPr>
          <w:p w14:paraId="2EA3B75A" w14:textId="2B2F9B26"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1 406 774,48 </w:t>
            </w:r>
          </w:p>
        </w:tc>
        <w:tc>
          <w:tcPr>
            <w:tcW w:w="1418" w:type="dxa"/>
            <w:tcBorders>
              <w:top w:val="nil"/>
              <w:left w:val="nil"/>
              <w:bottom w:val="single" w:sz="4" w:space="0" w:color="BFBFBF"/>
              <w:right w:val="single" w:sz="4" w:space="0" w:color="BFBFBF"/>
            </w:tcBorders>
            <w:shd w:val="clear" w:color="000000" w:fill="FFFFFF"/>
            <w:noWrap/>
            <w:vAlign w:val="center"/>
            <w:hideMark/>
          </w:tcPr>
          <w:p w14:paraId="59BDC579" w14:textId="7CD7D0F8"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2 090 841,57 </w:t>
            </w:r>
          </w:p>
        </w:tc>
        <w:tc>
          <w:tcPr>
            <w:tcW w:w="594" w:type="dxa"/>
            <w:tcBorders>
              <w:top w:val="nil"/>
              <w:left w:val="nil"/>
              <w:bottom w:val="single" w:sz="4" w:space="0" w:color="BFBFBF"/>
              <w:right w:val="single" w:sz="8" w:space="0" w:color="BFBFBF"/>
            </w:tcBorders>
            <w:shd w:val="clear" w:color="auto" w:fill="auto"/>
            <w:noWrap/>
            <w:vAlign w:val="center"/>
            <w:hideMark/>
          </w:tcPr>
          <w:p w14:paraId="604D86C3"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0,1%</w:t>
            </w:r>
          </w:p>
        </w:tc>
      </w:tr>
      <w:tr w:rsidR="00935FC1" w:rsidRPr="003D2E55" w14:paraId="56E9DAEA" w14:textId="77777777" w:rsidTr="00642EF3">
        <w:trPr>
          <w:trHeight w:val="675"/>
          <w:jc w:val="center"/>
        </w:trPr>
        <w:tc>
          <w:tcPr>
            <w:tcW w:w="2542" w:type="dxa"/>
            <w:tcBorders>
              <w:top w:val="nil"/>
              <w:left w:val="single" w:sz="8" w:space="0" w:color="BFBFBF"/>
              <w:bottom w:val="single" w:sz="4" w:space="0" w:color="BFBFBF"/>
              <w:right w:val="single" w:sz="4" w:space="0" w:color="BFBFBF"/>
            </w:tcBorders>
            <w:shd w:val="clear" w:color="000000" w:fill="F2F2F2"/>
            <w:noWrap/>
            <w:vAlign w:val="center"/>
            <w:hideMark/>
          </w:tcPr>
          <w:p w14:paraId="0EBBD8C9"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 xml:space="preserve">Latin America Manufacturers Representative </w:t>
            </w:r>
          </w:p>
        </w:tc>
        <w:tc>
          <w:tcPr>
            <w:tcW w:w="993" w:type="dxa"/>
            <w:tcBorders>
              <w:top w:val="nil"/>
              <w:left w:val="nil"/>
              <w:bottom w:val="single" w:sz="4" w:space="0" w:color="BFBFBF"/>
              <w:right w:val="single" w:sz="4" w:space="0" w:color="BFBFBF"/>
            </w:tcBorders>
            <w:shd w:val="clear" w:color="000000" w:fill="F2F2F2"/>
            <w:noWrap/>
            <w:vAlign w:val="center"/>
            <w:hideMark/>
          </w:tcPr>
          <w:p w14:paraId="57785835"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71</w:t>
            </w:r>
          </w:p>
        </w:tc>
        <w:tc>
          <w:tcPr>
            <w:tcW w:w="992" w:type="dxa"/>
            <w:tcBorders>
              <w:top w:val="nil"/>
              <w:left w:val="nil"/>
              <w:bottom w:val="single" w:sz="4" w:space="0" w:color="BFBFBF"/>
              <w:right w:val="single" w:sz="4" w:space="0" w:color="BFBFBF"/>
            </w:tcBorders>
            <w:shd w:val="clear" w:color="000000" w:fill="F2F2F2"/>
            <w:noWrap/>
            <w:vAlign w:val="center"/>
            <w:hideMark/>
          </w:tcPr>
          <w:p w14:paraId="3EDCC424" w14:textId="77777777"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57</w:t>
            </w:r>
          </w:p>
        </w:tc>
        <w:tc>
          <w:tcPr>
            <w:tcW w:w="594" w:type="dxa"/>
            <w:tcBorders>
              <w:top w:val="nil"/>
              <w:left w:val="nil"/>
              <w:bottom w:val="single" w:sz="4" w:space="0" w:color="BFBFBF"/>
              <w:right w:val="single" w:sz="4" w:space="0" w:color="BFBFBF"/>
            </w:tcBorders>
            <w:shd w:val="clear" w:color="000000" w:fill="F2F2F2"/>
            <w:noWrap/>
            <w:vAlign w:val="center"/>
            <w:hideMark/>
          </w:tcPr>
          <w:p w14:paraId="365D7F95"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0,0%</w:t>
            </w:r>
          </w:p>
        </w:tc>
        <w:tc>
          <w:tcPr>
            <w:tcW w:w="1532" w:type="dxa"/>
            <w:tcBorders>
              <w:top w:val="nil"/>
              <w:left w:val="nil"/>
              <w:bottom w:val="single" w:sz="4" w:space="0" w:color="BFBFBF"/>
              <w:right w:val="single" w:sz="4" w:space="0" w:color="BFBFBF"/>
            </w:tcBorders>
            <w:shd w:val="clear" w:color="000000" w:fill="F2F2F2"/>
            <w:noWrap/>
            <w:vAlign w:val="center"/>
            <w:hideMark/>
          </w:tcPr>
          <w:p w14:paraId="3BF43D30" w14:textId="67CDDEDF"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129 492,00 </w:t>
            </w:r>
          </w:p>
        </w:tc>
        <w:tc>
          <w:tcPr>
            <w:tcW w:w="1418" w:type="dxa"/>
            <w:tcBorders>
              <w:top w:val="nil"/>
              <w:left w:val="nil"/>
              <w:bottom w:val="single" w:sz="4" w:space="0" w:color="BFBFBF"/>
              <w:right w:val="single" w:sz="4" w:space="0" w:color="BFBFBF"/>
            </w:tcBorders>
            <w:shd w:val="clear" w:color="000000" w:fill="F2F2F2"/>
            <w:noWrap/>
            <w:vAlign w:val="center"/>
            <w:hideMark/>
          </w:tcPr>
          <w:p w14:paraId="23DC2DE9" w14:textId="2DEA9B8E" w:rsidR="003D2E55" w:rsidRPr="003D2E55" w:rsidRDefault="003D2E55" w:rsidP="003D2E55">
            <w:pPr>
              <w:spacing w:after="0" w:line="240" w:lineRule="auto"/>
              <w:jc w:val="right"/>
              <w:rPr>
                <w:rFonts w:cs="Arial"/>
                <w:color w:val="000000"/>
                <w:sz w:val="16"/>
                <w:szCs w:val="16"/>
              </w:rPr>
            </w:pPr>
            <w:r w:rsidRPr="003D2E55">
              <w:rPr>
                <w:rFonts w:cs="Arial"/>
                <w:color w:val="000000"/>
                <w:sz w:val="16"/>
                <w:szCs w:val="16"/>
              </w:rPr>
              <w:t xml:space="preserve"> 136 488,00 </w:t>
            </w:r>
          </w:p>
        </w:tc>
        <w:tc>
          <w:tcPr>
            <w:tcW w:w="594" w:type="dxa"/>
            <w:tcBorders>
              <w:top w:val="nil"/>
              <w:left w:val="nil"/>
              <w:bottom w:val="single" w:sz="4" w:space="0" w:color="BFBFBF"/>
              <w:right w:val="single" w:sz="8" w:space="0" w:color="BFBFBF"/>
            </w:tcBorders>
            <w:shd w:val="clear" w:color="000000" w:fill="F2F2F2"/>
            <w:noWrap/>
            <w:vAlign w:val="center"/>
            <w:hideMark/>
          </w:tcPr>
          <w:p w14:paraId="50DA0475" w14:textId="77777777" w:rsidR="003D2E55" w:rsidRPr="003D2E55" w:rsidRDefault="003D2E55" w:rsidP="003D2E55">
            <w:pPr>
              <w:spacing w:after="0" w:line="240" w:lineRule="auto"/>
              <w:jc w:val="center"/>
              <w:rPr>
                <w:rFonts w:cs="Arial"/>
                <w:color w:val="000000"/>
                <w:sz w:val="16"/>
                <w:szCs w:val="16"/>
              </w:rPr>
            </w:pPr>
            <w:r w:rsidRPr="003D2E55">
              <w:rPr>
                <w:rFonts w:cs="Arial"/>
                <w:color w:val="000000"/>
                <w:sz w:val="16"/>
                <w:szCs w:val="16"/>
              </w:rPr>
              <w:t>0,0%</w:t>
            </w:r>
          </w:p>
        </w:tc>
      </w:tr>
      <w:tr w:rsidR="00935FC1" w:rsidRPr="003D2E55" w14:paraId="4CF5FD7A" w14:textId="77777777" w:rsidTr="00642EF3">
        <w:trPr>
          <w:trHeight w:val="315"/>
          <w:jc w:val="center"/>
        </w:trPr>
        <w:tc>
          <w:tcPr>
            <w:tcW w:w="2542" w:type="dxa"/>
            <w:tcBorders>
              <w:top w:val="nil"/>
              <w:left w:val="single" w:sz="8" w:space="0" w:color="BFBFBF"/>
              <w:bottom w:val="single" w:sz="8" w:space="0" w:color="BFBFBF"/>
              <w:right w:val="single" w:sz="4" w:space="0" w:color="BFBFBF"/>
            </w:tcBorders>
            <w:shd w:val="clear" w:color="000000" w:fill="FFFFFF"/>
            <w:noWrap/>
            <w:vAlign w:val="center"/>
            <w:hideMark/>
          </w:tcPr>
          <w:p w14:paraId="648017C0" w14:textId="77777777" w:rsidR="003D2E55" w:rsidRPr="003D2E55" w:rsidRDefault="003D2E55" w:rsidP="003D2E55">
            <w:pPr>
              <w:spacing w:after="0" w:line="240" w:lineRule="auto"/>
              <w:rPr>
                <w:rFonts w:cs="Arial"/>
                <w:b/>
                <w:bCs/>
                <w:color w:val="000000"/>
                <w:sz w:val="16"/>
                <w:szCs w:val="16"/>
              </w:rPr>
            </w:pPr>
            <w:r w:rsidRPr="003D2E55">
              <w:rPr>
                <w:rFonts w:cs="Arial"/>
                <w:b/>
                <w:bCs/>
                <w:color w:val="000000"/>
                <w:sz w:val="16"/>
                <w:szCs w:val="16"/>
              </w:rPr>
              <w:t>Totales</w:t>
            </w:r>
          </w:p>
        </w:tc>
        <w:tc>
          <w:tcPr>
            <w:tcW w:w="993" w:type="dxa"/>
            <w:tcBorders>
              <w:top w:val="nil"/>
              <w:left w:val="nil"/>
              <w:bottom w:val="single" w:sz="8" w:space="0" w:color="BFBFBF"/>
              <w:right w:val="single" w:sz="4" w:space="0" w:color="BFBFBF"/>
            </w:tcBorders>
            <w:shd w:val="clear" w:color="000000" w:fill="FFFFFF"/>
            <w:noWrap/>
            <w:vAlign w:val="center"/>
            <w:hideMark/>
          </w:tcPr>
          <w:p w14:paraId="211C0B4D" w14:textId="77777777" w:rsidR="003D2E55" w:rsidRPr="003D2E55" w:rsidRDefault="003D2E55" w:rsidP="003D2E55">
            <w:pPr>
              <w:spacing w:after="0" w:line="240" w:lineRule="auto"/>
              <w:jc w:val="right"/>
              <w:rPr>
                <w:rFonts w:cs="Arial"/>
                <w:b/>
                <w:bCs/>
                <w:color w:val="000000"/>
                <w:sz w:val="16"/>
                <w:szCs w:val="16"/>
              </w:rPr>
            </w:pPr>
            <w:r w:rsidRPr="003D2E55">
              <w:rPr>
                <w:rFonts w:cs="Arial"/>
                <w:b/>
                <w:bCs/>
                <w:color w:val="000000"/>
                <w:sz w:val="16"/>
                <w:szCs w:val="16"/>
              </w:rPr>
              <w:t>20 959 909</w:t>
            </w:r>
          </w:p>
        </w:tc>
        <w:tc>
          <w:tcPr>
            <w:tcW w:w="992" w:type="dxa"/>
            <w:tcBorders>
              <w:top w:val="nil"/>
              <w:left w:val="nil"/>
              <w:bottom w:val="single" w:sz="8" w:space="0" w:color="BFBFBF"/>
              <w:right w:val="single" w:sz="4" w:space="0" w:color="BFBFBF"/>
            </w:tcBorders>
            <w:shd w:val="clear" w:color="000000" w:fill="FFFFFF"/>
            <w:noWrap/>
            <w:vAlign w:val="center"/>
            <w:hideMark/>
          </w:tcPr>
          <w:p w14:paraId="4BEA47B0" w14:textId="77777777" w:rsidR="003D2E55" w:rsidRPr="003D2E55" w:rsidRDefault="003D2E55" w:rsidP="003D2E55">
            <w:pPr>
              <w:spacing w:after="0" w:line="240" w:lineRule="auto"/>
              <w:jc w:val="right"/>
              <w:rPr>
                <w:rFonts w:cs="Arial"/>
                <w:b/>
                <w:bCs/>
                <w:color w:val="000000"/>
                <w:sz w:val="16"/>
                <w:szCs w:val="16"/>
              </w:rPr>
            </w:pPr>
            <w:r w:rsidRPr="003D2E55">
              <w:rPr>
                <w:rFonts w:cs="Arial"/>
                <w:b/>
                <w:bCs/>
                <w:color w:val="000000"/>
                <w:sz w:val="16"/>
                <w:szCs w:val="16"/>
              </w:rPr>
              <w:t>21 111 507</w:t>
            </w:r>
          </w:p>
        </w:tc>
        <w:tc>
          <w:tcPr>
            <w:tcW w:w="594" w:type="dxa"/>
            <w:tcBorders>
              <w:top w:val="nil"/>
              <w:left w:val="nil"/>
              <w:bottom w:val="single" w:sz="8" w:space="0" w:color="BFBFBF"/>
              <w:right w:val="single" w:sz="4" w:space="0" w:color="BFBFBF"/>
            </w:tcBorders>
            <w:shd w:val="clear" w:color="000000" w:fill="FFFFFF"/>
            <w:noWrap/>
            <w:vAlign w:val="center"/>
            <w:hideMark/>
          </w:tcPr>
          <w:p w14:paraId="75CD060C"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 </w:t>
            </w:r>
          </w:p>
        </w:tc>
        <w:tc>
          <w:tcPr>
            <w:tcW w:w="1532" w:type="dxa"/>
            <w:tcBorders>
              <w:top w:val="nil"/>
              <w:left w:val="nil"/>
              <w:bottom w:val="single" w:sz="8" w:space="0" w:color="BFBFBF"/>
              <w:right w:val="single" w:sz="4" w:space="0" w:color="BFBFBF"/>
            </w:tcBorders>
            <w:shd w:val="clear" w:color="000000" w:fill="FFFFFF"/>
            <w:noWrap/>
            <w:vAlign w:val="center"/>
            <w:hideMark/>
          </w:tcPr>
          <w:p w14:paraId="556DF5C4" w14:textId="656033EC" w:rsidR="003D2E55" w:rsidRPr="003D2E55" w:rsidRDefault="003D2E55" w:rsidP="003D2E55">
            <w:pPr>
              <w:spacing w:after="0" w:line="240" w:lineRule="auto"/>
              <w:jc w:val="right"/>
              <w:rPr>
                <w:rFonts w:cs="Arial"/>
                <w:b/>
                <w:bCs/>
                <w:color w:val="000000"/>
                <w:sz w:val="16"/>
                <w:szCs w:val="16"/>
              </w:rPr>
            </w:pPr>
            <w:r w:rsidRPr="003D2E55">
              <w:rPr>
                <w:rFonts w:cs="Arial"/>
                <w:b/>
                <w:bCs/>
                <w:color w:val="000000"/>
                <w:sz w:val="16"/>
                <w:szCs w:val="16"/>
              </w:rPr>
              <w:t xml:space="preserve"> 1 595 087 806,42 </w:t>
            </w:r>
          </w:p>
        </w:tc>
        <w:tc>
          <w:tcPr>
            <w:tcW w:w="1418" w:type="dxa"/>
            <w:tcBorders>
              <w:top w:val="nil"/>
              <w:left w:val="nil"/>
              <w:bottom w:val="single" w:sz="8" w:space="0" w:color="BFBFBF"/>
              <w:right w:val="single" w:sz="4" w:space="0" w:color="BFBFBF"/>
            </w:tcBorders>
            <w:shd w:val="clear" w:color="000000" w:fill="FFFFFF"/>
            <w:noWrap/>
            <w:vAlign w:val="center"/>
            <w:hideMark/>
          </w:tcPr>
          <w:p w14:paraId="767A4055" w14:textId="5ADBBB5C" w:rsidR="003D2E55" w:rsidRPr="003D2E55" w:rsidRDefault="003D2E55" w:rsidP="003D2E55">
            <w:pPr>
              <w:spacing w:after="0" w:line="240" w:lineRule="auto"/>
              <w:jc w:val="right"/>
              <w:rPr>
                <w:rFonts w:cs="Arial"/>
                <w:b/>
                <w:bCs/>
                <w:color w:val="000000"/>
                <w:sz w:val="16"/>
                <w:szCs w:val="16"/>
              </w:rPr>
            </w:pPr>
            <w:r w:rsidRPr="003D2E55">
              <w:rPr>
                <w:rFonts w:cs="Arial"/>
                <w:b/>
                <w:bCs/>
                <w:color w:val="000000"/>
                <w:sz w:val="16"/>
                <w:szCs w:val="16"/>
              </w:rPr>
              <w:t xml:space="preserve">2 514 887 857,75 </w:t>
            </w:r>
          </w:p>
        </w:tc>
        <w:tc>
          <w:tcPr>
            <w:tcW w:w="594" w:type="dxa"/>
            <w:tcBorders>
              <w:top w:val="nil"/>
              <w:left w:val="nil"/>
              <w:bottom w:val="single" w:sz="8" w:space="0" w:color="BFBFBF"/>
              <w:right w:val="single" w:sz="8" w:space="0" w:color="BFBFBF"/>
            </w:tcBorders>
            <w:shd w:val="clear" w:color="000000" w:fill="FFFFFF"/>
            <w:noWrap/>
            <w:vAlign w:val="center"/>
            <w:hideMark/>
          </w:tcPr>
          <w:p w14:paraId="4B02FECE" w14:textId="77777777" w:rsidR="003D2E55" w:rsidRPr="003D2E55" w:rsidRDefault="003D2E55" w:rsidP="003D2E55">
            <w:pPr>
              <w:spacing w:after="0" w:line="240" w:lineRule="auto"/>
              <w:jc w:val="center"/>
              <w:rPr>
                <w:rFonts w:cs="Arial"/>
                <w:b/>
                <w:bCs/>
                <w:color w:val="000000"/>
                <w:sz w:val="16"/>
                <w:szCs w:val="16"/>
              </w:rPr>
            </w:pPr>
            <w:r w:rsidRPr="003D2E55">
              <w:rPr>
                <w:rFonts w:cs="Arial"/>
                <w:b/>
                <w:bCs/>
                <w:color w:val="000000"/>
                <w:sz w:val="16"/>
                <w:szCs w:val="16"/>
              </w:rPr>
              <w:t> </w:t>
            </w:r>
          </w:p>
        </w:tc>
      </w:tr>
    </w:tbl>
    <w:p w14:paraId="30C3D6BC" w14:textId="0C0800CB" w:rsidR="005C12EC" w:rsidRPr="006E6390" w:rsidRDefault="005C12EC" w:rsidP="000E3782">
      <w:pPr>
        <w:pStyle w:val="piedepgina0"/>
        <w:tabs>
          <w:tab w:val="left" w:pos="9270"/>
        </w:tabs>
        <w:ind w:left="709"/>
        <w:rPr>
          <w:rFonts w:cs="Arial"/>
          <w:b/>
          <w:bCs/>
          <w:sz w:val="20"/>
          <w:szCs w:val="20"/>
          <w:lang w:eastAsia="es-CR"/>
        </w:rPr>
      </w:pPr>
      <w:r w:rsidRPr="006E6390">
        <w:rPr>
          <w:rFonts w:cs="Arial"/>
          <w:sz w:val="20"/>
          <w:szCs w:val="20"/>
        </w:rPr>
        <w:t xml:space="preserve">Fuente: </w:t>
      </w:r>
      <w:r w:rsidR="00932FE4" w:rsidRPr="006E6390">
        <w:rPr>
          <w:rFonts w:cs="Arial"/>
          <w:sz w:val="20"/>
          <w:szCs w:val="20"/>
        </w:rPr>
        <w:t xml:space="preserve">RECOPE. </w:t>
      </w:r>
      <w:r w:rsidRPr="006E6390">
        <w:rPr>
          <w:rFonts w:cs="Arial"/>
          <w:sz w:val="20"/>
          <w:szCs w:val="20"/>
        </w:rPr>
        <w:t>D</w:t>
      </w:r>
      <w:r w:rsidR="00344114" w:rsidRPr="006E6390">
        <w:rPr>
          <w:rFonts w:cs="Arial"/>
          <w:sz w:val="20"/>
          <w:szCs w:val="20"/>
        </w:rPr>
        <w:t>epto.</w:t>
      </w:r>
      <w:r w:rsidRPr="006E6390">
        <w:rPr>
          <w:rFonts w:cs="Arial"/>
          <w:sz w:val="20"/>
          <w:szCs w:val="20"/>
        </w:rPr>
        <w:t xml:space="preserve"> de Comercio Internacional </w:t>
      </w:r>
    </w:p>
    <w:p w14:paraId="6411AD6E" w14:textId="77777777" w:rsidR="000D5258" w:rsidRPr="00642EF3" w:rsidRDefault="000D5258">
      <w:pPr>
        <w:spacing w:after="0" w:line="240" w:lineRule="auto"/>
        <w:jc w:val="left"/>
        <w:rPr>
          <w:rFonts w:cs="Arial"/>
          <w:bCs/>
        </w:rPr>
      </w:pPr>
    </w:p>
    <w:p w14:paraId="15374B93" w14:textId="77777777" w:rsidR="00BA1305" w:rsidRPr="006E6390" w:rsidRDefault="00BA1305" w:rsidP="00BA1305">
      <w:pPr>
        <w:tabs>
          <w:tab w:val="left" w:pos="9270"/>
        </w:tabs>
        <w:rPr>
          <w:rFonts w:cs="Arial"/>
          <w:b/>
        </w:rPr>
      </w:pPr>
      <w:r w:rsidRPr="006E6390">
        <w:rPr>
          <w:rFonts w:cs="Arial"/>
          <w:b/>
        </w:rPr>
        <w:t>Embarques</w:t>
      </w:r>
    </w:p>
    <w:p w14:paraId="055B0E7D" w14:textId="5628EC25" w:rsidR="00BA1305" w:rsidRDefault="00256D26" w:rsidP="008F55AB">
      <w:pPr>
        <w:tabs>
          <w:tab w:val="left" w:pos="9270"/>
        </w:tabs>
        <w:spacing w:after="0"/>
        <w:rPr>
          <w:rFonts w:cs="Arial"/>
        </w:rPr>
      </w:pPr>
      <w:r w:rsidRPr="006E6390">
        <w:rPr>
          <w:rFonts w:cs="Arial"/>
        </w:rPr>
        <w:t>En</w:t>
      </w:r>
      <w:r w:rsidR="00232E5F" w:rsidRPr="006E6390">
        <w:rPr>
          <w:rFonts w:cs="Arial"/>
        </w:rPr>
        <w:t xml:space="preserve"> 2020, debido a la afectación con la pandemia del Covid-19, se redujeron las importaciones </w:t>
      </w:r>
      <w:r w:rsidR="00DF201A" w:rsidRPr="006E6390">
        <w:rPr>
          <w:rFonts w:cs="Arial"/>
        </w:rPr>
        <w:t>y,</w:t>
      </w:r>
      <w:r w:rsidR="00232E5F" w:rsidRPr="006E6390">
        <w:rPr>
          <w:rFonts w:cs="Arial"/>
        </w:rPr>
        <w:t xml:space="preserve"> por tanto, bajaron a 106 buques atendidos (de los cuales, 51 eran tanqueros, 42 gaseros y 11 asfalteros)</w:t>
      </w:r>
      <w:r w:rsidRPr="006E6390">
        <w:rPr>
          <w:rFonts w:cs="Arial"/>
        </w:rPr>
        <w:t xml:space="preserve">. </w:t>
      </w:r>
      <w:r w:rsidR="006E137B">
        <w:rPr>
          <w:rFonts w:cs="Arial"/>
        </w:rPr>
        <w:t xml:space="preserve"> </w:t>
      </w:r>
      <w:r w:rsidRPr="006E6390">
        <w:rPr>
          <w:rFonts w:cs="Arial"/>
        </w:rPr>
        <w:t>Para 2021,</w:t>
      </w:r>
      <w:r w:rsidR="009941B6" w:rsidRPr="006E6390">
        <w:rPr>
          <w:rFonts w:cs="Arial"/>
        </w:rPr>
        <w:t xml:space="preserve"> se atendieron </w:t>
      </w:r>
      <w:r w:rsidRPr="006E6390">
        <w:rPr>
          <w:rFonts w:cs="Arial"/>
        </w:rPr>
        <w:t>1</w:t>
      </w:r>
      <w:r w:rsidR="009941B6" w:rsidRPr="006E6390">
        <w:rPr>
          <w:rFonts w:cs="Arial"/>
        </w:rPr>
        <w:t>27</w:t>
      </w:r>
      <w:r w:rsidRPr="006E6390">
        <w:rPr>
          <w:rFonts w:cs="Arial"/>
        </w:rPr>
        <w:t xml:space="preserve"> </w:t>
      </w:r>
      <w:r w:rsidR="009941B6" w:rsidRPr="006E6390">
        <w:rPr>
          <w:rFonts w:cs="Arial"/>
        </w:rPr>
        <w:t>barcos</w:t>
      </w:r>
      <w:r w:rsidRPr="006E6390">
        <w:rPr>
          <w:rFonts w:cs="Arial"/>
        </w:rPr>
        <w:t xml:space="preserve"> (de los cuales </w:t>
      </w:r>
      <w:r w:rsidR="009941B6" w:rsidRPr="006E6390">
        <w:rPr>
          <w:rFonts w:cs="Arial"/>
        </w:rPr>
        <w:t>68</w:t>
      </w:r>
      <w:r w:rsidRPr="006E6390">
        <w:rPr>
          <w:rFonts w:cs="Arial"/>
        </w:rPr>
        <w:t xml:space="preserve"> eran tanqueros, 4</w:t>
      </w:r>
      <w:r w:rsidR="009941B6" w:rsidRPr="006E6390">
        <w:rPr>
          <w:rFonts w:cs="Arial"/>
        </w:rPr>
        <w:t>7</w:t>
      </w:r>
      <w:r w:rsidRPr="006E6390">
        <w:rPr>
          <w:rFonts w:cs="Arial"/>
        </w:rPr>
        <w:t xml:space="preserve"> gaseros y 1</w:t>
      </w:r>
      <w:r w:rsidR="009941B6" w:rsidRPr="006E6390">
        <w:rPr>
          <w:rFonts w:cs="Arial"/>
        </w:rPr>
        <w:t>2</w:t>
      </w:r>
      <w:r w:rsidRPr="006E6390">
        <w:rPr>
          <w:rFonts w:cs="Arial"/>
        </w:rPr>
        <w:t xml:space="preserve"> asfalteros)</w:t>
      </w:r>
      <w:r w:rsidR="007F0181">
        <w:rPr>
          <w:rFonts w:cs="Arial"/>
        </w:rPr>
        <w:t>.</w:t>
      </w:r>
      <w:r w:rsidR="0047335C">
        <w:rPr>
          <w:rFonts w:cs="Arial"/>
        </w:rPr>
        <w:t xml:space="preserve">  En 2022, sube ligeramente a 128 (de los cuales 70 tanqueros, 49 gaseros y 9 asfalteros).</w:t>
      </w:r>
    </w:p>
    <w:p w14:paraId="43F1B570" w14:textId="77777777" w:rsidR="007F0181" w:rsidRPr="006E6390" w:rsidRDefault="007F0181" w:rsidP="008F55AB">
      <w:pPr>
        <w:tabs>
          <w:tab w:val="left" w:pos="9270"/>
        </w:tabs>
        <w:spacing w:after="0"/>
        <w:rPr>
          <w:rFonts w:cs="Arial"/>
        </w:rPr>
      </w:pPr>
    </w:p>
    <w:p w14:paraId="11477AD9" w14:textId="76428E9B" w:rsidR="00BA1305" w:rsidRDefault="00470C4B" w:rsidP="008F55AB">
      <w:pPr>
        <w:tabs>
          <w:tab w:val="left" w:pos="9270"/>
        </w:tabs>
        <w:spacing w:after="0"/>
        <w:rPr>
          <w:rFonts w:cs="Arial"/>
        </w:rPr>
      </w:pPr>
      <w:r>
        <w:rPr>
          <w:rFonts w:cs="Arial"/>
        </w:rPr>
        <w:t xml:space="preserve">La importación se puede realizar por medio de buques o cisternas. </w:t>
      </w:r>
      <w:r w:rsidR="00BA1305" w:rsidRPr="006E6390">
        <w:rPr>
          <w:rFonts w:cs="Arial"/>
        </w:rPr>
        <w:t xml:space="preserve">En un barco pueden venir uno o más </w:t>
      </w:r>
      <w:r w:rsidR="0047335C">
        <w:rPr>
          <w:rFonts w:cs="Arial"/>
        </w:rPr>
        <w:t>parcelas</w:t>
      </w:r>
      <w:r w:rsidR="0047335C" w:rsidRPr="006E6390">
        <w:rPr>
          <w:rFonts w:cs="Arial"/>
        </w:rPr>
        <w:t xml:space="preserve"> </w:t>
      </w:r>
      <w:r w:rsidR="00BA1305" w:rsidRPr="006E6390">
        <w:rPr>
          <w:rFonts w:cs="Arial"/>
        </w:rPr>
        <w:t xml:space="preserve">de productos, </w:t>
      </w:r>
      <w:r>
        <w:rPr>
          <w:rFonts w:cs="Arial"/>
        </w:rPr>
        <w:t xml:space="preserve">es decir, puede venir un cargamento de diésel con uno de Jet fuel, </w:t>
      </w:r>
      <w:r w:rsidR="00BA1305" w:rsidRPr="006E6390">
        <w:rPr>
          <w:rFonts w:cs="Arial"/>
        </w:rPr>
        <w:t xml:space="preserve">por ejemplo, </w:t>
      </w:r>
      <w:r w:rsidR="00232E5F" w:rsidRPr="006E6390">
        <w:rPr>
          <w:rFonts w:cs="Arial"/>
        </w:rPr>
        <w:t>e</w:t>
      </w:r>
      <w:r w:rsidR="00BA1305" w:rsidRPr="006E6390">
        <w:rPr>
          <w:rFonts w:cs="Arial"/>
        </w:rPr>
        <w:t xml:space="preserve">n </w:t>
      </w:r>
      <w:r w:rsidR="00232E5F" w:rsidRPr="006E6390">
        <w:rPr>
          <w:rFonts w:cs="Arial"/>
        </w:rPr>
        <w:t xml:space="preserve">2020, </w:t>
      </w:r>
      <w:r w:rsidR="0047335C" w:rsidRPr="006E6390">
        <w:rPr>
          <w:rFonts w:cs="Arial"/>
        </w:rPr>
        <w:t>l</w:t>
      </w:r>
      <w:r w:rsidR="0047335C">
        <w:rPr>
          <w:rFonts w:cs="Arial"/>
        </w:rPr>
        <w:t>a</w:t>
      </w:r>
      <w:r w:rsidR="0047335C" w:rsidRPr="006E6390">
        <w:rPr>
          <w:rFonts w:cs="Arial"/>
        </w:rPr>
        <w:t xml:space="preserve">s </w:t>
      </w:r>
      <w:r w:rsidR="0047335C">
        <w:rPr>
          <w:rFonts w:cs="Arial"/>
        </w:rPr>
        <w:t>parcela</w:t>
      </w:r>
      <w:r w:rsidR="0047335C" w:rsidRPr="006E6390">
        <w:rPr>
          <w:rFonts w:cs="Arial"/>
        </w:rPr>
        <w:t xml:space="preserve">s </w:t>
      </w:r>
      <w:r w:rsidR="0047335C">
        <w:rPr>
          <w:rFonts w:cs="Arial"/>
        </w:rPr>
        <w:t>fueron 264</w:t>
      </w:r>
      <w:r w:rsidR="00232E5F" w:rsidRPr="006E6390">
        <w:rPr>
          <w:rFonts w:cs="Arial"/>
        </w:rPr>
        <w:t xml:space="preserve">, </w:t>
      </w:r>
      <w:r w:rsidR="0047335C">
        <w:rPr>
          <w:rFonts w:cs="Arial"/>
        </w:rPr>
        <w:t>con</w:t>
      </w:r>
      <w:r w:rsidR="00232E5F" w:rsidRPr="006E6390">
        <w:rPr>
          <w:rFonts w:cs="Arial"/>
        </w:rPr>
        <w:t xml:space="preserve"> importaciones de asfalto y emulsiones asfálticas por la vía terrestre.</w:t>
      </w:r>
      <w:r w:rsidR="009941B6" w:rsidRPr="006E6390">
        <w:rPr>
          <w:rFonts w:cs="Arial"/>
        </w:rPr>
        <w:t xml:space="preserve"> </w:t>
      </w:r>
      <w:r w:rsidR="006E137B">
        <w:rPr>
          <w:rFonts w:cs="Arial"/>
        </w:rPr>
        <w:t xml:space="preserve"> </w:t>
      </w:r>
      <w:r w:rsidR="009941B6" w:rsidRPr="006E6390">
        <w:rPr>
          <w:rFonts w:cs="Arial"/>
        </w:rPr>
        <w:t>En 2021, l</w:t>
      </w:r>
      <w:r w:rsidR="008C4842">
        <w:rPr>
          <w:rFonts w:cs="Arial"/>
        </w:rPr>
        <w:t xml:space="preserve">a </w:t>
      </w:r>
      <w:r w:rsidR="008C4842" w:rsidRPr="008C4842">
        <w:rPr>
          <w:rFonts w:cs="Arial"/>
        </w:rPr>
        <w:t>cantidad de parcelas</w:t>
      </w:r>
      <w:r w:rsidR="008C4842" w:rsidRPr="008F55AB">
        <w:rPr>
          <w:rFonts w:cs="Arial"/>
        </w:rPr>
        <w:t xml:space="preserve"> ba</w:t>
      </w:r>
      <w:r w:rsidR="009941B6" w:rsidRPr="008C4842">
        <w:rPr>
          <w:rFonts w:cs="Arial"/>
        </w:rPr>
        <w:t xml:space="preserve">jaron a </w:t>
      </w:r>
      <w:r w:rsidR="008C4842" w:rsidRPr="008C4842">
        <w:rPr>
          <w:rFonts w:cs="Arial"/>
        </w:rPr>
        <w:t xml:space="preserve">193 </w:t>
      </w:r>
      <w:r w:rsidR="009941B6" w:rsidRPr="008C4842">
        <w:rPr>
          <w:rFonts w:cs="Arial"/>
        </w:rPr>
        <w:t>de los que 10 corresponden a cisternas con Av-</w:t>
      </w:r>
      <w:r w:rsidR="006E137B" w:rsidRPr="008C4842">
        <w:rPr>
          <w:rFonts w:cs="Arial"/>
        </w:rPr>
        <w:t>g</w:t>
      </w:r>
      <w:r w:rsidR="009941B6" w:rsidRPr="008C4842">
        <w:rPr>
          <w:rFonts w:cs="Arial"/>
        </w:rPr>
        <w:t>as.</w:t>
      </w:r>
      <w:r w:rsidR="0047335C" w:rsidRPr="008C4842">
        <w:rPr>
          <w:rFonts w:cs="Arial"/>
        </w:rPr>
        <w:t xml:space="preserve">  En 2022, las parcelas sumaron 180,</w:t>
      </w:r>
      <w:r w:rsidR="0032020F">
        <w:rPr>
          <w:rFonts w:cs="Arial"/>
        </w:rPr>
        <w:t xml:space="preserve"> de las cuales 49 fueron de GLP, 31 de diésel y 27 por cada una de las gasolinas.</w:t>
      </w:r>
      <w:r w:rsidR="0047335C">
        <w:rPr>
          <w:rFonts w:cs="Arial"/>
        </w:rPr>
        <w:t xml:space="preserve"> </w:t>
      </w:r>
    </w:p>
    <w:p w14:paraId="4E850E38" w14:textId="77777777" w:rsidR="007F0181" w:rsidRPr="006E6390" w:rsidRDefault="007F0181" w:rsidP="00BA1305">
      <w:pPr>
        <w:tabs>
          <w:tab w:val="left" w:pos="9270"/>
        </w:tabs>
        <w:rPr>
          <w:rFonts w:cs="Arial"/>
        </w:rPr>
      </w:pPr>
    </w:p>
    <w:p w14:paraId="7E409B76" w14:textId="77777777" w:rsidR="00BA1305" w:rsidRPr="006E6390" w:rsidRDefault="00BA1305" w:rsidP="00BA1305">
      <w:pPr>
        <w:pStyle w:val="Ttulo2"/>
        <w:rPr>
          <w:rFonts w:cs="Arial"/>
        </w:rPr>
      </w:pPr>
      <w:bookmarkStart w:id="319" w:name="_Toc38630842"/>
      <w:r w:rsidRPr="006E6390">
        <w:rPr>
          <w:rFonts w:cs="Arial"/>
        </w:rPr>
        <w:lastRenderedPageBreak/>
        <w:t>5.8 Fondo de pago de los bonos</w:t>
      </w:r>
      <w:bookmarkEnd w:id="319"/>
    </w:p>
    <w:p w14:paraId="0F990CC2" w14:textId="62B9A6D1" w:rsidR="00BA1305" w:rsidRDefault="00BA1305" w:rsidP="008F55AB">
      <w:pPr>
        <w:widowControl w:val="0"/>
        <w:autoSpaceDE w:val="0"/>
        <w:autoSpaceDN w:val="0"/>
        <w:adjustRightInd w:val="0"/>
        <w:spacing w:after="0"/>
        <w:rPr>
          <w:rFonts w:cs="Arial"/>
          <w:bCs/>
        </w:rPr>
      </w:pPr>
      <w:r w:rsidRPr="006E6390">
        <w:rPr>
          <w:rFonts w:cs="Arial"/>
          <w:bCs/>
        </w:rPr>
        <w:t>La Junta Directiva en el Artículo #6, de la Sesión Ordinaria #5013-219, celebrada el 18 de diciembre de 2017 acordó conformar un Fondo para pagar los bonos emitidos y colocados para el desarrollo del plan de inversiones, denominado FAB.</w:t>
      </w:r>
    </w:p>
    <w:p w14:paraId="074196EA" w14:textId="77777777" w:rsidR="007F0181" w:rsidRPr="006E6390" w:rsidRDefault="007F0181" w:rsidP="008F55AB">
      <w:pPr>
        <w:widowControl w:val="0"/>
        <w:autoSpaceDE w:val="0"/>
        <w:autoSpaceDN w:val="0"/>
        <w:adjustRightInd w:val="0"/>
        <w:spacing w:after="0"/>
        <w:rPr>
          <w:rFonts w:cs="Arial"/>
          <w:bCs/>
        </w:rPr>
      </w:pPr>
    </w:p>
    <w:p w14:paraId="7D8B30EF" w14:textId="7A083233" w:rsidR="00BA1305" w:rsidRDefault="00BA1305" w:rsidP="008F55AB">
      <w:pPr>
        <w:widowControl w:val="0"/>
        <w:autoSpaceDE w:val="0"/>
        <w:autoSpaceDN w:val="0"/>
        <w:adjustRightInd w:val="0"/>
        <w:spacing w:after="0"/>
        <w:rPr>
          <w:rFonts w:cs="Arial"/>
          <w:bCs/>
        </w:rPr>
      </w:pPr>
      <w:r w:rsidRPr="006E6390">
        <w:rPr>
          <w:rFonts w:cs="Arial"/>
          <w:bCs/>
        </w:rPr>
        <w:t xml:space="preserve">Las diferentes series (A1, A2, A4, A5 y A6) se colocaron con fecha de redención a su vencimiento, empezando en el año 2022 y hasta 2029, según se muestra en el gráfico </w:t>
      </w:r>
      <w:r w:rsidR="00EB584F">
        <w:rPr>
          <w:rFonts w:cs="Arial"/>
          <w:bCs/>
        </w:rPr>
        <w:t>N°17</w:t>
      </w:r>
      <w:r w:rsidR="00DF201A">
        <w:rPr>
          <w:rFonts w:cs="Arial"/>
          <w:bCs/>
        </w:rPr>
        <w:t xml:space="preserve"> (no se muestra la serie A1 porque venció en diciembre del 2022)</w:t>
      </w:r>
      <w:r w:rsidRPr="006E6390">
        <w:rPr>
          <w:rFonts w:cs="Arial"/>
          <w:bCs/>
        </w:rPr>
        <w:t>. Dada la concentración de pagos que deben realizarse en ese periodo, se consideró necesario disponer de un mecanismo para acumular los recursos paulatinamente.</w:t>
      </w:r>
    </w:p>
    <w:p w14:paraId="04F3FA9A" w14:textId="6C95991D" w:rsidR="007F0181" w:rsidRDefault="007F0181" w:rsidP="008F55AB">
      <w:pPr>
        <w:widowControl w:val="0"/>
        <w:autoSpaceDE w:val="0"/>
        <w:autoSpaceDN w:val="0"/>
        <w:adjustRightInd w:val="0"/>
        <w:spacing w:after="0"/>
        <w:rPr>
          <w:rFonts w:cs="Arial"/>
          <w:bCs/>
        </w:rPr>
      </w:pPr>
    </w:p>
    <w:p w14:paraId="421FF1EF" w14:textId="77777777" w:rsidR="00E1616D" w:rsidRPr="006E6390" w:rsidRDefault="00E1616D" w:rsidP="00BA1305">
      <w:pPr>
        <w:widowControl w:val="0"/>
        <w:autoSpaceDE w:val="0"/>
        <w:autoSpaceDN w:val="0"/>
        <w:adjustRightInd w:val="0"/>
        <w:rPr>
          <w:rFonts w:cs="Arial"/>
          <w:bCs/>
        </w:rPr>
      </w:pPr>
    </w:p>
    <w:p w14:paraId="5FE14572" w14:textId="725F3230" w:rsidR="00BA1305" w:rsidRPr="006E6390" w:rsidRDefault="00BA1305" w:rsidP="00BA1305">
      <w:pPr>
        <w:pStyle w:val="Ttuloscuadros"/>
        <w:tabs>
          <w:tab w:val="left" w:pos="9270"/>
        </w:tabs>
        <w:rPr>
          <w:rFonts w:ascii="Helvetica" w:hAnsi="Helvetica" w:cs="Helvetica"/>
        </w:rPr>
      </w:pPr>
      <w:r w:rsidRPr="006E6390">
        <w:rPr>
          <w:rFonts w:ascii="Helvetica" w:hAnsi="Helvetica" w:cs="Helvetica"/>
        </w:rPr>
        <w:t>Gráfico N°</w:t>
      </w:r>
      <w:r w:rsidR="00EB584F" w:rsidRPr="006E6390">
        <w:rPr>
          <w:rFonts w:ascii="Helvetica" w:hAnsi="Helvetica" w:cs="Helvetica"/>
        </w:rPr>
        <w:t>1</w:t>
      </w:r>
      <w:r w:rsidR="00EB584F">
        <w:rPr>
          <w:rFonts w:ascii="Helvetica" w:hAnsi="Helvetica" w:cs="Helvetica"/>
        </w:rPr>
        <w:t>7</w:t>
      </w:r>
    </w:p>
    <w:p w14:paraId="603213BC" w14:textId="1758B45F" w:rsidR="00BA1305" w:rsidRPr="006E6390" w:rsidRDefault="00785D86" w:rsidP="00BA1305">
      <w:pPr>
        <w:autoSpaceDE w:val="0"/>
        <w:autoSpaceDN w:val="0"/>
        <w:adjustRightInd w:val="0"/>
        <w:jc w:val="center"/>
        <w:rPr>
          <w:rFonts w:ascii="Helvetica" w:hAnsi="Helvetica" w:cs="Helvetica"/>
          <w:b/>
        </w:rPr>
      </w:pPr>
      <w:r>
        <w:rPr>
          <w:rFonts w:ascii="Helvetica" w:hAnsi="Helvetica" w:cs="Helvetica"/>
          <w:b/>
        </w:rPr>
        <w:t xml:space="preserve">Serie A: </w:t>
      </w:r>
      <w:r w:rsidR="00BA1305" w:rsidRPr="006E6390">
        <w:rPr>
          <w:rFonts w:ascii="Helvetica" w:hAnsi="Helvetica" w:cs="Helvetica"/>
          <w:b/>
        </w:rPr>
        <w:t>Monto por emisión y fecha de vencimiento (millones de colones)</w:t>
      </w:r>
    </w:p>
    <w:p w14:paraId="7C2BEDA8" w14:textId="2F8D8EA3" w:rsidR="00BA1305" w:rsidRPr="006E6390" w:rsidRDefault="00785D86" w:rsidP="00BA1305">
      <w:pPr>
        <w:autoSpaceDE w:val="0"/>
        <w:autoSpaceDN w:val="0"/>
        <w:adjustRightInd w:val="0"/>
        <w:jc w:val="center"/>
        <w:rPr>
          <w:rFonts w:ascii="Helvetica" w:hAnsi="Helvetica" w:cs="Helvetica"/>
        </w:rPr>
      </w:pPr>
      <w:r>
        <w:rPr>
          <w:noProof/>
        </w:rPr>
        <w:drawing>
          <wp:inline distT="0" distB="0" distL="0" distR="0" wp14:anchorId="7248AAD9" wp14:editId="68CF4516">
            <wp:extent cx="5400000" cy="3060000"/>
            <wp:effectExtent l="0" t="0" r="10795" b="7620"/>
            <wp:docPr id="32" name="Gráfico 32">
              <a:extLst xmlns:a="http://schemas.openxmlformats.org/drawingml/2006/main">
                <a:ext uri="{FF2B5EF4-FFF2-40B4-BE49-F238E27FC236}">
                  <a16:creationId xmlns:a16="http://schemas.microsoft.com/office/drawing/2014/main" id="{D1134EE7-5C8F-4FFF-B3CB-6D7E49136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57C453" w14:textId="77777777" w:rsidR="00820267" w:rsidRDefault="00820267" w:rsidP="00D139B6">
      <w:pPr>
        <w:widowControl w:val="0"/>
        <w:autoSpaceDE w:val="0"/>
        <w:autoSpaceDN w:val="0"/>
        <w:adjustRightInd w:val="0"/>
        <w:spacing w:after="0"/>
        <w:rPr>
          <w:rFonts w:cs="Arial"/>
          <w:bCs/>
        </w:rPr>
      </w:pPr>
    </w:p>
    <w:p w14:paraId="3C49487B" w14:textId="662C7BB6" w:rsidR="00BA1305" w:rsidRDefault="00BA1305" w:rsidP="00D139B6">
      <w:pPr>
        <w:widowControl w:val="0"/>
        <w:autoSpaceDE w:val="0"/>
        <w:autoSpaceDN w:val="0"/>
        <w:adjustRightInd w:val="0"/>
        <w:spacing w:after="0"/>
        <w:rPr>
          <w:rFonts w:cs="Arial"/>
          <w:bCs/>
        </w:rPr>
      </w:pPr>
      <w:r w:rsidRPr="006E6390">
        <w:rPr>
          <w:rFonts w:cs="Arial"/>
          <w:bCs/>
        </w:rPr>
        <w:t>El 8 de noviembre de 2018, se colocaron recursos en dos series de títulos de Hacienda en moneda nacional (G150626OTC y G210325OTC) por un total de ₡5</w:t>
      </w:r>
      <w:r w:rsidR="006513C0" w:rsidRPr="006E6390">
        <w:rPr>
          <w:rFonts w:cs="Arial"/>
          <w:bCs/>
        </w:rPr>
        <w:t xml:space="preserve"> </w:t>
      </w:r>
      <w:r w:rsidRPr="006E6390">
        <w:rPr>
          <w:rFonts w:cs="Arial"/>
          <w:bCs/>
        </w:rPr>
        <w:t xml:space="preserve">744,9 millones para el pago de las series A5 y A6, así como en moneda extranjera (dólares) con tres series de títulos (G$290629OTC, G$300328OTC y G$021122OTC) por </w:t>
      </w:r>
      <w:r w:rsidR="005A01A0">
        <w:rPr>
          <w:rFonts w:cs="Arial"/>
          <w:bCs/>
        </w:rPr>
        <w:t>USD</w:t>
      </w:r>
      <w:r w:rsidR="0024056E">
        <w:rPr>
          <w:rFonts w:cs="Arial"/>
          <w:bCs/>
        </w:rPr>
        <w:t xml:space="preserve"> </w:t>
      </w:r>
      <w:r w:rsidRPr="006E6390">
        <w:rPr>
          <w:rFonts w:cs="Arial"/>
          <w:bCs/>
        </w:rPr>
        <w:t>23,6 millones para el pago de las series A1, A2 y A4.  Dichas inversiones se colocaron entre 1</w:t>
      </w:r>
      <w:r w:rsidR="006513C0" w:rsidRPr="006E6390">
        <w:rPr>
          <w:rFonts w:cs="Arial"/>
          <w:bCs/>
        </w:rPr>
        <w:t xml:space="preserve"> </w:t>
      </w:r>
      <w:r w:rsidRPr="006E6390">
        <w:rPr>
          <w:rFonts w:cs="Arial"/>
          <w:bCs/>
        </w:rPr>
        <w:t>464 y 3</w:t>
      </w:r>
      <w:r w:rsidR="006513C0" w:rsidRPr="006E6390">
        <w:rPr>
          <w:rFonts w:cs="Arial"/>
          <w:bCs/>
        </w:rPr>
        <w:t xml:space="preserve"> </w:t>
      </w:r>
      <w:r w:rsidRPr="006E6390">
        <w:rPr>
          <w:rFonts w:cs="Arial"/>
          <w:bCs/>
        </w:rPr>
        <w:t>831 días.  El rendimiento neto equivalente en colones es de 12,22% anual (ajustado al 31 de diciembre de 2019)</w:t>
      </w:r>
      <w:r w:rsidR="00820267">
        <w:rPr>
          <w:rFonts w:cs="Arial"/>
          <w:bCs/>
        </w:rPr>
        <w:t>.</w:t>
      </w:r>
    </w:p>
    <w:p w14:paraId="5392ED60" w14:textId="77777777" w:rsidR="00820267" w:rsidRPr="006E6390" w:rsidRDefault="00820267" w:rsidP="00C17004">
      <w:pPr>
        <w:widowControl w:val="0"/>
        <w:autoSpaceDE w:val="0"/>
        <w:autoSpaceDN w:val="0"/>
        <w:adjustRightInd w:val="0"/>
        <w:spacing w:after="0"/>
        <w:rPr>
          <w:rFonts w:cs="Arial"/>
          <w:bCs/>
        </w:rPr>
      </w:pPr>
    </w:p>
    <w:p w14:paraId="626E79A9" w14:textId="6213E07D" w:rsidR="00BA1305" w:rsidRDefault="00BA1305" w:rsidP="00C17004">
      <w:pPr>
        <w:widowControl w:val="0"/>
        <w:autoSpaceDE w:val="0"/>
        <w:autoSpaceDN w:val="0"/>
        <w:adjustRightInd w:val="0"/>
        <w:spacing w:after="0"/>
        <w:rPr>
          <w:rFonts w:cs="Arial"/>
          <w:bCs/>
        </w:rPr>
      </w:pPr>
      <w:r w:rsidRPr="006E6390">
        <w:rPr>
          <w:rFonts w:cs="Arial"/>
          <w:bCs/>
        </w:rPr>
        <w:t>El 16 de diciembre de 2019, se adquirieron OTC de la Tesorería Nacional por ₡1</w:t>
      </w:r>
      <w:r w:rsidR="006513C0" w:rsidRPr="006E6390">
        <w:rPr>
          <w:rFonts w:cs="Arial"/>
          <w:bCs/>
        </w:rPr>
        <w:t xml:space="preserve"> </w:t>
      </w:r>
      <w:r w:rsidRPr="006E6390">
        <w:rPr>
          <w:rFonts w:cs="Arial"/>
          <w:bCs/>
        </w:rPr>
        <w:t xml:space="preserve">440,7 </w:t>
      </w:r>
      <w:r w:rsidRPr="006E6390">
        <w:rPr>
          <w:rFonts w:cs="Arial"/>
          <w:bCs/>
        </w:rPr>
        <w:lastRenderedPageBreak/>
        <w:t>millones (N°122528) y ₡1</w:t>
      </w:r>
      <w:r w:rsidR="006513C0" w:rsidRPr="006E6390">
        <w:rPr>
          <w:rFonts w:cs="Arial"/>
          <w:bCs/>
        </w:rPr>
        <w:t xml:space="preserve"> </w:t>
      </w:r>
      <w:r w:rsidRPr="006E6390">
        <w:rPr>
          <w:rFonts w:cs="Arial"/>
          <w:bCs/>
        </w:rPr>
        <w:t>377,3 millones (N°122529) para el eventual pago de las serie</w:t>
      </w:r>
      <w:r w:rsidR="00684B24" w:rsidRPr="006E6390">
        <w:rPr>
          <w:rFonts w:cs="Arial"/>
          <w:bCs/>
        </w:rPr>
        <w:t>s</w:t>
      </w:r>
      <w:r w:rsidRPr="006E6390">
        <w:rPr>
          <w:rFonts w:cs="Arial"/>
          <w:bCs/>
        </w:rPr>
        <w:t xml:space="preserve"> A5 y A6; así como los OTC por: </w:t>
      </w:r>
      <w:r w:rsidR="005A01A0">
        <w:rPr>
          <w:rFonts w:cs="Arial"/>
          <w:bCs/>
        </w:rPr>
        <w:t>USD</w:t>
      </w:r>
      <w:r w:rsidRPr="006E6390">
        <w:rPr>
          <w:rFonts w:cs="Arial"/>
          <w:bCs/>
        </w:rPr>
        <w:t xml:space="preserve">9,5 millones (N°122530), </w:t>
      </w:r>
      <w:r w:rsidR="005A01A0">
        <w:rPr>
          <w:rFonts w:cs="Arial"/>
          <w:bCs/>
        </w:rPr>
        <w:t>USD</w:t>
      </w:r>
      <w:r w:rsidR="0024056E">
        <w:rPr>
          <w:rFonts w:cs="Arial"/>
          <w:bCs/>
        </w:rPr>
        <w:t xml:space="preserve"> </w:t>
      </w:r>
      <w:r w:rsidRPr="006E6390">
        <w:rPr>
          <w:rFonts w:cs="Arial"/>
          <w:bCs/>
        </w:rPr>
        <w:t xml:space="preserve">3,1 millones y </w:t>
      </w:r>
      <w:r w:rsidR="005A01A0">
        <w:rPr>
          <w:rFonts w:cs="Arial"/>
          <w:bCs/>
        </w:rPr>
        <w:t>USD</w:t>
      </w:r>
      <w:r w:rsidR="0024056E">
        <w:rPr>
          <w:rFonts w:cs="Arial"/>
          <w:bCs/>
        </w:rPr>
        <w:t xml:space="preserve"> </w:t>
      </w:r>
      <w:r w:rsidRPr="006E6390">
        <w:rPr>
          <w:rFonts w:cs="Arial"/>
          <w:bCs/>
        </w:rPr>
        <w:t xml:space="preserve">2,1 millones, a plazos calzados con los vencimientos de las series A1, A2 y A4. </w:t>
      </w:r>
      <w:r w:rsidR="0024056E">
        <w:rPr>
          <w:rFonts w:cs="Arial"/>
          <w:bCs/>
        </w:rPr>
        <w:t xml:space="preserve"> </w:t>
      </w:r>
      <w:r w:rsidRPr="006E6390">
        <w:rPr>
          <w:rFonts w:cs="Arial"/>
          <w:bCs/>
        </w:rPr>
        <w:t xml:space="preserve">El rendimiento neto equivalente en colones es de </w:t>
      </w:r>
      <w:r w:rsidR="003E0D56" w:rsidRPr="006E6390">
        <w:rPr>
          <w:rFonts w:cs="Arial"/>
          <w:bCs/>
        </w:rPr>
        <w:t>6,53</w:t>
      </w:r>
      <w:r w:rsidRPr="006E6390">
        <w:rPr>
          <w:rFonts w:cs="Arial"/>
          <w:bCs/>
        </w:rPr>
        <w:t>% anual</w:t>
      </w:r>
      <w:r w:rsidR="003E0D56" w:rsidRPr="006E6390">
        <w:rPr>
          <w:rFonts w:cs="Arial"/>
          <w:bCs/>
        </w:rPr>
        <w:t xml:space="preserve"> (actualizado a diciembre de 2020)</w:t>
      </w:r>
      <w:r w:rsidR="00820267">
        <w:rPr>
          <w:rFonts w:cs="Arial"/>
          <w:bCs/>
        </w:rPr>
        <w:t>.</w:t>
      </w:r>
    </w:p>
    <w:p w14:paraId="184C5CF6" w14:textId="77777777" w:rsidR="00820267" w:rsidRPr="006E6390" w:rsidRDefault="00820267" w:rsidP="00C17004">
      <w:pPr>
        <w:widowControl w:val="0"/>
        <w:autoSpaceDE w:val="0"/>
        <w:autoSpaceDN w:val="0"/>
        <w:adjustRightInd w:val="0"/>
        <w:spacing w:after="0"/>
        <w:rPr>
          <w:rFonts w:cs="Arial"/>
          <w:bCs/>
        </w:rPr>
      </w:pPr>
    </w:p>
    <w:p w14:paraId="433E4693" w14:textId="2A747490" w:rsidR="00392AE2" w:rsidRDefault="00392AE2" w:rsidP="00C17004">
      <w:pPr>
        <w:widowControl w:val="0"/>
        <w:autoSpaceDE w:val="0"/>
        <w:autoSpaceDN w:val="0"/>
        <w:adjustRightInd w:val="0"/>
        <w:spacing w:after="0"/>
        <w:rPr>
          <w:rFonts w:cs="Arial"/>
          <w:bCs/>
        </w:rPr>
      </w:pPr>
      <w:r w:rsidRPr="006E6390">
        <w:rPr>
          <w:rFonts w:cs="Arial"/>
          <w:bCs/>
        </w:rPr>
        <w:t xml:space="preserve">El </w:t>
      </w:r>
      <w:r w:rsidR="00436505" w:rsidRPr="006E6390">
        <w:rPr>
          <w:rFonts w:cs="Arial"/>
          <w:bCs/>
        </w:rPr>
        <w:t>21</w:t>
      </w:r>
      <w:r w:rsidRPr="006E6390">
        <w:rPr>
          <w:rFonts w:cs="Arial"/>
          <w:bCs/>
        </w:rPr>
        <w:t xml:space="preserve"> de diciembre de 2020, </w:t>
      </w:r>
      <w:r w:rsidR="00FD411C" w:rsidRPr="006E6390">
        <w:rPr>
          <w:rFonts w:cs="Arial"/>
          <w:bCs/>
        </w:rPr>
        <w:t>se realiz</w:t>
      </w:r>
      <w:r w:rsidR="0054136D" w:rsidRPr="006E6390">
        <w:rPr>
          <w:rFonts w:cs="Arial"/>
          <w:bCs/>
        </w:rPr>
        <w:t>aron inversiones</w:t>
      </w:r>
      <w:r w:rsidR="00FD411C" w:rsidRPr="006E6390">
        <w:rPr>
          <w:rFonts w:cs="Arial"/>
          <w:bCs/>
        </w:rPr>
        <w:t xml:space="preserve"> en </w:t>
      </w:r>
      <w:r w:rsidR="0054136D" w:rsidRPr="006E6390">
        <w:rPr>
          <w:rFonts w:cs="Arial"/>
          <w:bCs/>
        </w:rPr>
        <w:t xml:space="preserve">instrumentos de </w:t>
      </w:r>
      <w:r w:rsidR="00FD411C" w:rsidRPr="006E6390">
        <w:rPr>
          <w:rFonts w:cs="Arial"/>
          <w:bCs/>
        </w:rPr>
        <w:t xml:space="preserve">Tesorería Nacional por </w:t>
      </w:r>
      <w:r w:rsidR="005A01A0">
        <w:rPr>
          <w:rFonts w:cs="Arial"/>
          <w:bCs/>
        </w:rPr>
        <w:t>USD</w:t>
      </w:r>
      <w:r w:rsidR="0024056E">
        <w:rPr>
          <w:rFonts w:cs="Arial"/>
          <w:bCs/>
        </w:rPr>
        <w:t xml:space="preserve"> </w:t>
      </w:r>
      <w:r w:rsidR="00FD411C" w:rsidRPr="006E6390">
        <w:rPr>
          <w:rFonts w:cs="Arial"/>
          <w:bCs/>
        </w:rPr>
        <w:t>14,8 millones</w:t>
      </w:r>
      <w:r w:rsidR="00840322" w:rsidRPr="006E6390">
        <w:rPr>
          <w:rFonts w:cs="Arial"/>
          <w:bCs/>
        </w:rPr>
        <w:t xml:space="preserve">, </w:t>
      </w:r>
      <w:r w:rsidR="005A01A0">
        <w:rPr>
          <w:rFonts w:cs="Arial"/>
          <w:bCs/>
        </w:rPr>
        <w:t>USD</w:t>
      </w:r>
      <w:r w:rsidR="0024056E">
        <w:rPr>
          <w:rFonts w:cs="Arial"/>
          <w:bCs/>
        </w:rPr>
        <w:t xml:space="preserve"> </w:t>
      </w:r>
      <w:r w:rsidR="00840322" w:rsidRPr="006E6390">
        <w:rPr>
          <w:rFonts w:cs="Arial"/>
          <w:bCs/>
        </w:rPr>
        <w:t xml:space="preserve">4,8 millones y </w:t>
      </w:r>
      <w:r w:rsidR="005A01A0">
        <w:rPr>
          <w:rFonts w:cs="Arial"/>
          <w:bCs/>
        </w:rPr>
        <w:t>USD</w:t>
      </w:r>
      <w:r w:rsidR="0024056E">
        <w:rPr>
          <w:rFonts w:cs="Arial"/>
          <w:bCs/>
        </w:rPr>
        <w:t xml:space="preserve"> </w:t>
      </w:r>
      <w:r w:rsidR="00840322" w:rsidRPr="006E6390">
        <w:rPr>
          <w:rFonts w:cs="Arial"/>
          <w:bCs/>
        </w:rPr>
        <w:t xml:space="preserve">4,3 millones </w:t>
      </w:r>
      <w:r w:rsidR="0054136D" w:rsidRPr="006E6390">
        <w:rPr>
          <w:rFonts w:cs="Arial"/>
          <w:bCs/>
        </w:rPr>
        <w:t>destinadas a</w:t>
      </w:r>
      <w:r w:rsidR="00840322" w:rsidRPr="006E6390">
        <w:rPr>
          <w:rFonts w:cs="Arial"/>
          <w:bCs/>
        </w:rPr>
        <w:t xml:space="preserve"> la amortización de las series A1, A2 y A4, respectivamente.  </w:t>
      </w:r>
      <w:r w:rsidR="003E0D56" w:rsidRPr="006E6390">
        <w:rPr>
          <w:rFonts w:cs="Arial"/>
          <w:bCs/>
        </w:rPr>
        <w:t xml:space="preserve">También se realizaron compras de OTC por ₡1 868,1 millones y 3 808,6 millones, para las series A5 y A6.  El rendimiento neto en colones fue de 6,12% anual.  </w:t>
      </w:r>
      <w:r w:rsidR="0054136D" w:rsidRPr="006E6390">
        <w:rPr>
          <w:rFonts w:cs="Arial"/>
          <w:bCs/>
        </w:rPr>
        <w:t>Las</w:t>
      </w:r>
      <w:r w:rsidR="003E0D56" w:rsidRPr="006E6390">
        <w:rPr>
          <w:rFonts w:cs="Arial"/>
          <w:bCs/>
        </w:rPr>
        <w:t xml:space="preserve"> inversiones </w:t>
      </w:r>
      <w:r w:rsidR="0054136D" w:rsidRPr="006E6390">
        <w:rPr>
          <w:rFonts w:cs="Arial"/>
          <w:bCs/>
        </w:rPr>
        <w:t>anteriores implicaron la inversión a largo plazo de intereses generados por</w:t>
      </w:r>
      <w:r w:rsidR="003E0D56" w:rsidRPr="006E6390">
        <w:rPr>
          <w:rFonts w:cs="Arial"/>
          <w:bCs/>
        </w:rPr>
        <w:t xml:space="preserve"> ₡2 525,8 millones</w:t>
      </w:r>
      <w:r w:rsidR="0054136D" w:rsidRPr="006E6390">
        <w:rPr>
          <w:rFonts w:cs="Arial"/>
          <w:bCs/>
        </w:rPr>
        <w:t xml:space="preserve"> en meses anteriores a la fecha de la inversión</w:t>
      </w:r>
      <w:r w:rsidR="003E0D56" w:rsidRPr="006E6390">
        <w:rPr>
          <w:rFonts w:cs="Arial"/>
          <w:bCs/>
        </w:rPr>
        <w:t>.</w:t>
      </w:r>
    </w:p>
    <w:p w14:paraId="50A86FAF" w14:textId="77777777" w:rsidR="00820267" w:rsidRPr="006E6390" w:rsidRDefault="00820267" w:rsidP="00C17004">
      <w:pPr>
        <w:widowControl w:val="0"/>
        <w:autoSpaceDE w:val="0"/>
        <w:autoSpaceDN w:val="0"/>
        <w:adjustRightInd w:val="0"/>
        <w:spacing w:after="0"/>
        <w:rPr>
          <w:rFonts w:cs="Arial"/>
          <w:bCs/>
        </w:rPr>
      </w:pPr>
    </w:p>
    <w:p w14:paraId="30824D28" w14:textId="13D3B8C9" w:rsidR="00E0541B" w:rsidRDefault="00E0541B">
      <w:pPr>
        <w:widowControl w:val="0"/>
        <w:autoSpaceDE w:val="0"/>
        <w:autoSpaceDN w:val="0"/>
        <w:adjustRightInd w:val="0"/>
        <w:spacing w:after="0"/>
        <w:rPr>
          <w:rFonts w:cs="Arial"/>
          <w:bCs/>
        </w:rPr>
      </w:pPr>
      <w:r>
        <w:rPr>
          <w:rFonts w:cs="Arial"/>
          <w:bCs/>
        </w:rPr>
        <w:t xml:space="preserve">Al 31 de diciembre de 2022, se habían realizado compras de 23 valores, de los cuales 5 ya fueron redimidos para el pago del vencimiento de la Serie A1.  Los 18 bonos OTC se dividen en </w:t>
      </w:r>
      <w:r w:rsidR="00EC5FB5">
        <w:rPr>
          <w:rFonts w:cs="Arial"/>
          <w:bCs/>
        </w:rPr>
        <w:t xml:space="preserve">diez bonos por USD 31 604 011,31 y ocho por </w:t>
      </w:r>
      <w:r w:rsidR="00EC5FB5" w:rsidRPr="006E6390">
        <w:rPr>
          <w:rFonts w:cs="Arial"/>
          <w:bCs/>
        </w:rPr>
        <w:t>₡</w:t>
      </w:r>
      <w:r w:rsidR="00EC5FB5">
        <w:rPr>
          <w:rFonts w:cs="Arial"/>
          <w:bCs/>
        </w:rPr>
        <w:t xml:space="preserve"> 17 183 940 339,45, para un total de </w:t>
      </w:r>
      <w:r w:rsidR="00EC5FB5" w:rsidRPr="006E6390">
        <w:rPr>
          <w:rFonts w:cs="Arial"/>
          <w:bCs/>
        </w:rPr>
        <w:t>₡</w:t>
      </w:r>
      <w:r w:rsidR="00EC5FB5">
        <w:rPr>
          <w:rFonts w:cs="Arial"/>
          <w:bCs/>
        </w:rPr>
        <w:t>36 071,76 millones.</w:t>
      </w:r>
    </w:p>
    <w:p w14:paraId="13C79951" w14:textId="77777777" w:rsidR="00E0541B" w:rsidRDefault="00E0541B">
      <w:pPr>
        <w:widowControl w:val="0"/>
        <w:autoSpaceDE w:val="0"/>
        <w:autoSpaceDN w:val="0"/>
        <w:adjustRightInd w:val="0"/>
        <w:spacing w:after="0"/>
        <w:rPr>
          <w:rFonts w:cs="Arial"/>
          <w:bCs/>
        </w:rPr>
      </w:pPr>
    </w:p>
    <w:p w14:paraId="47264ABF" w14:textId="13551E18" w:rsidR="00BA1305" w:rsidRDefault="00BA1305" w:rsidP="00C17004">
      <w:pPr>
        <w:widowControl w:val="0"/>
        <w:autoSpaceDE w:val="0"/>
        <w:autoSpaceDN w:val="0"/>
        <w:adjustRightInd w:val="0"/>
        <w:spacing w:after="0"/>
        <w:rPr>
          <w:rFonts w:cs="Arial"/>
          <w:bCs/>
        </w:rPr>
      </w:pPr>
      <w:r w:rsidRPr="006E6390">
        <w:rPr>
          <w:rFonts w:cs="Arial"/>
          <w:bCs/>
        </w:rPr>
        <w:t xml:space="preserve">Con el monto invertido en el Fondo se dispone de recursos que cubren </w:t>
      </w:r>
      <w:r w:rsidR="00C35681">
        <w:rPr>
          <w:rFonts w:cs="Arial"/>
          <w:bCs/>
        </w:rPr>
        <w:t>el 4</w:t>
      </w:r>
      <w:r w:rsidR="009067B1" w:rsidRPr="006E6390">
        <w:rPr>
          <w:rFonts w:cs="Arial"/>
          <w:bCs/>
        </w:rPr>
        <w:t>5</w:t>
      </w:r>
      <w:r w:rsidR="00C35681">
        <w:rPr>
          <w:rFonts w:cs="Arial"/>
          <w:bCs/>
        </w:rPr>
        <w:t>,4</w:t>
      </w:r>
      <w:r w:rsidRPr="006E6390">
        <w:rPr>
          <w:rFonts w:cs="Arial"/>
          <w:bCs/>
        </w:rPr>
        <w:t xml:space="preserve">% de </w:t>
      </w:r>
      <w:r w:rsidR="00C35681" w:rsidRPr="006E6390">
        <w:rPr>
          <w:rFonts w:cs="Arial"/>
          <w:bCs/>
        </w:rPr>
        <w:t>l</w:t>
      </w:r>
      <w:r w:rsidR="00C35681">
        <w:rPr>
          <w:rFonts w:cs="Arial"/>
          <w:bCs/>
        </w:rPr>
        <w:t>a</w:t>
      </w:r>
      <w:r w:rsidR="00C35681" w:rsidRPr="006E6390">
        <w:rPr>
          <w:rFonts w:cs="Arial"/>
          <w:bCs/>
        </w:rPr>
        <w:t xml:space="preserve">s </w:t>
      </w:r>
      <w:r w:rsidR="00C35681">
        <w:rPr>
          <w:rFonts w:cs="Arial"/>
          <w:bCs/>
        </w:rPr>
        <w:t>necesidades de pago de los vencimientos de las Series A2, A4, A5 y A6</w:t>
      </w:r>
      <w:r w:rsidRPr="006E6390">
        <w:rPr>
          <w:rFonts w:cs="Arial"/>
          <w:bCs/>
        </w:rPr>
        <w:t>.</w:t>
      </w:r>
    </w:p>
    <w:p w14:paraId="2653A4DB" w14:textId="77777777" w:rsidR="00820267" w:rsidRPr="006E6390" w:rsidRDefault="00820267" w:rsidP="00C17004">
      <w:pPr>
        <w:widowControl w:val="0"/>
        <w:autoSpaceDE w:val="0"/>
        <w:autoSpaceDN w:val="0"/>
        <w:adjustRightInd w:val="0"/>
        <w:spacing w:after="0"/>
        <w:rPr>
          <w:rFonts w:cs="Arial"/>
          <w:bCs/>
        </w:rPr>
      </w:pPr>
    </w:p>
    <w:p w14:paraId="230E56F5" w14:textId="04D96840" w:rsidR="00BA1305" w:rsidRDefault="00BA1305" w:rsidP="00C17004">
      <w:pPr>
        <w:widowControl w:val="0"/>
        <w:autoSpaceDE w:val="0"/>
        <w:autoSpaceDN w:val="0"/>
        <w:adjustRightInd w:val="0"/>
        <w:spacing w:after="0"/>
        <w:rPr>
          <w:rFonts w:cs="Arial"/>
          <w:bCs/>
        </w:rPr>
      </w:pPr>
      <w:r w:rsidRPr="006E6390">
        <w:rPr>
          <w:rFonts w:cs="Arial"/>
          <w:bCs/>
        </w:rPr>
        <w:t xml:space="preserve">Adicionalmente, en el </w:t>
      </w:r>
      <w:r w:rsidR="00345F58">
        <w:rPr>
          <w:rFonts w:cs="Arial"/>
          <w:bCs/>
        </w:rPr>
        <w:t xml:space="preserve">mes de enero </w:t>
      </w:r>
      <w:r w:rsidR="00345F58" w:rsidRPr="00F63100">
        <w:rPr>
          <w:rFonts w:cs="Arial"/>
          <w:bCs/>
        </w:rPr>
        <w:t xml:space="preserve">de </w:t>
      </w:r>
      <w:r w:rsidR="006513C0" w:rsidRPr="00F63100">
        <w:rPr>
          <w:rFonts w:cs="Arial"/>
          <w:bCs/>
        </w:rPr>
        <w:t>202</w:t>
      </w:r>
      <w:r w:rsidR="00F63100">
        <w:rPr>
          <w:rFonts w:cs="Arial"/>
          <w:bCs/>
        </w:rPr>
        <w:t>3</w:t>
      </w:r>
      <w:r w:rsidR="006513C0" w:rsidRPr="00F63100">
        <w:rPr>
          <w:rFonts w:cs="Arial"/>
          <w:bCs/>
        </w:rPr>
        <w:t xml:space="preserve"> </w:t>
      </w:r>
      <w:r w:rsidRPr="00F63100">
        <w:rPr>
          <w:rFonts w:cs="Arial"/>
          <w:bCs/>
        </w:rPr>
        <w:t xml:space="preserve">se </w:t>
      </w:r>
      <w:r w:rsidR="00BB7120" w:rsidRPr="00F63100">
        <w:rPr>
          <w:rFonts w:cs="Arial"/>
          <w:bCs/>
        </w:rPr>
        <w:t xml:space="preserve">invirtieron </w:t>
      </w:r>
      <w:r w:rsidRPr="00F63100">
        <w:rPr>
          <w:rFonts w:cs="Arial"/>
          <w:bCs/>
        </w:rPr>
        <w:t>₡</w:t>
      </w:r>
      <w:r w:rsidR="00F63100" w:rsidRPr="00C17004">
        <w:rPr>
          <w:rFonts w:cs="Arial"/>
          <w:bCs/>
        </w:rPr>
        <w:t>5 581,79</w:t>
      </w:r>
      <w:r w:rsidRPr="00F63100">
        <w:rPr>
          <w:rFonts w:cs="Arial"/>
          <w:bCs/>
        </w:rPr>
        <w:t xml:space="preserve"> millones, siguiendo la</w:t>
      </w:r>
      <w:r w:rsidR="00F63100">
        <w:rPr>
          <w:rFonts w:cs="Arial"/>
          <w:bCs/>
        </w:rPr>
        <w:t xml:space="preserve">s necesidades </w:t>
      </w:r>
      <w:r w:rsidRPr="00F63100">
        <w:rPr>
          <w:rFonts w:cs="Arial"/>
          <w:bCs/>
        </w:rPr>
        <w:t xml:space="preserve">de </w:t>
      </w:r>
      <w:r w:rsidR="00F63100">
        <w:rPr>
          <w:rFonts w:cs="Arial"/>
          <w:bCs/>
        </w:rPr>
        <w:t xml:space="preserve">repago de los </w:t>
      </w:r>
      <w:r w:rsidRPr="00F63100">
        <w:rPr>
          <w:rFonts w:cs="Arial"/>
          <w:bCs/>
        </w:rPr>
        <w:t>bonos de RECOPE.</w:t>
      </w:r>
      <w:r w:rsidRPr="006E6390">
        <w:rPr>
          <w:rFonts w:cs="Arial"/>
          <w:bCs/>
        </w:rPr>
        <w:t xml:space="preserve"> </w:t>
      </w:r>
      <w:r w:rsidR="00F63100">
        <w:rPr>
          <w:rFonts w:cs="Arial"/>
          <w:bCs/>
        </w:rPr>
        <w:t xml:space="preserve"> Si se cuentan los instrumentos que ya vencieron el 2 de diciembre de 2022 el rendimiento ponderado al cierre de enero de 2023 era de 8,7645% (en colones), pero si solo se toman en cuenta las 21 que se mantienen vigentes en el portafolio del FAB el rendimiento ponderado sube a 10,0190% (en colones).</w:t>
      </w:r>
    </w:p>
    <w:p w14:paraId="3B20AAAF" w14:textId="77777777" w:rsidR="00820267" w:rsidRPr="006E6390" w:rsidRDefault="00820267" w:rsidP="00BA1305">
      <w:pPr>
        <w:widowControl w:val="0"/>
        <w:autoSpaceDE w:val="0"/>
        <w:autoSpaceDN w:val="0"/>
        <w:adjustRightInd w:val="0"/>
        <w:rPr>
          <w:rFonts w:cs="Arial"/>
          <w:bCs/>
        </w:rPr>
      </w:pPr>
    </w:p>
    <w:p w14:paraId="782AB91C" w14:textId="77777777" w:rsidR="005C12EC" w:rsidRPr="006E6390" w:rsidRDefault="005C12EC" w:rsidP="005C12EC">
      <w:pPr>
        <w:tabs>
          <w:tab w:val="left" w:pos="9270"/>
        </w:tabs>
        <w:rPr>
          <w:rFonts w:cs="Arial"/>
          <w:b/>
          <w:lang w:eastAsia="es-MX"/>
        </w:rPr>
      </w:pPr>
      <w:r w:rsidRPr="006E6390">
        <w:rPr>
          <w:rFonts w:cs="Arial"/>
          <w:b/>
          <w:lang w:eastAsia="es-MX"/>
        </w:rPr>
        <w:t>Gobierno Corporativo</w:t>
      </w:r>
    </w:p>
    <w:p w14:paraId="1A0C6BA6" w14:textId="4C000649" w:rsidR="005C12EC" w:rsidRDefault="005C12EC" w:rsidP="00820267">
      <w:pPr>
        <w:widowControl w:val="0"/>
        <w:autoSpaceDE w:val="0"/>
        <w:autoSpaceDN w:val="0"/>
        <w:adjustRightInd w:val="0"/>
        <w:spacing w:after="0"/>
        <w:rPr>
          <w:rFonts w:cs="Arial"/>
          <w:bCs/>
        </w:rPr>
      </w:pPr>
      <w:r w:rsidRPr="006E6390">
        <w:rPr>
          <w:rFonts w:cs="Arial"/>
          <w:bCs/>
        </w:rPr>
        <w:t>La Junta Directiva, en el Artículo #5, de la Sesión Ordinaria #5010-216, celebrada el 27 de noviembre de 2017, aprobó el Código de Gobierno Corporativo, con el objeto de promover la gestión empresarial en un esquema de anticipación y manejo de riesgos, facilitar la transparencia y rendición de cuentas</w:t>
      </w:r>
      <w:r w:rsidR="00932FE4" w:rsidRPr="006E6390">
        <w:rPr>
          <w:rFonts w:cs="Arial"/>
          <w:bCs/>
        </w:rPr>
        <w:t xml:space="preserve">. </w:t>
      </w:r>
      <w:r w:rsidR="006E137B">
        <w:rPr>
          <w:rFonts w:cs="Arial"/>
          <w:bCs/>
        </w:rPr>
        <w:t xml:space="preserve"> </w:t>
      </w:r>
      <w:r w:rsidRPr="006E6390">
        <w:rPr>
          <w:rFonts w:cs="Arial"/>
          <w:bCs/>
        </w:rPr>
        <w:t>El código compila las mejores prácticas de gobierno corporativo que generen confianza en los Sujetos Interesados y en el mercado en general, en resguardo del interés público que el legislador ha puesto a RECOPE S.A. como garante de la seguridad energética del país.</w:t>
      </w:r>
    </w:p>
    <w:p w14:paraId="576A646D" w14:textId="77777777" w:rsidR="00820267" w:rsidRPr="006E6390" w:rsidRDefault="00820267" w:rsidP="00544CD2">
      <w:pPr>
        <w:widowControl w:val="0"/>
        <w:autoSpaceDE w:val="0"/>
        <w:autoSpaceDN w:val="0"/>
        <w:adjustRightInd w:val="0"/>
        <w:spacing w:after="0"/>
        <w:rPr>
          <w:rFonts w:cs="Arial"/>
          <w:bCs/>
        </w:rPr>
      </w:pPr>
    </w:p>
    <w:p w14:paraId="698A782C" w14:textId="1E06BB00" w:rsidR="005C12EC" w:rsidRDefault="005C12EC" w:rsidP="00544CD2">
      <w:pPr>
        <w:widowControl w:val="0"/>
        <w:autoSpaceDE w:val="0"/>
        <w:autoSpaceDN w:val="0"/>
        <w:adjustRightInd w:val="0"/>
        <w:spacing w:after="0"/>
        <w:rPr>
          <w:rFonts w:cs="Arial"/>
          <w:bCs/>
        </w:rPr>
      </w:pPr>
      <w:r w:rsidRPr="006E6390">
        <w:rPr>
          <w:rFonts w:cs="Arial"/>
          <w:bCs/>
        </w:rPr>
        <w:t>El Código incorpora la obligación de evaluar a la Junta Directiva y sus miembros; así como a los comités que se conformen, como una acción de rendición de cuentas y promover la adecuada gestión empresarial. El proceso de evaluación también aplica a la Alta Gerencia.</w:t>
      </w:r>
    </w:p>
    <w:p w14:paraId="03409E95" w14:textId="77777777" w:rsidR="00820267" w:rsidRPr="006E6390" w:rsidRDefault="00820267" w:rsidP="00544CD2">
      <w:pPr>
        <w:widowControl w:val="0"/>
        <w:autoSpaceDE w:val="0"/>
        <w:autoSpaceDN w:val="0"/>
        <w:adjustRightInd w:val="0"/>
        <w:spacing w:after="0"/>
        <w:rPr>
          <w:rFonts w:cs="Arial"/>
          <w:bCs/>
        </w:rPr>
      </w:pPr>
    </w:p>
    <w:p w14:paraId="00312B05" w14:textId="462DA0EC" w:rsidR="005C12EC" w:rsidRDefault="005C12EC" w:rsidP="00544CD2">
      <w:pPr>
        <w:widowControl w:val="0"/>
        <w:autoSpaceDE w:val="0"/>
        <w:autoSpaceDN w:val="0"/>
        <w:adjustRightInd w:val="0"/>
        <w:spacing w:after="0"/>
        <w:rPr>
          <w:rFonts w:cs="Arial"/>
          <w:bCs/>
        </w:rPr>
      </w:pPr>
      <w:r w:rsidRPr="006E6390">
        <w:rPr>
          <w:rFonts w:cs="Arial"/>
          <w:bCs/>
        </w:rPr>
        <w:t xml:space="preserve">Para fortalecer la transparencia, se manifiesta que la información que suministre la empresa debe ser precisa, veraz, completa y respaldada en hechos reales y comprobables. De igual forma, se busca prevenir y gestionar los posibles conflictos de interés, mediante la </w:t>
      </w:r>
      <w:r w:rsidRPr="006E6390">
        <w:rPr>
          <w:rFonts w:cs="Arial"/>
          <w:bCs/>
        </w:rPr>
        <w:lastRenderedPageBreak/>
        <w:t xml:space="preserve">revelación y administración de </w:t>
      </w:r>
      <w:r w:rsidR="00D2205D" w:rsidRPr="006E6390">
        <w:rPr>
          <w:rFonts w:cs="Arial"/>
          <w:bCs/>
        </w:rPr>
        <w:t>éstos</w:t>
      </w:r>
      <w:r w:rsidRPr="006E6390">
        <w:rPr>
          <w:rFonts w:cs="Arial"/>
          <w:bCs/>
        </w:rPr>
        <w:t>.</w:t>
      </w:r>
    </w:p>
    <w:p w14:paraId="5F83473D" w14:textId="77777777" w:rsidR="003A2443" w:rsidRPr="006E6390" w:rsidRDefault="003A2443" w:rsidP="00544CD2">
      <w:pPr>
        <w:widowControl w:val="0"/>
        <w:autoSpaceDE w:val="0"/>
        <w:autoSpaceDN w:val="0"/>
        <w:adjustRightInd w:val="0"/>
        <w:spacing w:after="0"/>
        <w:rPr>
          <w:rFonts w:cs="Arial"/>
          <w:bCs/>
        </w:rPr>
      </w:pPr>
    </w:p>
    <w:p w14:paraId="794C1C08" w14:textId="75D6567B" w:rsidR="003A68DD" w:rsidRDefault="005C12EC" w:rsidP="00544CD2">
      <w:pPr>
        <w:widowControl w:val="0"/>
        <w:autoSpaceDE w:val="0"/>
        <w:autoSpaceDN w:val="0"/>
        <w:adjustRightInd w:val="0"/>
        <w:spacing w:after="0"/>
        <w:rPr>
          <w:rFonts w:cs="Arial"/>
          <w:bCs/>
        </w:rPr>
      </w:pPr>
      <w:r w:rsidRPr="006E6390">
        <w:rPr>
          <w:rFonts w:cs="Arial"/>
          <w:bCs/>
        </w:rPr>
        <w:t xml:space="preserve">Como parte del proceso de implementación del Código, </w:t>
      </w:r>
      <w:r w:rsidR="006E137B">
        <w:rPr>
          <w:rFonts w:cs="Arial"/>
          <w:bCs/>
        </w:rPr>
        <w:t>fue necesario</w:t>
      </w:r>
      <w:r w:rsidRPr="006E6390">
        <w:rPr>
          <w:rFonts w:cs="Arial"/>
          <w:bCs/>
        </w:rPr>
        <w:t xml:space="preserve"> reformar los reglamentos de Junta Directiva y Comité de </w:t>
      </w:r>
      <w:r w:rsidR="0079572D" w:rsidRPr="006E6390">
        <w:rPr>
          <w:rFonts w:cs="Arial"/>
          <w:bCs/>
        </w:rPr>
        <w:t>Auditoría</w:t>
      </w:r>
      <w:r w:rsidRPr="006E6390">
        <w:rPr>
          <w:rFonts w:cs="Arial"/>
          <w:bCs/>
        </w:rPr>
        <w:t>, para incorporar el nuevo enfoque regulatorio de gestión de riesgos y establecer los mecanismos de aprobación requeridos para las desviaciones de la estrategia de gestión de riesgos o de los riesgos tomados en exceso con respecto a la Declaración del Apetito de Riesgo.</w:t>
      </w:r>
    </w:p>
    <w:p w14:paraId="3AC0A0F9" w14:textId="77777777" w:rsidR="003A2443" w:rsidRPr="006E6390" w:rsidRDefault="003A2443" w:rsidP="00544CD2">
      <w:pPr>
        <w:widowControl w:val="0"/>
        <w:autoSpaceDE w:val="0"/>
        <w:autoSpaceDN w:val="0"/>
        <w:adjustRightInd w:val="0"/>
        <w:spacing w:after="0"/>
        <w:rPr>
          <w:rFonts w:cs="Arial"/>
          <w:bCs/>
        </w:rPr>
      </w:pPr>
    </w:p>
    <w:p w14:paraId="77DC481B" w14:textId="0BDFD890" w:rsidR="004944B8" w:rsidRDefault="00E54108" w:rsidP="00544CD2">
      <w:pPr>
        <w:widowControl w:val="0"/>
        <w:autoSpaceDE w:val="0"/>
        <w:autoSpaceDN w:val="0"/>
        <w:adjustRightInd w:val="0"/>
        <w:spacing w:after="0"/>
        <w:rPr>
          <w:rFonts w:cs="Arial"/>
          <w:bCs/>
        </w:rPr>
      </w:pPr>
      <w:r w:rsidRPr="006E6390">
        <w:rPr>
          <w:rFonts w:cs="Arial"/>
          <w:bCs/>
        </w:rPr>
        <w:t>Como parte del proceso de incorporación del país a la Organización para la Cooperación y el Desarrollo Económico (OCDE), se han aprobado leyes, decretos y se han reformado normativa en materia de gobierno corporativo.  Por ejemplo, en lo que corresponde a RECOPE, la Ley N°</w:t>
      </w:r>
      <w:r w:rsidR="004944B8" w:rsidRPr="006E6390">
        <w:rPr>
          <w:rFonts w:cs="Arial"/>
          <w:bCs/>
        </w:rPr>
        <w:t xml:space="preserve">9715 </w:t>
      </w:r>
      <w:r w:rsidR="007B5381" w:rsidRPr="006E6390">
        <w:rPr>
          <w:rFonts w:cs="Arial"/>
          <w:bCs/>
        </w:rPr>
        <w:t xml:space="preserve">deroga el artículo 9 de la Ley </w:t>
      </w:r>
      <w:r w:rsidR="004A77FC" w:rsidRPr="006E6390">
        <w:rPr>
          <w:rFonts w:cs="Arial"/>
          <w:bCs/>
        </w:rPr>
        <w:t>N.º</w:t>
      </w:r>
      <w:r w:rsidR="004A77FC">
        <w:rPr>
          <w:rFonts w:cs="Arial"/>
          <w:bCs/>
        </w:rPr>
        <w:t xml:space="preserve"> </w:t>
      </w:r>
      <w:r w:rsidR="004944B8" w:rsidRPr="006E6390">
        <w:rPr>
          <w:rFonts w:cs="Arial"/>
          <w:bCs/>
        </w:rPr>
        <w:t>7152, Ley Orgánica del Ministerio de Ambiente y Energía, de 5 de junio de 1990, retirando al señor ministro de la vicepresidencia de la Junta Directiva de la empresa a partir del 1 de enero de 2020.</w:t>
      </w:r>
    </w:p>
    <w:p w14:paraId="2583B60D" w14:textId="77777777" w:rsidR="003A2443" w:rsidRPr="006E6390" w:rsidRDefault="003A2443" w:rsidP="00544CD2">
      <w:pPr>
        <w:widowControl w:val="0"/>
        <w:autoSpaceDE w:val="0"/>
        <w:autoSpaceDN w:val="0"/>
        <w:adjustRightInd w:val="0"/>
        <w:spacing w:after="0"/>
        <w:rPr>
          <w:rFonts w:cs="Arial"/>
          <w:bCs/>
        </w:rPr>
      </w:pPr>
    </w:p>
    <w:p w14:paraId="58C71CEF" w14:textId="62D8750E" w:rsidR="004944B8" w:rsidRDefault="004944B8" w:rsidP="00544CD2">
      <w:pPr>
        <w:widowControl w:val="0"/>
        <w:autoSpaceDE w:val="0"/>
        <w:autoSpaceDN w:val="0"/>
        <w:adjustRightInd w:val="0"/>
        <w:spacing w:after="0"/>
        <w:rPr>
          <w:rFonts w:cs="Arial"/>
          <w:bCs/>
        </w:rPr>
      </w:pPr>
      <w:r w:rsidRPr="006E6390">
        <w:rPr>
          <w:rFonts w:cs="Arial"/>
          <w:bCs/>
        </w:rPr>
        <w:t xml:space="preserve">En orden con lo anterior, se emitió por parte del Poder Ejecutivo </w:t>
      </w:r>
      <w:r w:rsidR="008F19FE" w:rsidRPr="006E6390">
        <w:rPr>
          <w:rFonts w:cs="Arial"/>
          <w:bCs/>
        </w:rPr>
        <w:t xml:space="preserve">el Decreto </w:t>
      </w:r>
      <w:r w:rsidR="00240FA1" w:rsidRPr="006E6390">
        <w:rPr>
          <w:rFonts w:cs="Arial"/>
          <w:bCs/>
        </w:rPr>
        <w:t>N°41.516</w:t>
      </w:r>
      <w:r w:rsidR="008F19FE" w:rsidRPr="006E6390">
        <w:rPr>
          <w:rFonts w:cs="Arial"/>
          <w:bCs/>
        </w:rPr>
        <w:t>-MP</w:t>
      </w:r>
      <w:r w:rsidR="00240FA1" w:rsidRPr="006E6390">
        <w:rPr>
          <w:rFonts w:cs="Arial"/>
          <w:bCs/>
        </w:rPr>
        <w:t xml:space="preserve"> </w:t>
      </w:r>
      <w:r w:rsidR="008F19FE" w:rsidRPr="006E6390">
        <w:rPr>
          <w:rFonts w:cs="Arial"/>
          <w:bCs/>
        </w:rPr>
        <w:t xml:space="preserve">“Reglamento para la selección y valoración de candidatos para cargos del órgano de dirección de empresas propiedad del Estado”, que viene a complementar el Decreto </w:t>
      </w:r>
      <w:r w:rsidR="004A77FC" w:rsidRPr="006E6390">
        <w:rPr>
          <w:rFonts w:cs="Arial"/>
          <w:bCs/>
        </w:rPr>
        <w:t>N</w:t>
      </w:r>
      <w:r w:rsidR="004A77FC">
        <w:rPr>
          <w:rFonts w:cs="Arial"/>
          <w:bCs/>
        </w:rPr>
        <w:t>.</w:t>
      </w:r>
      <w:r w:rsidR="004A77FC" w:rsidRPr="006E6390">
        <w:rPr>
          <w:rFonts w:cs="Arial"/>
          <w:bCs/>
        </w:rPr>
        <w:t>º</w:t>
      </w:r>
      <w:r w:rsidR="008F19FE" w:rsidRPr="006E6390">
        <w:rPr>
          <w:rFonts w:cs="Arial"/>
          <w:bCs/>
        </w:rPr>
        <w:t xml:space="preserve"> 40</w:t>
      </w:r>
      <w:r w:rsidR="00491332" w:rsidRPr="006E6390">
        <w:rPr>
          <w:rFonts w:cs="Arial"/>
          <w:bCs/>
        </w:rPr>
        <w:t xml:space="preserve"> </w:t>
      </w:r>
      <w:r w:rsidR="008F19FE" w:rsidRPr="006E6390">
        <w:rPr>
          <w:rFonts w:cs="Arial"/>
          <w:bCs/>
        </w:rPr>
        <w:t xml:space="preserve">696-MP "Creación de la Unidad Asesora para la Dirección y Coordinación de la propiedad Accionaria del Estado y de la Gestión de las Instituciones Autónomas" del 23 de octubre de 2017. </w:t>
      </w:r>
      <w:r w:rsidR="00491332" w:rsidRPr="006E6390">
        <w:rPr>
          <w:rFonts w:cs="Arial"/>
          <w:bCs/>
        </w:rPr>
        <w:t xml:space="preserve"> </w:t>
      </w:r>
      <w:r w:rsidR="008F19FE" w:rsidRPr="006E6390">
        <w:rPr>
          <w:rFonts w:cs="Arial"/>
          <w:bCs/>
        </w:rPr>
        <w:t>Los últimos nombramientos de directores</w:t>
      </w:r>
      <w:r w:rsidR="00A3272A" w:rsidRPr="006E6390">
        <w:rPr>
          <w:rFonts w:cs="Arial"/>
          <w:bCs/>
        </w:rPr>
        <w:t xml:space="preserve"> se han realizado según</w:t>
      </w:r>
      <w:r w:rsidR="008F19FE" w:rsidRPr="006E6390">
        <w:rPr>
          <w:rFonts w:cs="Arial"/>
          <w:bCs/>
        </w:rPr>
        <w:t xml:space="preserve"> lo dispuesto en el Decreto N°41</w:t>
      </w:r>
      <w:r w:rsidR="00491332" w:rsidRPr="006E6390">
        <w:rPr>
          <w:rFonts w:cs="Arial"/>
          <w:bCs/>
        </w:rPr>
        <w:t xml:space="preserve"> </w:t>
      </w:r>
      <w:r w:rsidR="008F19FE" w:rsidRPr="006E6390">
        <w:rPr>
          <w:rFonts w:cs="Arial"/>
          <w:bCs/>
        </w:rPr>
        <w:t>516</w:t>
      </w:r>
      <w:r w:rsidR="00491332" w:rsidRPr="006E6390">
        <w:rPr>
          <w:rFonts w:cs="Arial"/>
          <w:bCs/>
        </w:rPr>
        <w:t>-MP</w:t>
      </w:r>
      <w:r w:rsidR="008F19FE" w:rsidRPr="006E6390">
        <w:rPr>
          <w:rFonts w:cs="Arial"/>
          <w:bCs/>
        </w:rPr>
        <w:t>.</w:t>
      </w:r>
    </w:p>
    <w:p w14:paraId="250F81DD" w14:textId="77777777" w:rsidR="003A2443" w:rsidRPr="006E6390" w:rsidRDefault="003A2443" w:rsidP="00544CD2">
      <w:pPr>
        <w:widowControl w:val="0"/>
        <w:autoSpaceDE w:val="0"/>
        <w:autoSpaceDN w:val="0"/>
        <w:adjustRightInd w:val="0"/>
        <w:spacing w:after="0"/>
        <w:rPr>
          <w:rFonts w:cs="Arial"/>
          <w:bCs/>
        </w:rPr>
      </w:pPr>
    </w:p>
    <w:p w14:paraId="01224F44" w14:textId="77777777" w:rsidR="001C2C9C" w:rsidRDefault="008F19FE">
      <w:pPr>
        <w:widowControl w:val="0"/>
        <w:autoSpaceDE w:val="0"/>
        <w:autoSpaceDN w:val="0"/>
        <w:adjustRightInd w:val="0"/>
        <w:spacing w:after="0"/>
        <w:rPr>
          <w:rFonts w:cs="Arial"/>
          <w:shd w:val="clear" w:color="auto" w:fill="FFFFFF"/>
        </w:rPr>
      </w:pPr>
      <w:r w:rsidRPr="006E6390">
        <w:rPr>
          <w:rFonts w:cs="Arial"/>
          <w:bCs/>
        </w:rPr>
        <w:t xml:space="preserve">A raíz de la creación de la Unidad Asesora, emitió la Directriz N°058-MP de 11 de octubre de 2019, donde se oficializa </w:t>
      </w:r>
      <w:r w:rsidR="00575EA9" w:rsidRPr="006E6390">
        <w:rPr>
          <w:rFonts w:cs="Arial"/>
          <w:bCs/>
        </w:rPr>
        <w:t xml:space="preserve">el </w:t>
      </w:r>
      <w:r w:rsidR="00575EA9" w:rsidRPr="006E6390">
        <w:rPr>
          <w:rFonts w:cs="Arial"/>
          <w:shd w:val="clear" w:color="auto" w:fill="FFFFFF"/>
        </w:rPr>
        <w:t>Protocolo de Entendimiento de las Relaciones entre el Estado y las Empresas Propiedad del Estado</w:t>
      </w:r>
      <w:r w:rsidR="00CC0F36" w:rsidRPr="006E6390">
        <w:rPr>
          <w:rFonts w:cs="Arial"/>
          <w:shd w:val="clear" w:color="auto" w:fill="FFFFFF"/>
        </w:rPr>
        <w:t xml:space="preserve">, del cual RECOPE participó en el proceso de consulta.  </w:t>
      </w:r>
    </w:p>
    <w:p w14:paraId="37E3471D" w14:textId="77777777" w:rsidR="001C2C9C" w:rsidRDefault="001C2C9C">
      <w:pPr>
        <w:widowControl w:val="0"/>
        <w:autoSpaceDE w:val="0"/>
        <w:autoSpaceDN w:val="0"/>
        <w:adjustRightInd w:val="0"/>
        <w:spacing w:after="0"/>
        <w:rPr>
          <w:rFonts w:cs="Arial"/>
          <w:shd w:val="clear" w:color="auto" w:fill="FFFFFF"/>
        </w:rPr>
      </w:pPr>
    </w:p>
    <w:p w14:paraId="69ADD0AB" w14:textId="646B028C" w:rsidR="008F19FE" w:rsidRPr="0060229A" w:rsidRDefault="001C2C9C">
      <w:pPr>
        <w:widowControl w:val="0"/>
        <w:autoSpaceDE w:val="0"/>
        <w:autoSpaceDN w:val="0"/>
        <w:adjustRightInd w:val="0"/>
        <w:spacing w:after="0"/>
        <w:rPr>
          <w:rFonts w:cs="Arial"/>
          <w:shd w:val="clear" w:color="auto" w:fill="FFFFFF"/>
        </w:rPr>
      </w:pPr>
      <w:r>
        <w:rPr>
          <w:rFonts w:cs="Arial"/>
          <w:shd w:val="clear" w:color="auto" w:fill="FFFFFF"/>
        </w:rPr>
        <w:t xml:space="preserve">Entre los años 2021 y 2022, </w:t>
      </w:r>
      <w:r w:rsidR="006E137B">
        <w:rPr>
          <w:rFonts w:cs="Arial"/>
          <w:shd w:val="clear" w:color="auto" w:fill="FFFFFF"/>
        </w:rPr>
        <w:t xml:space="preserve">la empresa </w:t>
      </w:r>
      <w:r>
        <w:rPr>
          <w:rFonts w:cs="Arial"/>
          <w:shd w:val="clear" w:color="auto" w:fill="FFFFFF"/>
        </w:rPr>
        <w:t>realizó</w:t>
      </w:r>
      <w:r w:rsidR="006E137B">
        <w:rPr>
          <w:rFonts w:cs="Arial"/>
          <w:shd w:val="clear" w:color="auto" w:fill="FFFFFF"/>
        </w:rPr>
        <w:t xml:space="preserve"> un proceso de revisión de políticas y del Código de Gobierno Corporativo, entre otros</w:t>
      </w:r>
      <w:r>
        <w:rPr>
          <w:rFonts w:cs="Arial"/>
          <w:shd w:val="clear" w:color="auto" w:fill="FFFFFF"/>
        </w:rPr>
        <w:t xml:space="preserve">, que condujo a una reforma que incorporara </w:t>
      </w:r>
      <w:r w:rsidRPr="0060229A">
        <w:rPr>
          <w:rFonts w:cs="Arial"/>
          <w:shd w:val="clear" w:color="auto" w:fill="FFFFFF"/>
        </w:rPr>
        <w:t>las nuevas normativas y que estuviera alineado con el conjunto de polítícas empresariales actualizadas.  La Junta Directiva mediante acuerdo que consta en el Artículo #6 de la Sesión Ordinaria #5299-271, celebrada el 27 de abril de 2022, aprobó la reforma de dicho Código.</w:t>
      </w:r>
    </w:p>
    <w:p w14:paraId="5D7FA1E0" w14:textId="145850DC" w:rsidR="001C2C9C" w:rsidRPr="009053EE" w:rsidRDefault="00B91D48">
      <w:pPr>
        <w:widowControl w:val="0"/>
        <w:autoSpaceDE w:val="0"/>
        <w:autoSpaceDN w:val="0"/>
        <w:adjustRightInd w:val="0"/>
        <w:spacing w:after="0"/>
        <w:rPr>
          <w:rFonts w:cs="Arial"/>
          <w:color w:val="1A0E8E"/>
          <w:shd w:val="clear" w:color="auto" w:fill="FFFFFF"/>
          <w14:textFill>
            <w14:solidFill>
              <w14:srgbClr w14:val="1A0E8E">
                <w14:lumMod w14:val="75000"/>
              </w14:srgbClr>
            </w14:solidFill>
          </w14:textFill>
        </w:rPr>
      </w:pPr>
      <w:r w:rsidRPr="0060229A">
        <w:rPr>
          <w:rFonts w:cs="Arial"/>
          <w:shd w:val="clear" w:color="auto" w:fill="FFFFFF"/>
        </w:rPr>
        <w:t xml:space="preserve">Tal y como establece este Código rige desde su publicación en La Gaceta N°88 de 13 de mayo de 2022 y se encuentra disponible en la página web empresarial, en la ruta: </w:t>
      </w:r>
      <w:r w:rsidRPr="009053EE">
        <w:rPr>
          <w:rFonts w:cs="Arial"/>
          <w:color w:val="1A0E8E"/>
          <w:shd w:val="clear" w:color="auto" w:fill="FFFFFF"/>
          <w14:textFill>
            <w14:solidFill>
              <w14:srgbClr w14:val="1A0E8E">
                <w14:lumMod w14:val="75000"/>
              </w14:srgbClr>
            </w14:solidFill>
          </w14:textFill>
        </w:rPr>
        <w:t>https://www.recope.go.cr/quienes-somos/gobierno-corporativo/</w:t>
      </w:r>
    </w:p>
    <w:p w14:paraId="495ACCE0" w14:textId="77777777" w:rsidR="0060229A" w:rsidRDefault="0060229A" w:rsidP="009053EE">
      <w:pPr>
        <w:spacing w:after="0"/>
        <w:jc w:val="left"/>
        <w:rPr>
          <w:rFonts w:cs="Arial"/>
          <w:shd w:val="clear" w:color="auto" w:fill="FFFFFF"/>
        </w:rPr>
      </w:pPr>
    </w:p>
    <w:p w14:paraId="008F0E4F" w14:textId="412D58A2" w:rsidR="0060229A" w:rsidRDefault="0060229A" w:rsidP="009053EE">
      <w:pPr>
        <w:spacing w:after="0"/>
        <w:jc w:val="left"/>
        <w:rPr>
          <w:rFonts w:cs="Arial"/>
          <w:shd w:val="clear" w:color="auto" w:fill="FFFFFF"/>
        </w:rPr>
      </w:pPr>
      <w:r>
        <w:rPr>
          <w:rFonts w:cs="Arial"/>
          <w:shd w:val="clear" w:color="auto" w:fill="FFFFFF"/>
        </w:rPr>
        <w:t>También es relevante señalar que dentro del proceso anterior se aprobó un nuevo Código de Ética y Conducta</w:t>
      </w:r>
      <w:r w:rsidR="00B944AA">
        <w:rPr>
          <w:rFonts w:cs="Arial"/>
          <w:shd w:val="clear" w:color="auto" w:fill="FFFFFF"/>
        </w:rPr>
        <w:t xml:space="preserve"> aprobado por la Junta Directiva, según consta en el Artículo #4 de la Sesión Ordinaria 5246-218 de 7 de julio de 2021</w:t>
      </w:r>
      <w:r w:rsidR="003E44C8">
        <w:rPr>
          <w:rFonts w:cs="Arial"/>
          <w:shd w:val="clear" w:color="auto" w:fill="FFFFFF"/>
        </w:rPr>
        <w:t xml:space="preserve">, el cual también se encuentra disponible en la página web: </w:t>
      </w:r>
    </w:p>
    <w:p w14:paraId="03AE244F" w14:textId="77777777" w:rsidR="003E44C8" w:rsidRDefault="003E44C8" w:rsidP="009053EE">
      <w:pPr>
        <w:spacing w:after="0"/>
        <w:jc w:val="left"/>
        <w:rPr>
          <w:rFonts w:cs="Arial"/>
          <w:shd w:val="clear" w:color="auto" w:fill="FFFFFF"/>
        </w:rPr>
      </w:pPr>
    </w:p>
    <w:p w14:paraId="3733A379" w14:textId="3F9206C8" w:rsidR="00B944AA" w:rsidRPr="009053EE" w:rsidRDefault="003E44C8" w:rsidP="009053EE">
      <w:pPr>
        <w:spacing w:after="0" w:line="240" w:lineRule="auto"/>
        <w:rPr>
          <w:rFonts w:cs="Arial"/>
          <w:color w:val="002060"/>
          <w:shd w:val="clear" w:color="auto" w:fill="FFFFFF"/>
        </w:rPr>
      </w:pPr>
      <w:r w:rsidRPr="009053EE">
        <w:rPr>
          <w:rFonts w:cs="Arial"/>
          <w:color w:val="002060"/>
          <w:shd w:val="clear" w:color="auto" w:fill="FFFFFF"/>
        </w:rPr>
        <w:t>https://www.recope.go.cr/transparencia/politicas-empresariales/codigo-de-etica-y-conducta/</w:t>
      </w:r>
    </w:p>
    <w:p w14:paraId="60CFDDCE" w14:textId="45C7F112" w:rsidR="0060229A" w:rsidRDefault="0060229A">
      <w:pPr>
        <w:spacing w:after="0" w:line="240" w:lineRule="auto"/>
        <w:jc w:val="left"/>
        <w:rPr>
          <w:rFonts w:cs="Arial"/>
          <w:shd w:val="clear" w:color="auto" w:fill="FFFFFF"/>
        </w:rPr>
      </w:pPr>
    </w:p>
    <w:p w14:paraId="497B04B6" w14:textId="77777777" w:rsidR="003A2443" w:rsidRPr="006E6390" w:rsidRDefault="003A2443" w:rsidP="00E54108">
      <w:pPr>
        <w:widowControl w:val="0"/>
        <w:autoSpaceDE w:val="0"/>
        <w:autoSpaceDN w:val="0"/>
        <w:adjustRightInd w:val="0"/>
        <w:rPr>
          <w:rFonts w:cs="Arial"/>
          <w:shd w:val="clear" w:color="auto" w:fill="FFFFFF"/>
        </w:rPr>
      </w:pPr>
    </w:p>
    <w:p w14:paraId="4C2B13C6" w14:textId="77777777" w:rsidR="002F1045" w:rsidRPr="006E6390" w:rsidRDefault="002F1045" w:rsidP="00514A16">
      <w:pPr>
        <w:pStyle w:val="Ttulo1"/>
      </w:pPr>
      <w:bookmarkStart w:id="320" w:name="_Toc38630843"/>
      <w:r w:rsidRPr="006E6390">
        <w:t>6. Directores, personal gerencial, y empleados de RECOPE</w:t>
      </w:r>
      <w:bookmarkEnd w:id="320"/>
    </w:p>
    <w:p w14:paraId="2BA28319" w14:textId="77777777" w:rsidR="002F1045" w:rsidRPr="006E6390" w:rsidRDefault="002F1045" w:rsidP="002F1045">
      <w:pPr>
        <w:pStyle w:val="Ttulo2"/>
        <w:rPr>
          <w:rFonts w:cs="Arial"/>
        </w:rPr>
      </w:pPr>
      <w:bookmarkStart w:id="321" w:name="_Toc38630844"/>
      <w:r w:rsidRPr="006E6390">
        <w:rPr>
          <w:rFonts w:cs="Arial"/>
        </w:rPr>
        <w:t>6.1. Directores de RECOPE</w:t>
      </w:r>
      <w:bookmarkEnd w:id="321"/>
    </w:p>
    <w:p w14:paraId="148C2CB4" w14:textId="77777777" w:rsidR="002F1045" w:rsidRPr="006E6390" w:rsidRDefault="002F1045" w:rsidP="002F1045">
      <w:pPr>
        <w:pStyle w:val="Ttulo3"/>
        <w:rPr>
          <w:rFonts w:cs="Arial"/>
        </w:rPr>
      </w:pPr>
      <w:bookmarkStart w:id="322" w:name="_Toc38630845"/>
      <w:r w:rsidRPr="006E6390">
        <w:rPr>
          <w:rFonts w:cs="Arial"/>
        </w:rPr>
        <w:t>6.1.1. Miembros de la Junta Directiva</w:t>
      </w:r>
      <w:bookmarkEnd w:id="322"/>
    </w:p>
    <w:p w14:paraId="609BA7F7" w14:textId="77777777" w:rsidR="002F1045" w:rsidRPr="006E6390" w:rsidRDefault="002F1045" w:rsidP="002F1045">
      <w:pPr>
        <w:rPr>
          <w:rFonts w:cs="Arial"/>
          <w:lang w:eastAsia="es-MX"/>
        </w:rPr>
      </w:pPr>
      <w:r w:rsidRPr="006E6390">
        <w:rPr>
          <w:rFonts w:cs="Arial"/>
          <w:lang w:eastAsia="es-MX"/>
        </w:rPr>
        <w:t>El Consejo Directivo de RECOPE está constituido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6"/>
        <w:gridCol w:w="1757"/>
      </w:tblGrid>
      <w:tr w:rsidR="002F1045" w:rsidRPr="006E6390" w14:paraId="448B3581" w14:textId="77777777" w:rsidTr="00CC29C4">
        <w:trPr>
          <w:trHeight w:val="397"/>
          <w:jc w:val="center"/>
        </w:trPr>
        <w:tc>
          <w:tcPr>
            <w:tcW w:w="60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879FDF" w14:textId="77777777" w:rsidR="002F1045" w:rsidRPr="006E6390" w:rsidRDefault="002F1045" w:rsidP="0015318E">
            <w:pPr>
              <w:pStyle w:val="Tablas"/>
              <w:tabs>
                <w:tab w:val="left" w:pos="9270"/>
              </w:tabs>
              <w:rPr>
                <w:rFonts w:cs="Arial"/>
                <w:b/>
              </w:rPr>
            </w:pPr>
            <w:r w:rsidRPr="006E6390">
              <w:rPr>
                <w:rFonts w:cs="Arial"/>
                <w:b/>
              </w:rPr>
              <w:t>Miembros del Consejo Directivo</w:t>
            </w:r>
          </w:p>
        </w:tc>
        <w:tc>
          <w:tcPr>
            <w:tcW w:w="17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0D127E" w14:textId="77777777" w:rsidR="002F1045" w:rsidRPr="006E6390" w:rsidRDefault="002F1045" w:rsidP="0015318E">
            <w:pPr>
              <w:pStyle w:val="Tablas"/>
              <w:tabs>
                <w:tab w:val="left" w:pos="9270"/>
              </w:tabs>
              <w:rPr>
                <w:rFonts w:cs="Arial"/>
                <w:b/>
              </w:rPr>
            </w:pPr>
            <w:r w:rsidRPr="006E6390">
              <w:rPr>
                <w:rFonts w:cs="Arial"/>
                <w:b/>
              </w:rPr>
              <w:t>Cargo</w:t>
            </w:r>
          </w:p>
        </w:tc>
      </w:tr>
      <w:tr w:rsidR="002F1045" w:rsidRPr="006E6390" w14:paraId="7297E412" w14:textId="77777777" w:rsidTr="00CC29C4">
        <w:trPr>
          <w:trHeight w:val="397"/>
          <w:jc w:val="center"/>
        </w:trPr>
        <w:tc>
          <w:tcPr>
            <w:tcW w:w="6066" w:type="dxa"/>
            <w:tcBorders>
              <w:top w:val="single" w:sz="4" w:space="0" w:color="A6A6A6" w:themeColor="background1" w:themeShade="A6"/>
              <w:left w:val="single" w:sz="4" w:space="0" w:color="A6A6A6" w:themeColor="background1" w:themeShade="A6"/>
              <w:bottom w:val="dotted" w:sz="4" w:space="0" w:color="auto"/>
              <w:right w:val="single" w:sz="4" w:space="0" w:color="A6A6A6" w:themeColor="background1" w:themeShade="A6"/>
            </w:tcBorders>
            <w:vAlign w:val="center"/>
          </w:tcPr>
          <w:p w14:paraId="2B906583" w14:textId="77777777" w:rsidR="002F1045" w:rsidRPr="006E6390" w:rsidRDefault="0026595E" w:rsidP="0015318E">
            <w:pPr>
              <w:pStyle w:val="Tablas"/>
              <w:tabs>
                <w:tab w:val="left" w:pos="9270"/>
              </w:tabs>
              <w:rPr>
                <w:rFonts w:cs="Arial"/>
              </w:rPr>
            </w:pPr>
            <w:r>
              <w:rPr>
                <w:rFonts w:cs="Arial"/>
              </w:rPr>
              <w:t>M</w:t>
            </w:r>
            <w:r w:rsidR="00B15C00">
              <w:rPr>
                <w:rFonts w:cs="Arial"/>
              </w:rPr>
              <w:t>áster</w:t>
            </w:r>
            <w:r w:rsidR="00002099">
              <w:rPr>
                <w:rFonts w:cs="Arial"/>
              </w:rPr>
              <w:t xml:space="preserve"> Juan Manuel Quesada Espinoza</w:t>
            </w:r>
          </w:p>
        </w:tc>
        <w:tc>
          <w:tcPr>
            <w:tcW w:w="1757" w:type="dxa"/>
            <w:tcBorders>
              <w:top w:val="single" w:sz="4" w:space="0" w:color="A6A6A6" w:themeColor="background1" w:themeShade="A6"/>
              <w:left w:val="single" w:sz="4" w:space="0" w:color="A6A6A6" w:themeColor="background1" w:themeShade="A6"/>
              <w:bottom w:val="dotted" w:sz="4" w:space="0" w:color="auto"/>
              <w:right w:val="single" w:sz="4" w:space="0" w:color="A6A6A6" w:themeColor="background1" w:themeShade="A6"/>
            </w:tcBorders>
            <w:vAlign w:val="center"/>
          </w:tcPr>
          <w:p w14:paraId="5D932FA6" w14:textId="77777777" w:rsidR="002F1045" w:rsidRPr="006E6390" w:rsidRDefault="002F1045" w:rsidP="0015318E">
            <w:pPr>
              <w:pStyle w:val="Tablas"/>
              <w:tabs>
                <w:tab w:val="left" w:pos="9270"/>
              </w:tabs>
              <w:rPr>
                <w:rFonts w:cs="Arial"/>
              </w:rPr>
            </w:pPr>
            <w:r w:rsidRPr="006E6390">
              <w:rPr>
                <w:rFonts w:cs="Arial"/>
              </w:rPr>
              <w:t>Presidente</w:t>
            </w:r>
          </w:p>
        </w:tc>
      </w:tr>
      <w:tr w:rsidR="002F1045" w:rsidRPr="006E6390" w14:paraId="6E20035E"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8156E8A" w14:textId="77777777" w:rsidR="002F1045" w:rsidRPr="006E6390" w:rsidRDefault="0079576B" w:rsidP="0015318E">
            <w:pPr>
              <w:pStyle w:val="Tablas"/>
              <w:tabs>
                <w:tab w:val="left" w:pos="9270"/>
              </w:tabs>
              <w:rPr>
                <w:rFonts w:cs="Arial"/>
              </w:rPr>
            </w:pPr>
            <w:r>
              <w:rPr>
                <w:rFonts w:cs="Arial"/>
              </w:rPr>
              <w:t xml:space="preserve">Ing. </w:t>
            </w:r>
            <w:r w:rsidR="00FF2011">
              <w:rPr>
                <w:rFonts w:cs="Arial"/>
              </w:rPr>
              <w:t>Rolando Guido Sáenz</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793E8277" w14:textId="77777777" w:rsidR="002F1045" w:rsidRPr="006E6390" w:rsidRDefault="002F1045" w:rsidP="0015318E">
            <w:pPr>
              <w:pStyle w:val="Tablas"/>
              <w:tabs>
                <w:tab w:val="left" w:pos="9270"/>
              </w:tabs>
              <w:rPr>
                <w:rFonts w:cs="Arial"/>
              </w:rPr>
            </w:pPr>
            <w:r w:rsidRPr="006E6390">
              <w:rPr>
                <w:rFonts w:cs="Arial"/>
              </w:rPr>
              <w:t>Vicepresidente</w:t>
            </w:r>
          </w:p>
        </w:tc>
      </w:tr>
      <w:tr w:rsidR="002F1045" w:rsidRPr="006E6390" w14:paraId="3EEA83C6"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5D2E1BF7" w14:textId="77777777" w:rsidR="002F1045" w:rsidRPr="006E6390" w:rsidRDefault="00B15C00" w:rsidP="0015318E">
            <w:pPr>
              <w:pStyle w:val="Tablas"/>
              <w:tabs>
                <w:tab w:val="left" w:pos="9270"/>
              </w:tabs>
              <w:rPr>
                <w:rFonts w:cs="Arial"/>
              </w:rPr>
            </w:pPr>
            <w:r>
              <w:rPr>
                <w:rFonts w:cs="Arial"/>
              </w:rPr>
              <w:t xml:space="preserve">Ing. </w:t>
            </w:r>
            <w:r w:rsidR="00687DAE">
              <w:rPr>
                <w:rFonts w:cs="Arial"/>
              </w:rPr>
              <w:t>Sandra Eugenia Gallegos Ayala</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CF3C572" w14:textId="77777777" w:rsidR="002F1045" w:rsidRPr="006E6390" w:rsidRDefault="00687DAE" w:rsidP="0015318E">
            <w:pPr>
              <w:pStyle w:val="Tablas"/>
              <w:tabs>
                <w:tab w:val="left" w:pos="9270"/>
              </w:tabs>
              <w:rPr>
                <w:rFonts w:cs="Arial"/>
              </w:rPr>
            </w:pPr>
            <w:r w:rsidRPr="006E6390">
              <w:rPr>
                <w:rFonts w:cs="Arial"/>
              </w:rPr>
              <w:t>Secretari</w:t>
            </w:r>
            <w:r>
              <w:rPr>
                <w:rFonts w:cs="Arial"/>
              </w:rPr>
              <w:t>a</w:t>
            </w:r>
          </w:p>
        </w:tc>
      </w:tr>
      <w:tr w:rsidR="002F1045" w:rsidRPr="006E6390" w14:paraId="218A3E67"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5CE2935" w14:textId="77777777" w:rsidR="002F1045" w:rsidRPr="006E6390" w:rsidRDefault="00B55452" w:rsidP="0015318E">
            <w:pPr>
              <w:pStyle w:val="Tablas"/>
              <w:tabs>
                <w:tab w:val="left" w:pos="9270"/>
              </w:tabs>
              <w:rPr>
                <w:rFonts w:cs="Arial"/>
              </w:rPr>
            </w:pPr>
            <w:r>
              <w:rPr>
                <w:rFonts w:cs="Arial"/>
              </w:rPr>
              <w:t xml:space="preserve">Máster </w:t>
            </w:r>
            <w:r w:rsidR="000E4210">
              <w:rPr>
                <w:rFonts w:cs="Arial"/>
              </w:rPr>
              <w:t>José Alberto Carpio Solano</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110FADC6" w14:textId="77777777" w:rsidR="002F1045" w:rsidRPr="006E6390" w:rsidRDefault="00687DAE" w:rsidP="0015318E">
            <w:pPr>
              <w:pStyle w:val="Tablas"/>
              <w:tabs>
                <w:tab w:val="left" w:pos="9270"/>
              </w:tabs>
              <w:rPr>
                <w:rFonts w:cs="Arial"/>
              </w:rPr>
            </w:pPr>
            <w:r w:rsidRPr="006E6390">
              <w:rPr>
                <w:rFonts w:cs="Arial"/>
              </w:rPr>
              <w:t>Tesorer</w:t>
            </w:r>
            <w:r w:rsidR="000E4210">
              <w:rPr>
                <w:rFonts w:cs="Arial"/>
              </w:rPr>
              <w:t>o</w:t>
            </w:r>
          </w:p>
        </w:tc>
      </w:tr>
      <w:tr w:rsidR="002F1045" w:rsidRPr="006E6390" w14:paraId="5F82A5DA"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F88B51B" w14:textId="77777777" w:rsidR="002F1045" w:rsidRPr="006E6390" w:rsidRDefault="00B55452" w:rsidP="0015318E">
            <w:pPr>
              <w:pStyle w:val="Tablas"/>
              <w:tabs>
                <w:tab w:val="left" w:pos="9270"/>
              </w:tabs>
              <w:rPr>
                <w:rFonts w:cs="Arial"/>
              </w:rPr>
            </w:pPr>
            <w:r>
              <w:rPr>
                <w:rFonts w:cs="Arial"/>
              </w:rPr>
              <w:t xml:space="preserve">MBA </w:t>
            </w:r>
            <w:r w:rsidR="000E4210">
              <w:rPr>
                <w:rFonts w:cs="Arial"/>
              </w:rPr>
              <w:t>Liseth Hernández Cordero</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A98B5C8" w14:textId="77777777" w:rsidR="002F1045" w:rsidRPr="006E6390" w:rsidRDefault="002F1045" w:rsidP="0015318E">
            <w:pPr>
              <w:pStyle w:val="Tablas"/>
              <w:tabs>
                <w:tab w:val="left" w:pos="9270"/>
              </w:tabs>
              <w:rPr>
                <w:rFonts w:cs="Arial"/>
              </w:rPr>
            </w:pPr>
            <w:r w:rsidRPr="006E6390">
              <w:rPr>
                <w:rFonts w:cs="Arial"/>
              </w:rPr>
              <w:t>Vocal 1</w:t>
            </w:r>
          </w:p>
        </w:tc>
      </w:tr>
      <w:tr w:rsidR="002F1045" w:rsidRPr="006E6390" w14:paraId="64AB16C2" w14:textId="77777777" w:rsidTr="00CC29C4">
        <w:trPr>
          <w:trHeight w:val="397"/>
          <w:jc w:val="center"/>
        </w:trPr>
        <w:tc>
          <w:tcPr>
            <w:tcW w:w="6066"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32218120" w14:textId="77777777" w:rsidR="002F1045" w:rsidRPr="006E6390" w:rsidRDefault="00B55452" w:rsidP="0015318E">
            <w:pPr>
              <w:pStyle w:val="Tablas"/>
              <w:tabs>
                <w:tab w:val="left" w:pos="9270"/>
              </w:tabs>
              <w:rPr>
                <w:rFonts w:cs="Arial"/>
              </w:rPr>
            </w:pPr>
            <w:r>
              <w:rPr>
                <w:rFonts w:cs="Arial"/>
              </w:rPr>
              <w:t xml:space="preserve">Ing. </w:t>
            </w:r>
            <w:r w:rsidR="00852128">
              <w:rPr>
                <w:rFonts w:cs="Arial"/>
              </w:rPr>
              <w:t>Mihaela Dobrinescu Dobrinescu</w:t>
            </w:r>
          </w:p>
        </w:tc>
        <w:tc>
          <w:tcPr>
            <w:tcW w:w="1757" w:type="dxa"/>
            <w:tcBorders>
              <w:top w:val="dotted" w:sz="4" w:space="0" w:color="auto"/>
              <w:left w:val="single" w:sz="4" w:space="0" w:color="A6A6A6" w:themeColor="background1" w:themeShade="A6"/>
              <w:bottom w:val="dotted" w:sz="4" w:space="0" w:color="auto"/>
              <w:right w:val="single" w:sz="4" w:space="0" w:color="A6A6A6" w:themeColor="background1" w:themeShade="A6"/>
            </w:tcBorders>
            <w:vAlign w:val="center"/>
          </w:tcPr>
          <w:p w14:paraId="4A6375CD" w14:textId="77777777" w:rsidR="002F1045" w:rsidRPr="006E6390" w:rsidRDefault="002F1045" w:rsidP="0015318E">
            <w:pPr>
              <w:pStyle w:val="Tablas"/>
              <w:tabs>
                <w:tab w:val="left" w:pos="9270"/>
              </w:tabs>
              <w:rPr>
                <w:rFonts w:cs="Arial"/>
              </w:rPr>
            </w:pPr>
            <w:r w:rsidRPr="006E6390">
              <w:rPr>
                <w:rFonts w:cs="Arial"/>
              </w:rPr>
              <w:t>Vocal 2</w:t>
            </w:r>
          </w:p>
        </w:tc>
      </w:tr>
      <w:tr w:rsidR="002F1045" w:rsidRPr="006E6390" w14:paraId="3741857E" w14:textId="77777777" w:rsidTr="00CC29C4">
        <w:trPr>
          <w:trHeight w:val="397"/>
          <w:jc w:val="center"/>
        </w:trPr>
        <w:tc>
          <w:tcPr>
            <w:tcW w:w="6066" w:type="dxa"/>
            <w:tcBorders>
              <w:top w:val="dotted"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94EFCA" w14:textId="77777777" w:rsidR="002F1045" w:rsidRPr="006E6390" w:rsidRDefault="00B55452" w:rsidP="0015318E">
            <w:pPr>
              <w:pStyle w:val="Tablas"/>
              <w:tabs>
                <w:tab w:val="left" w:pos="9270"/>
              </w:tabs>
              <w:rPr>
                <w:rFonts w:cs="Arial"/>
              </w:rPr>
            </w:pPr>
            <w:r>
              <w:rPr>
                <w:rFonts w:cs="Arial"/>
              </w:rPr>
              <w:t>Máster</w:t>
            </w:r>
            <w:r w:rsidR="002F1045" w:rsidRPr="006E6390">
              <w:rPr>
                <w:rFonts w:cs="Arial"/>
              </w:rPr>
              <w:t xml:space="preserve"> </w:t>
            </w:r>
            <w:r w:rsidR="0026595E">
              <w:rPr>
                <w:rFonts w:cs="Arial"/>
              </w:rPr>
              <w:t xml:space="preserve">Gerardo Araya </w:t>
            </w:r>
            <w:r w:rsidR="00852128">
              <w:rPr>
                <w:rFonts w:cs="Arial"/>
              </w:rPr>
              <w:t>Naranjo</w:t>
            </w:r>
          </w:p>
        </w:tc>
        <w:tc>
          <w:tcPr>
            <w:tcW w:w="1757" w:type="dxa"/>
            <w:tcBorders>
              <w:top w:val="dotted"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BFCDA7" w14:textId="77777777" w:rsidR="002F1045" w:rsidRPr="006E6390" w:rsidRDefault="002F1045" w:rsidP="0015318E">
            <w:pPr>
              <w:pStyle w:val="Tablas"/>
              <w:tabs>
                <w:tab w:val="left" w:pos="9270"/>
              </w:tabs>
              <w:rPr>
                <w:rFonts w:cs="Arial"/>
              </w:rPr>
            </w:pPr>
            <w:r w:rsidRPr="006E6390">
              <w:rPr>
                <w:rFonts w:cs="Arial"/>
              </w:rPr>
              <w:t>Vocal 3</w:t>
            </w:r>
          </w:p>
        </w:tc>
      </w:tr>
    </w:tbl>
    <w:p w14:paraId="67AAF622" w14:textId="77777777" w:rsidR="002F1045" w:rsidRPr="006E6390" w:rsidRDefault="002F1045" w:rsidP="002F1045">
      <w:pPr>
        <w:rPr>
          <w:rFonts w:cs="Arial"/>
        </w:rPr>
      </w:pPr>
    </w:p>
    <w:p w14:paraId="24B15B82" w14:textId="77777777" w:rsidR="002F1045" w:rsidRPr="006E6390" w:rsidRDefault="002F1045" w:rsidP="002F1045">
      <w:pPr>
        <w:rPr>
          <w:rFonts w:cs="Arial"/>
        </w:rPr>
      </w:pPr>
      <w:r w:rsidRPr="001758DC">
        <w:rPr>
          <w:rFonts w:cs="Arial"/>
          <w:b/>
          <w:bCs/>
        </w:rPr>
        <w:t>Presidente:</w:t>
      </w:r>
      <w:r w:rsidRPr="006E6390">
        <w:rPr>
          <w:rFonts w:cs="Arial"/>
        </w:rPr>
        <w:t xml:space="preserve"> </w:t>
      </w:r>
      <w:r w:rsidR="0026595E">
        <w:rPr>
          <w:rFonts w:cs="Arial"/>
        </w:rPr>
        <w:t>M</w:t>
      </w:r>
      <w:r w:rsidR="00F549A9">
        <w:rPr>
          <w:rFonts w:cs="Arial"/>
        </w:rPr>
        <w:t>áster</w:t>
      </w:r>
      <w:r w:rsidRPr="006E6390">
        <w:rPr>
          <w:rFonts w:cs="Arial"/>
        </w:rPr>
        <w:t xml:space="preserve"> </w:t>
      </w:r>
      <w:r w:rsidR="0026595E">
        <w:rPr>
          <w:rFonts w:cs="Arial"/>
        </w:rPr>
        <w:t>Juan Manuel Quesada Espinoza</w:t>
      </w:r>
    </w:p>
    <w:tbl>
      <w:tblPr>
        <w:tblW w:w="890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063"/>
        <w:gridCol w:w="5839"/>
      </w:tblGrid>
      <w:tr w:rsidR="002F1045" w:rsidRPr="006E6390" w14:paraId="6AB0632C" w14:textId="77777777" w:rsidTr="00B7174F">
        <w:tc>
          <w:tcPr>
            <w:tcW w:w="3063" w:type="dxa"/>
            <w:vAlign w:val="center"/>
          </w:tcPr>
          <w:p w14:paraId="431045F2" w14:textId="77777777" w:rsidR="002F1045" w:rsidRPr="006E6390" w:rsidRDefault="002F1045" w:rsidP="0015318E">
            <w:pPr>
              <w:spacing w:after="120"/>
              <w:contextualSpacing/>
              <w:rPr>
                <w:rFonts w:cs="Arial"/>
              </w:rPr>
            </w:pPr>
            <w:r w:rsidRPr="006E6390">
              <w:rPr>
                <w:rFonts w:cs="Arial"/>
              </w:rPr>
              <w:t>Nacionalidad</w:t>
            </w:r>
          </w:p>
        </w:tc>
        <w:tc>
          <w:tcPr>
            <w:tcW w:w="5839" w:type="dxa"/>
            <w:vAlign w:val="center"/>
          </w:tcPr>
          <w:p w14:paraId="625825D6" w14:textId="77777777" w:rsidR="002F1045" w:rsidRPr="006E6390" w:rsidRDefault="002F1045" w:rsidP="0015318E">
            <w:pPr>
              <w:spacing w:after="120"/>
              <w:contextualSpacing/>
              <w:rPr>
                <w:rFonts w:cs="Arial"/>
              </w:rPr>
            </w:pPr>
            <w:r w:rsidRPr="006E6390">
              <w:rPr>
                <w:rFonts w:cs="Arial"/>
              </w:rPr>
              <w:t>Costarricense</w:t>
            </w:r>
          </w:p>
        </w:tc>
      </w:tr>
      <w:tr w:rsidR="002F1045" w:rsidRPr="006E6390" w14:paraId="20FE045B" w14:textId="77777777" w:rsidTr="00B7174F">
        <w:trPr>
          <w:trHeight w:val="340"/>
        </w:trPr>
        <w:tc>
          <w:tcPr>
            <w:tcW w:w="3063" w:type="dxa"/>
            <w:vAlign w:val="center"/>
          </w:tcPr>
          <w:p w14:paraId="0BD9866C" w14:textId="77777777" w:rsidR="002F1045" w:rsidRPr="006E6390" w:rsidRDefault="002F1045" w:rsidP="0015318E">
            <w:pPr>
              <w:spacing w:after="120"/>
              <w:contextualSpacing/>
              <w:rPr>
                <w:rFonts w:cs="Arial"/>
              </w:rPr>
            </w:pPr>
            <w:r w:rsidRPr="006E6390">
              <w:rPr>
                <w:rFonts w:cs="Arial"/>
              </w:rPr>
              <w:t>Año de Nacimiento</w:t>
            </w:r>
          </w:p>
        </w:tc>
        <w:tc>
          <w:tcPr>
            <w:tcW w:w="5839" w:type="dxa"/>
            <w:vAlign w:val="center"/>
          </w:tcPr>
          <w:p w14:paraId="3306A53E" w14:textId="77777777" w:rsidR="002F1045" w:rsidRPr="006E6390" w:rsidRDefault="005266C3" w:rsidP="0015318E">
            <w:pPr>
              <w:spacing w:after="120"/>
              <w:contextualSpacing/>
              <w:rPr>
                <w:rFonts w:cs="Arial"/>
              </w:rPr>
            </w:pPr>
            <w:r w:rsidRPr="006E6390">
              <w:rPr>
                <w:rFonts w:cs="Arial"/>
              </w:rPr>
              <w:t>19</w:t>
            </w:r>
            <w:r>
              <w:rPr>
                <w:rFonts w:cs="Arial"/>
              </w:rPr>
              <w:t>7</w:t>
            </w:r>
            <w:r w:rsidRPr="006E6390">
              <w:rPr>
                <w:rFonts w:cs="Arial"/>
              </w:rPr>
              <w:t>8</w:t>
            </w:r>
          </w:p>
        </w:tc>
      </w:tr>
      <w:tr w:rsidR="002F1045" w:rsidRPr="006E6390" w14:paraId="06D03064" w14:textId="77777777" w:rsidTr="00B7174F">
        <w:trPr>
          <w:trHeight w:val="340"/>
        </w:trPr>
        <w:tc>
          <w:tcPr>
            <w:tcW w:w="3063" w:type="dxa"/>
            <w:vAlign w:val="center"/>
          </w:tcPr>
          <w:p w14:paraId="4BF9DFD0" w14:textId="77777777" w:rsidR="002F1045" w:rsidRPr="006E6390" w:rsidRDefault="002F1045" w:rsidP="0015318E">
            <w:pPr>
              <w:spacing w:after="120"/>
              <w:contextualSpacing/>
              <w:rPr>
                <w:rFonts w:cs="Arial"/>
              </w:rPr>
            </w:pPr>
            <w:r w:rsidRPr="006E6390">
              <w:rPr>
                <w:rFonts w:cs="Arial"/>
              </w:rPr>
              <w:t>Poderes que ostenta</w:t>
            </w:r>
          </w:p>
        </w:tc>
        <w:tc>
          <w:tcPr>
            <w:tcW w:w="5839" w:type="dxa"/>
            <w:vAlign w:val="center"/>
          </w:tcPr>
          <w:p w14:paraId="4C0C16B6" w14:textId="77777777" w:rsidR="002F1045" w:rsidRPr="006E6390" w:rsidRDefault="00E9578F" w:rsidP="0015318E">
            <w:pPr>
              <w:spacing w:after="120"/>
              <w:contextualSpacing/>
              <w:rPr>
                <w:rFonts w:cs="Arial"/>
              </w:rPr>
            </w:pPr>
            <w:r w:rsidRPr="006E6390">
              <w:rPr>
                <w:rFonts w:cs="Arial"/>
              </w:rPr>
              <w:t>Poder Generalísimo sin límite de suma</w:t>
            </w:r>
          </w:p>
        </w:tc>
      </w:tr>
      <w:tr w:rsidR="002F1045" w:rsidRPr="006E6390" w14:paraId="67E94B57" w14:textId="77777777" w:rsidTr="00B7174F">
        <w:trPr>
          <w:trHeight w:val="340"/>
        </w:trPr>
        <w:tc>
          <w:tcPr>
            <w:tcW w:w="3063" w:type="dxa"/>
            <w:vAlign w:val="center"/>
          </w:tcPr>
          <w:p w14:paraId="7BDD31DC" w14:textId="77777777" w:rsidR="002F1045" w:rsidRPr="006E6390" w:rsidRDefault="002F1045" w:rsidP="0015318E">
            <w:pPr>
              <w:spacing w:after="120"/>
              <w:contextualSpacing/>
              <w:rPr>
                <w:rFonts w:cs="Arial"/>
              </w:rPr>
            </w:pPr>
            <w:r w:rsidRPr="006E6390">
              <w:rPr>
                <w:rFonts w:cs="Arial"/>
              </w:rPr>
              <w:t>Fecha de nombramiento</w:t>
            </w:r>
          </w:p>
        </w:tc>
        <w:tc>
          <w:tcPr>
            <w:tcW w:w="5839" w:type="dxa"/>
            <w:vAlign w:val="center"/>
          </w:tcPr>
          <w:p w14:paraId="6FCEB456" w14:textId="77777777" w:rsidR="002F1045" w:rsidRPr="006E6390" w:rsidRDefault="002F1045" w:rsidP="0015318E">
            <w:pPr>
              <w:spacing w:after="120"/>
              <w:contextualSpacing/>
              <w:rPr>
                <w:rFonts w:cs="Arial"/>
              </w:rPr>
            </w:pPr>
            <w:r w:rsidRPr="006E6390">
              <w:rPr>
                <w:rFonts w:cs="Arial"/>
              </w:rPr>
              <w:t xml:space="preserve">8 de mayo de </w:t>
            </w:r>
            <w:r w:rsidR="0026595E" w:rsidRPr="006E6390">
              <w:rPr>
                <w:rFonts w:cs="Arial"/>
              </w:rPr>
              <w:t>20</w:t>
            </w:r>
            <w:r w:rsidR="0026595E">
              <w:rPr>
                <w:rFonts w:cs="Arial"/>
              </w:rPr>
              <w:t>22</w:t>
            </w:r>
          </w:p>
        </w:tc>
      </w:tr>
      <w:tr w:rsidR="002F1045" w:rsidRPr="006E6390" w14:paraId="72496569" w14:textId="77777777" w:rsidTr="00B7174F">
        <w:tc>
          <w:tcPr>
            <w:tcW w:w="3063" w:type="dxa"/>
            <w:vAlign w:val="center"/>
          </w:tcPr>
          <w:p w14:paraId="7BFC2B6F" w14:textId="77777777" w:rsidR="002F1045" w:rsidRPr="006E6390" w:rsidRDefault="002F1045" w:rsidP="0015318E">
            <w:pPr>
              <w:spacing w:after="120"/>
              <w:contextualSpacing/>
              <w:rPr>
                <w:rFonts w:cs="Arial"/>
              </w:rPr>
            </w:pPr>
            <w:r w:rsidRPr="006E6390">
              <w:rPr>
                <w:rFonts w:cs="Arial"/>
              </w:rPr>
              <w:t>Fecha de vencimiento del nombramiento</w:t>
            </w:r>
          </w:p>
        </w:tc>
        <w:tc>
          <w:tcPr>
            <w:tcW w:w="5839" w:type="dxa"/>
            <w:vAlign w:val="center"/>
          </w:tcPr>
          <w:p w14:paraId="141B3192" w14:textId="77777777" w:rsidR="002F1045" w:rsidRPr="006E6390" w:rsidRDefault="002F1045" w:rsidP="0015318E">
            <w:pPr>
              <w:spacing w:after="120"/>
              <w:contextualSpacing/>
              <w:rPr>
                <w:rFonts w:cs="Arial"/>
              </w:rPr>
            </w:pPr>
            <w:r w:rsidRPr="006E6390">
              <w:rPr>
                <w:rFonts w:cs="Arial"/>
              </w:rPr>
              <w:t xml:space="preserve">8 de mayo de </w:t>
            </w:r>
            <w:r w:rsidR="0026595E" w:rsidRPr="006E6390">
              <w:rPr>
                <w:rFonts w:cs="Arial"/>
              </w:rPr>
              <w:t>202</w:t>
            </w:r>
            <w:r w:rsidR="0026595E">
              <w:rPr>
                <w:rFonts w:cs="Arial"/>
              </w:rPr>
              <w:t>6</w:t>
            </w:r>
          </w:p>
        </w:tc>
      </w:tr>
      <w:tr w:rsidR="002F1045" w:rsidRPr="006E6390" w14:paraId="211D4D77" w14:textId="77777777" w:rsidTr="00B7174F">
        <w:tc>
          <w:tcPr>
            <w:tcW w:w="3063" w:type="dxa"/>
            <w:vAlign w:val="center"/>
          </w:tcPr>
          <w:p w14:paraId="04C44FE7"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vAlign w:val="center"/>
          </w:tcPr>
          <w:p w14:paraId="7A3A13FA" w14:textId="77777777" w:rsidR="002F1045" w:rsidRPr="006E6390" w:rsidRDefault="002F1045" w:rsidP="0015318E">
            <w:pPr>
              <w:spacing w:after="120"/>
              <w:rPr>
                <w:rFonts w:cs="Arial"/>
              </w:rPr>
            </w:pPr>
            <w:r w:rsidRPr="006E6390">
              <w:rPr>
                <w:rFonts w:cs="Arial"/>
              </w:rPr>
              <w:t>No</w:t>
            </w:r>
          </w:p>
        </w:tc>
      </w:tr>
      <w:tr w:rsidR="00546114" w:rsidRPr="00546114" w14:paraId="29F31849" w14:textId="77777777" w:rsidTr="00B7174F">
        <w:tc>
          <w:tcPr>
            <w:tcW w:w="3063" w:type="dxa"/>
            <w:vAlign w:val="center"/>
          </w:tcPr>
          <w:p w14:paraId="7C319A94" w14:textId="77777777" w:rsidR="002F1045" w:rsidRPr="006E6390" w:rsidRDefault="002F1045" w:rsidP="0015318E">
            <w:pPr>
              <w:spacing w:after="120"/>
              <w:rPr>
                <w:rFonts w:cs="Arial"/>
              </w:rPr>
            </w:pPr>
            <w:r w:rsidRPr="006E6390">
              <w:rPr>
                <w:rFonts w:cs="Arial"/>
              </w:rPr>
              <w:t>Currículum</w:t>
            </w:r>
          </w:p>
        </w:tc>
        <w:tc>
          <w:tcPr>
            <w:tcW w:w="5839" w:type="dxa"/>
            <w:vAlign w:val="center"/>
          </w:tcPr>
          <w:p w14:paraId="1604237E" w14:textId="77777777" w:rsidR="002F1045" w:rsidRPr="00546114" w:rsidRDefault="005266C3" w:rsidP="0047461A">
            <w:pPr>
              <w:spacing w:after="120" w:line="240" w:lineRule="auto"/>
              <w:rPr>
                <w:rFonts w:cs="Arial"/>
              </w:rPr>
            </w:pPr>
            <w:r w:rsidRPr="00546114">
              <w:rPr>
                <w:rFonts w:cs="Arial"/>
              </w:rPr>
              <w:t>Licenciado en Derecho, Universidad de San José (2000)</w:t>
            </w:r>
          </w:p>
          <w:p w14:paraId="37D258D7" w14:textId="77777777" w:rsidR="005266C3" w:rsidRPr="00546114" w:rsidRDefault="00633758" w:rsidP="0047461A">
            <w:pPr>
              <w:spacing w:after="120" w:line="240" w:lineRule="auto"/>
              <w:rPr>
                <w:rFonts w:cs="Arial"/>
              </w:rPr>
            </w:pPr>
            <w:r w:rsidRPr="00546114">
              <w:rPr>
                <w:rFonts w:cs="Arial"/>
              </w:rPr>
              <w:t>Máster en Administración de Negocios con énfasis en Dirección Empresarial, Universidad Latina de Costa Rica (2003)</w:t>
            </w:r>
          </w:p>
          <w:p w14:paraId="1BA6EF33" w14:textId="77777777" w:rsidR="00633758" w:rsidRPr="00546114" w:rsidRDefault="00633758" w:rsidP="0047461A">
            <w:pPr>
              <w:spacing w:after="120" w:line="240" w:lineRule="auto"/>
              <w:rPr>
                <w:rFonts w:cs="Arial"/>
              </w:rPr>
            </w:pPr>
            <w:r w:rsidRPr="00546114">
              <w:rPr>
                <w:rFonts w:cs="Arial"/>
              </w:rPr>
              <w:t>Máster en Economía con énfasis en Economía de la Regulación, Universidad de Costa Rica (2005)</w:t>
            </w:r>
          </w:p>
          <w:p w14:paraId="6E3328C1" w14:textId="77777777" w:rsidR="00633758" w:rsidRPr="00546114" w:rsidRDefault="00633758" w:rsidP="0047461A">
            <w:pPr>
              <w:spacing w:after="120" w:line="240" w:lineRule="auto"/>
              <w:rPr>
                <w:rFonts w:cs="Arial"/>
              </w:rPr>
            </w:pPr>
            <w:r w:rsidRPr="00546114">
              <w:rPr>
                <w:rFonts w:cs="Arial"/>
              </w:rPr>
              <w:t>Especialidad en regulación y administración de las telecomunicaciones, Universidad de Costa Rica (2006)</w:t>
            </w:r>
          </w:p>
          <w:p w14:paraId="3BAF5AEA" w14:textId="77777777" w:rsidR="00633758" w:rsidRPr="00546114" w:rsidRDefault="00633758" w:rsidP="0047461A">
            <w:pPr>
              <w:spacing w:after="120" w:line="240" w:lineRule="auto"/>
              <w:rPr>
                <w:rFonts w:cs="Arial"/>
              </w:rPr>
            </w:pPr>
            <w:r w:rsidRPr="00546114">
              <w:rPr>
                <w:rFonts w:cs="Arial"/>
              </w:rPr>
              <w:lastRenderedPageBreak/>
              <w:t>Especialidad en negociación y liderazgo, Instituto Tecnológico de Costa Rica (2006)</w:t>
            </w:r>
          </w:p>
          <w:p w14:paraId="513FA4F0" w14:textId="77777777" w:rsidR="00D62076" w:rsidRPr="00546114" w:rsidRDefault="00D62076" w:rsidP="0047461A">
            <w:pPr>
              <w:spacing w:after="120" w:line="240" w:lineRule="auto"/>
              <w:rPr>
                <w:rFonts w:cs="Arial"/>
              </w:rPr>
            </w:pPr>
            <w:r w:rsidRPr="00546114">
              <w:rPr>
                <w:rFonts w:cs="Arial"/>
              </w:rPr>
              <w:t>Especialidad en Regulación y Competencia, Universidad de Valladolid, España (2021)</w:t>
            </w:r>
          </w:p>
          <w:p w14:paraId="11A7748A" w14:textId="77777777" w:rsidR="00D62076" w:rsidRPr="00546114" w:rsidRDefault="00D62076" w:rsidP="0047461A">
            <w:pPr>
              <w:spacing w:after="120" w:line="240" w:lineRule="auto"/>
              <w:rPr>
                <w:rFonts w:cs="Arial"/>
              </w:rPr>
            </w:pPr>
            <w:r w:rsidRPr="00546114">
              <w:rPr>
                <w:rFonts w:cs="Arial"/>
              </w:rPr>
              <w:t>Especialidad en Derecho Comunitario Centroamericano, Instituto Centroamericano de Administración Pública – ICAP- y SICA (2021)</w:t>
            </w:r>
          </w:p>
          <w:p w14:paraId="602E9471" w14:textId="77777777" w:rsidR="00D62076" w:rsidRPr="00546114" w:rsidRDefault="00015CB9" w:rsidP="0047461A">
            <w:pPr>
              <w:spacing w:after="120" w:line="240" w:lineRule="auto"/>
              <w:rPr>
                <w:rFonts w:cs="Arial"/>
              </w:rPr>
            </w:pPr>
            <w:r w:rsidRPr="00546114">
              <w:rPr>
                <w:rFonts w:cs="Arial"/>
              </w:rPr>
              <w:t>Comisión Regional de Interconexión Eléctrica, varios cargos entre ellos: Presidente (2015-2016), Vicepresidente (2014-2015), Gerente Jurídico (2016-2022)</w:t>
            </w:r>
          </w:p>
          <w:p w14:paraId="7601A9BC" w14:textId="77777777" w:rsidR="00633758" w:rsidRPr="00546114" w:rsidRDefault="00015CB9" w:rsidP="0047461A">
            <w:pPr>
              <w:spacing w:after="120" w:line="240" w:lineRule="auto"/>
              <w:rPr>
                <w:rFonts w:cs="Arial"/>
              </w:rPr>
            </w:pPr>
            <w:r w:rsidRPr="00546114">
              <w:rPr>
                <w:rFonts w:cs="Arial"/>
              </w:rPr>
              <w:t>Intendente de Energía</w:t>
            </w:r>
            <w:r w:rsidR="00041ECA" w:rsidRPr="00546114">
              <w:rPr>
                <w:rFonts w:cs="Arial"/>
              </w:rPr>
              <w:t>, Autoridad Reguladora de los Servicios Públicos – ARESEP- (noviembre 2012-agosto 2016)</w:t>
            </w:r>
          </w:p>
          <w:p w14:paraId="38D986B6" w14:textId="77777777" w:rsidR="00041ECA" w:rsidRPr="00546114" w:rsidRDefault="00041ECA" w:rsidP="0047461A">
            <w:pPr>
              <w:spacing w:after="120" w:line="240" w:lineRule="auto"/>
              <w:rPr>
                <w:rFonts w:cs="Arial"/>
              </w:rPr>
            </w:pPr>
            <w:r w:rsidRPr="00546114">
              <w:rPr>
                <w:rFonts w:cs="Arial"/>
              </w:rPr>
              <w:t>Director General de Asesoría Jurídica y Regulatoria, Autoridad Reguladora de los Servicios Públicos – ARESEP- (septiembre 2009-noviembre 2012)</w:t>
            </w:r>
          </w:p>
          <w:p w14:paraId="0C11BFE0" w14:textId="77777777" w:rsidR="00041ECA" w:rsidRPr="00546114" w:rsidRDefault="00041ECA" w:rsidP="0047461A">
            <w:pPr>
              <w:spacing w:after="120" w:line="240" w:lineRule="auto"/>
              <w:rPr>
                <w:rFonts w:cs="Arial"/>
              </w:rPr>
            </w:pPr>
            <w:r w:rsidRPr="00546114">
              <w:rPr>
                <w:rFonts w:cs="Arial"/>
              </w:rPr>
              <w:t>Director de Asesoría Jurídica, ARESEP (septiembre 2005-noviembre 2009)</w:t>
            </w:r>
          </w:p>
          <w:p w14:paraId="1FFA99FE" w14:textId="77777777" w:rsidR="001C75B2" w:rsidRPr="00546114" w:rsidRDefault="00041ECA" w:rsidP="0047461A">
            <w:pPr>
              <w:spacing w:after="120" w:line="240" w:lineRule="auto"/>
              <w:rPr>
                <w:rFonts w:cs="Arial"/>
              </w:rPr>
            </w:pPr>
            <w:r w:rsidRPr="00546114">
              <w:rPr>
                <w:rFonts w:cs="Arial"/>
              </w:rPr>
              <w:t>Consejero del Usuario, ARESEP (mayo 2003-agosto 2005)</w:t>
            </w:r>
          </w:p>
          <w:p w14:paraId="6BF25FCA" w14:textId="77777777" w:rsidR="001C75B2" w:rsidRPr="00546114" w:rsidRDefault="001C75B2" w:rsidP="0047461A">
            <w:pPr>
              <w:spacing w:after="120" w:line="240" w:lineRule="auto"/>
              <w:rPr>
                <w:rFonts w:cs="Arial"/>
              </w:rPr>
            </w:pPr>
            <w:r w:rsidRPr="00546114">
              <w:rPr>
                <w:rFonts w:cs="Arial"/>
              </w:rPr>
              <w:t>Profesional en Derecho, Ministerio de Trabajo y Seguridad Social (2001-2003)</w:t>
            </w:r>
          </w:p>
          <w:p w14:paraId="4C51C344" w14:textId="77777777" w:rsidR="001C75B2" w:rsidRPr="00546114" w:rsidRDefault="001C75B2" w:rsidP="0047461A">
            <w:pPr>
              <w:spacing w:after="120" w:line="240" w:lineRule="auto"/>
              <w:rPr>
                <w:rFonts w:cs="Arial"/>
              </w:rPr>
            </w:pPr>
            <w:r w:rsidRPr="00546114">
              <w:rPr>
                <w:rFonts w:cs="Arial"/>
              </w:rPr>
              <w:t>Auxiliar Judicial, Poder Judicial (1998-2001)</w:t>
            </w:r>
          </w:p>
          <w:p w14:paraId="77BCDD58" w14:textId="77777777" w:rsidR="001C75B2" w:rsidRPr="00546114" w:rsidRDefault="001C75B2" w:rsidP="001758DC">
            <w:pPr>
              <w:spacing w:after="0" w:line="240" w:lineRule="auto"/>
              <w:rPr>
                <w:rFonts w:cs="Arial"/>
              </w:rPr>
            </w:pPr>
            <w:r w:rsidRPr="00546114">
              <w:rPr>
                <w:rFonts w:cs="Arial"/>
              </w:rPr>
              <w:t>Asistente Legal, Bufete Vindas-Carballo/Fernández-Alvarado/Quesada-López, Heredia (1995-1998)</w:t>
            </w:r>
          </w:p>
          <w:p w14:paraId="23846A6A" w14:textId="77777777" w:rsidR="00041ECA" w:rsidRPr="00546114" w:rsidRDefault="00041ECA" w:rsidP="0047461A">
            <w:pPr>
              <w:spacing w:after="120" w:line="240" w:lineRule="auto"/>
              <w:rPr>
                <w:rFonts w:cs="Arial"/>
              </w:rPr>
            </w:pPr>
          </w:p>
        </w:tc>
      </w:tr>
      <w:tr w:rsidR="002F1045" w:rsidRPr="006E6390" w14:paraId="348ED469" w14:textId="77777777" w:rsidTr="00B7174F">
        <w:tc>
          <w:tcPr>
            <w:tcW w:w="3063" w:type="dxa"/>
            <w:vAlign w:val="center"/>
          </w:tcPr>
          <w:p w14:paraId="6DF76FB3" w14:textId="77777777" w:rsidR="002F1045" w:rsidRPr="006E6390" w:rsidRDefault="002F1045" w:rsidP="0015318E">
            <w:pPr>
              <w:spacing w:after="120"/>
              <w:rPr>
                <w:rFonts w:cs="Arial"/>
              </w:rPr>
            </w:pPr>
            <w:r w:rsidRPr="006E6390">
              <w:rPr>
                <w:rFonts w:cs="Arial"/>
              </w:rPr>
              <w:t>Miembro de otras Juntas Directivas</w:t>
            </w:r>
          </w:p>
        </w:tc>
        <w:tc>
          <w:tcPr>
            <w:tcW w:w="5839" w:type="dxa"/>
            <w:vAlign w:val="center"/>
          </w:tcPr>
          <w:p w14:paraId="4885154C" w14:textId="40368D71" w:rsidR="002F1045" w:rsidRPr="006E6390" w:rsidRDefault="0041404F" w:rsidP="00005709">
            <w:pPr>
              <w:spacing w:after="120"/>
              <w:rPr>
                <w:rFonts w:cs="Arial"/>
              </w:rPr>
            </w:pPr>
            <w:r>
              <w:rPr>
                <w:rFonts w:cs="Arial"/>
              </w:rPr>
              <w:t>Ninguna</w:t>
            </w:r>
          </w:p>
        </w:tc>
      </w:tr>
    </w:tbl>
    <w:p w14:paraId="667784C7" w14:textId="77777777" w:rsidR="002F1045" w:rsidRPr="006E6390" w:rsidRDefault="002F1045" w:rsidP="002F1045">
      <w:pPr>
        <w:rPr>
          <w:rFonts w:cs="Arial"/>
        </w:rPr>
      </w:pPr>
    </w:p>
    <w:p w14:paraId="122DAED2" w14:textId="77777777" w:rsidR="002F1045" w:rsidRPr="006E6390" w:rsidRDefault="002F1045" w:rsidP="002F1045">
      <w:pPr>
        <w:rPr>
          <w:rFonts w:cs="Arial"/>
        </w:rPr>
      </w:pPr>
      <w:r w:rsidRPr="001758DC">
        <w:rPr>
          <w:rFonts w:cs="Arial"/>
          <w:b/>
          <w:bCs/>
        </w:rPr>
        <w:t>Vicepresidente:</w:t>
      </w:r>
      <w:r w:rsidRPr="006E6390">
        <w:rPr>
          <w:rFonts w:cs="Arial"/>
        </w:rPr>
        <w:t xml:space="preserve"> </w:t>
      </w:r>
      <w:r w:rsidR="0047461A">
        <w:rPr>
          <w:rFonts w:cs="Arial"/>
        </w:rPr>
        <w:t xml:space="preserve">MBA </w:t>
      </w:r>
      <w:r w:rsidR="00FF2011">
        <w:rPr>
          <w:rFonts w:cs="Arial"/>
        </w:rPr>
        <w:t>Rolando Guido Sáenz</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709F5414" w14:textId="77777777" w:rsidTr="00B7174F">
        <w:trPr>
          <w:trHeight w:val="397"/>
        </w:trPr>
        <w:tc>
          <w:tcPr>
            <w:tcW w:w="3111" w:type="dxa"/>
            <w:shd w:val="clear" w:color="auto" w:fill="auto"/>
          </w:tcPr>
          <w:p w14:paraId="7D9870AC" w14:textId="77777777" w:rsidR="002F1045" w:rsidRPr="006E6390" w:rsidRDefault="002F1045" w:rsidP="0015318E">
            <w:pPr>
              <w:spacing w:after="120"/>
              <w:rPr>
                <w:rFonts w:cs="Arial"/>
              </w:rPr>
            </w:pPr>
            <w:r w:rsidRPr="006E6390">
              <w:rPr>
                <w:rFonts w:cs="Arial"/>
              </w:rPr>
              <w:t>Nacionalidad</w:t>
            </w:r>
          </w:p>
        </w:tc>
        <w:tc>
          <w:tcPr>
            <w:tcW w:w="5839" w:type="dxa"/>
            <w:shd w:val="clear" w:color="auto" w:fill="auto"/>
          </w:tcPr>
          <w:p w14:paraId="5C277423" w14:textId="77777777" w:rsidR="002F1045" w:rsidRPr="006E6390" w:rsidRDefault="002F1045" w:rsidP="0015318E">
            <w:pPr>
              <w:spacing w:after="120"/>
              <w:rPr>
                <w:rFonts w:cs="Arial"/>
              </w:rPr>
            </w:pPr>
            <w:r w:rsidRPr="006E6390">
              <w:rPr>
                <w:rFonts w:cs="Arial"/>
              </w:rPr>
              <w:t>Costarricense</w:t>
            </w:r>
          </w:p>
        </w:tc>
      </w:tr>
      <w:tr w:rsidR="002F1045" w:rsidRPr="006E6390" w14:paraId="0D3CBA0C" w14:textId="77777777" w:rsidTr="00B7174F">
        <w:trPr>
          <w:trHeight w:val="397"/>
        </w:trPr>
        <w:tc>
          <w:tcPr>
            <w:tcW w:w="3111" w:type="dxa"/>
            <w:shd w:val="clear" w:color="auto" w:fill="auto"/>
          </w:tcPr>
          <w:p w14:paraId="2B697CA7" w14:textId="77777777" w:rsidR="002F1045" w:rsidRPr="006E6390" w:rsidRDefault="002F1045" w:rsidP="0015318E">
            <w:pPr>
              <w:spacing w:after="120"/>
              <w:rPr>
                <w:rFonts w:cs="Arial"/>
              </w:rPr>
            </w:pPr>
            <w:r w:rsidRPr="006E6390">
              <w:rPr>
                <w:rFonts w:cs="Arial"/>
              </w:rPr>
              <w:t>Año de Nacimiento</w:t>
            </w:r>
          </w:p>
        </w:tc>
        <w:tc>
          <w:tcPr>
            <w:tcW w:w="5839" w:type="dxa"/>
            <w:shd w:val="clear" w:color="auto" w:fill="auto"/>
          </w:tcPr>
          <w:p w14:paraId="08DFD00A" w14:textId="77777777" w:rsidR="002F1045" w:rsidRPr="006E6390" w:rsidRDefault="006D1840" w:rsidP="0015318E">
            <w:pPr>
              <w:spacing w:after="120"/>
              <w:rPr>
                <w:rFonts w:cs="Arial"/>
              </w:rPr>
            </w:pPr>
            <w:r w:rsidRPr="006E6390">
              <w:rPr>
                <w:rFonts w:cs="Arial"/>
              </w:rPr>
              <w:t>19</w:t>
            </w:r>
            <w:r>
              <w:rPr>
                <w:rFonts w:cs="Arial"/>
              </w:rPr>
              <w:t>54</w:t>
            </w:r>
          </w:p>
        </w:tc>
      </w:tr>
      <w:tr w:rsidR="002F1045" w:rsidRPr="006E6390" w14:paraId="21CD029D" w14:textId="77777777" w:rsidTr="00B7174F">
        <w:trPr>
          <w:trHeight w:val="397"/>
        </w:trPr>
        <w:tc>
          <w:tcPr>
            <w:tcW w:w="3111" w:type="dxa"/>
            <w:shd w:val="clear" w:color="auto" w:fill="auto"/>
          </w:tcPr>
          <w:p w14:paraId="6DBA0A7D" w14:textId="77777777" w:rsidR="002F1045" w:rsidRPr="006E6390" w:rsidRDefault="002F1045" w:rsidP="0015318E">
            <w:pPr>
              <w:spacing w:after="120"/>
              <w:rPr>
                <w:rFonts w:cs="Arial"/>
              </w:rPr>
            </w:pPr>
            <w:r w:rsidRPr="006E6390">
              <w:rPr>
                <w:rFonts w:cs="Arial"/>
              </w:rPr>
              <w:t>Poderes que ostenta</w:t>
            </w:r>
          </w:p>
        </w:tc>
        <w:tc>
          <w:tcPr>
            <w:tcW w:w="5839" w:type="dxa"/>
            <w:shd w:val="clear" w:color="auto" w:fill="auto"/>
          </w:tcPr>
          <w:p w14:paraId="15315D17" w14:textId="77777777" w:rsidR="002F1045" w:rsidRPr="006E6390" w:rsidRDefault="002F1045" w:rsidP="0015318E">
            <w:pPr>
              <w:spacing w:after="120"/>
              <w:rPr>
                <w:rFonts w:cs="Arial"/>
              </w:rPr>
            </w:pPr>
            <w:r w:rsidRPr="006E6390">
              <w:rPr>
                <w:rFonts w:cs="Arial"/>
              </w:rPr>
              <w:t>Ninguno</w:t>
            </w:r>
          </w:p>
        </w:tc>
      </w:tr>
      <w:tr w:rsidR="002F1045" w:rsidRPr="006E6390" w14:paraId="5606034A" w14:textId="77777777" w:rsidTr="00B7174F">
        <w:trPr>
          <w:trHeight w:val="397"/>
        </w:trPr>
        <w:tc>
          <w:tcPr>
            <w:tcW w:w="3111" w:type="dxa"/>
            <w:shd w:val="clear" w:color="auto" w:fill="auto"/>
          </w:tcPr>
          <w:p w14:paraId="50EA10E8" w14:textId="77777777" w:rsidR="002F1045" w:rsidRPr="006E6390" w:rsidRDefault="002F1045" w:rsidP="0015318E">
            <w:pPr>
              <w:spacing w:after="120"/>
              <w:rPr>
                <w:rFonts w:cs="Arial"/>
              </w:rPr>
            </w:pPr>
            <w:r w:rsidRPr="006E6390">
              <w:rPr>
                <w:rFonts w:cs="Arial"/>
              </w:rPr>
              <w:t>Fecha de nombramiento</w:t>
            </w:r>
          </w:p>
        </w:tc>
        <w:tc>
          <w:tcPr>
            <w:tcW w:w="5839" w:type="dxa"/>
            <w:shd w:val="clear" w:color="auto" w:fill="auto"/>
          </w:tcPr>
          <w:p w14:paraId="3E97863F" w14:textId="77777777" w:rsidR="002F1045" w:rsidRPr="006E6390" w:rsidRDefault="002F1045" w:rsidP="0015318E">
            <w:pPr>
              <w:spacing w:after="120"/>
              <w:rPr>
                <w:rFonts w:cs="Arial"/>
              </w:rPr>
            </w:pPr>
            <w:r w:rsidRPr="006E6390">
              <w:rPr>
                <w:rFonts w:cs="Arial"/>
              </w:rPr>
              <w:t xml:space="preserve">3 de </w:t>
            </w:r>
            <w:r w:rsidR="006D1840">
              <w:rPr>
                <w:rFonts w:cs="Arial"/>
              </w:rPr>
              <w:t>agosto</w:t>
            </w:r>
            <w:r w:rsidR="006D1840" w:rsidRPr="006E6390">
              <w:rPr>
                <w:rFonts w:cs="Arial"/>
              </w:rPr>
              <w:t xml:space="preserve"> </w:t>
            </w:r>
            <w:r w:rsidRPr="006E6390">
              <w:rPr>
                <w:rFonts w:cs="Arial"/>
              </w:rPr>
              <w:t xml:space="preserve">de </w:t>
            </w:r>
            <w:r w:rsidR="006D1840" w:rsidRPr="006E6390">
              <w:rPr>
                <w:rFonts w:cs="Arial"/>
              </w:rPr>
              <w:t>20</w:t>
            </w:r>
            <w:r w:rsidR="006D1840">
              <w:rPr>
                <w:rFonts w:cs="Arial"/>
              </w:rPr>
              <w:t>22</w:t>
            </w:r>
          </w:p>
        </w:tc>
      </w:tr>
      <w:tr w:rsidR="002F1045" w:rsidRPr="006E6390" w14:paraId="38F293D3" w14:textId="77777777" w:rsidTr="00B7174F">
        <w:trPr>
          <w:trHeight w:val="397"/>
        </w:trPr>
        <w:tc>
          <w:tcPr>
            <w:tcW w:w="3111" w:type="dxa"/>
            <w:shd w:val="clear" w:color="auto" w:fill="auto"/>
          </w:tcPr>
          <w:p w14:paraId="3FB91702" w14:textId="77777777" w:rsidR="002F1045" w:rsidRPr="006E6390" w:rsidRDefault="002F1045" w:rsidP="0015318E">
            <w:pPr>
              <w:spacing w:after="120"/>
              <w:rPr>
                <w:rFonts w:cs="Arial"/>
              </w:rPr>
            </w:pPr>
            <w:r w:rsidRPr="006E6390">
              <w:rPr>
                <w:rFonts w:cs="Arial"/>
              </w:rPr>
              <w:t>Fecha de vencimiento del nombramiento</w:t>
            </w:r>
          </w:p>
        </w:tc>
        <w:tc>
          <w:tcPr>
            <w:tcW w:w="5839" w:type="dxa"/>
            <w:shd w:val="clear" w:color="auto" w:fill="auto"/>
          </w:tcPr>
          <w:p w14:paraId="3AB47B7F" w14:textId="77777777" w:rsidR="002F1045" w:rsidRPr="006E6390" w:rsidRDefault="002F1045" w:rsidP="0015318E">
            <w:pPr>
              <w:spacing w:after="120"/>
              <w:rPr>
                <w:rFonts w:cs="Arial"/>
              </w:rPr>
            </w:pPr>
            <w:r w:rsidRPr="006E6390">
              <w:rPr>
                <w:rFonts w:cs="Arial"/>
              </w:rPr>
              <w:t xml:space="preserve">8 de mayo de </w:t>
            </w:r>
            <w:r w:rsidR="006D1840" w:rsidRPr="006E6390">
              <w:rPr>
                <w:rFonts w:cs="Arial"/>
              </w:rPr>
              <w:t>202</w:t>
            </w:r>
            <w:r w:rsidR="006D1840">
              <w:rPr>
                <w:rFonts w:cs="Arial"/>
              </w:rPr>
              <w:t>6</w:t>
            </w:r>
          </w:p>
        </w:tc>
      </w:tr>
      <w:tr w:rsidR="002F1045" w:rsidRPr="006E6390" w14:paraId="278F4831" w14:textId="77777777" w:rsidTr="00B7174F">
        <w:trPr>
          <w:trHeight w:val="397"/>
        </w:trPr>
        <w:tc>
          <w:tcPr>
            <w:tcW w:w="3111" w:type="dxa"/>
            <w:shd w:val="clear" w:color="auto" w:fill="auto"/>
          </w:tcPr>
          <w:p w14:paraId="4D1DD394" w14:textId="77777777" w:rsidR="002F1045" w:rsidRPr="006E6390" w:rsidRDefault="002F1045" w:rsidP="0015318E">
            <w:pPr>
              <w:spacing w:after="120"/>
              <w:rPr>
                <w:rFonts w:cs="Arial"/>
                <w:u w:val="single"/>
              </w:rPr>
            </w:pPr>
            <w:r w:rsidRPr="006E6390">
              <w:rPr>
                <w:rFonts w:cs="Arial"/>
              </w:rPr>
              <w:t xml:space="preserve">Relación de parentesco con otro miembro del Consejo </w:t>
            </w:r>
            <w:r w:rsidRPr="006E6390">
              <w:rPr>
                <w:rFonts w:cs="Arial"/>
              </w:rPr>
              <w:lastRenderedPageBreak/>
              <w:t>Directivo, Gerencia y personal de nivel ejecutivo</w:t>
            </w:r>
          </w:p>
        </w:tc>
        <w:tc>
          <w:tcPr>
            <w:tcW w:w="5839" w:type="dxa"/>
            <w:shd w:val="clear" w:color="auto" w:fill="auto"/>
          </w:tcPr>
          <w:p w14:paraId="0C4AAB03" w14:textId="77777777" w:rsidR="002F1045" w:rsidRPr="006E6390" w:rsidRDefault="002F1045" w:rsidP="0015318E">
            <w:pPr>
              <w:spacing w:after="120"/>
              <w:rPr>
                <w:rFonts w:cs="Arial"/>
              </w:rPr>
            </w:pPr>
            <w:r w:rsidRPr="006E6390">
              <w:rPr>
                <w:rFonts w:cs="Arial"/>
              </w:rPr>
              <w:lastRenderedPageBreak/>
              <w:t>Ninguno</w:t>
            </w:r>
          </w:p>
        </w:tc>
      </w:tr>
      <w:tr w:rsidR="002F1045" w:rsidRPr="006E6390" w14:paraId="05905D82" w14:textId="77777777" w:rsidTr="00B7174F">
        <w:trPr>
          <w:trHeight w:val="397"/>
        </w:trPr>
        <w:tc>
          <w:tcPr>
            <w:tcW w:w="3111" w:type="dxa"/>
            <w:shd w:val="clear" w:color="auto" w:fill="auto"/>
          </w:tcPr>
          <w:p w14:paraId="3ED138D2" w14:textId="77777777" w:rsidR="002F1045" w:rsidRPr="006E6390" w:rsidRDefault="002F1045" w:rsidP="0015318E">
            <w:pPr>
              <w:spacing w:after="120"/>
              <w:rPr>
                <w:rFonts w:cs="Arial"/>
              </w:rPr>
            </w:pPr>
            <w:r w:rsidRPr="006E6390">
              <w:rPr>
                <w:rFonts w:cs="Arial"/>
              </w:rPr>
              <w:t>Currículum</w:t>
            </w:r>
          </w:p>
        </w:tc>
        <w:tc>
          <w:tcPr>
            <w:tcW w:w="5839" w:type="dxa"/>
            <w:shd w:val="clear" w:color="auto" w:fill="auto"/>
          </w:tcPr>
          <w:p w14:paraId="7B7DB2E4" w14:textId="77777777" w:rsidR="002F1045" w:rsidRDefault="00B15596" w:rsidP="003B319D">
            <w:pPr>
              <w:spacing w:after="120" w:line="240" w:lineRule="auto"/>
              <w:rPr>
                <w:rFonts w:cs="Arial"/>
              </w:rPr>
            </w:pPr>
            <w:r>
              <w:rPr>
                <w:rFonts w:cs="Arial"/>
              </w:rPr>
              <w:t>Bachiller en Ingeniería Industrial, Universidad de Costa Rica.</w:t>
            </w:r>
          </w:p>
          <w:p w14:paraId="2044D688" w14:textId="77777777" w:rsidR="00B15596" w:rsidRDefault="00B15596" w:rsidP="003B319D">
            <w:pPr>
              <w:spacing w:after="120" w:line="240" w:lineRule="auto"/>
              <w:rPr>
                <w:rFonts w:cs="Arial"/>
                <w:lang w:val="en-US"/>
              </w:rPr>
            </w:pPr>
            <w:r w:rsidRPr="00534220">
              <w:rPr>
                <w:rFonts w:cs="Arial"/>
                <w:lang w:val="en-US"/>
              </w:rPr>
              <w:t>Master of Business Administration, N</w:t>
            </w:r>
            <w:r>
              <w:rPr>
                <w:rFonts w:cs="Arial"/>
                <w:lang w:val="en-US"/>
              </w:rPr>
              <w:t>ational University, San Diego, California.</w:t>
            </w:r>
          </w:p>
          <w:p w14:paraId="0BE6E312" w14:textId="77777777" w:rsidR="00B15596" w:rsidRDefault="00B15596" w:rsidP="003B319D">
            <w:pPr>
              <w:spacing w:after="120" w:line="240" w:lineRule="auto"/>
              <w:rPr>
                <w:rFonts w:cs="Arial"/>
                <w:lang w:val="en-US"/>
              </w:rPr>
            </w:pPr>
            <w:r>
              <w:rPr>
                <w:rFonts w:cs="Arial"/>
                <w:lang w:val="en-US"/>
              </w:rPr>
              <w:t>Certified Quality Engineer, American Society of Quality</w:t>
            </w:r>
          </w:p>
          <w:p w14:paraId="33A1DDD7" w14:textId="77777777" w:rsidR="00B15596" w:rsidRPr="00534220" w:rsidRDefault="00B15596" w:rsidP="003B319D">
            <w:pPr>
              <w:spacing w:after="120" w:line="240" w:lineRule="auto"/>
              <w:rPr>
                <w:rFonts w:cs="Arial"/>
                <w:lang w:val="en-US"/>
              </w:rPr>
            </w:pPr>
            <w:r>
              <w:rPr>
                <w:rFonts w:cs="Arial"/>
                <w:lang w:val="en-US"/>
              </w:rPr>
              <w:t>Certified Reliability Engineer, American Society of Quality</w:t>
            </w:r>
          </w:p>
          <w:p w14:paraId="63C852B3" w14:textId="77777777" w:rsidR="00B15596" w:rsidRDefault="00B15596" w:rsidP="003B319D">
            <w:pPr>
              <w:spacing w:after="120" w:line="240" w:lineRule="auto"/>
              <w:rPr>
                <w:rFonts w:cs="Arial"/>
                <w:lang w:val="en-US"/>
              </w:rPr>
            </w:pPr>
            <w:r w:rsidRPr="00534220">
              <w:rPr>
                <w:rFonts w:cs="Arial"/>
                <w:lang w:val="en-US"/>
              </w:rPr>
              <w:t>American Production and Inventory C</w:t>
            </w:r>
            <w:r>
              <w:rPr>
                <w:rFonts w:cs="Arial"/>
                <w:lang w:val="en-US"/>
              </w:rPr>
              <w:t xml:space="preserve">ontrol Society </w:t>
            </w:r>
            <w:r w:rsidR="00A81628">
              <w:rPr>
                <w:rFonts w:cs="Arial"/>
                <w:lang w:val="en-US"/>
              </w:rPr>
              <w:t>–</w:t>
            </w:r>
            <w:r>
              <w:rPr>
                <w:rFonts w:cs="Arial"/>
                <w:lang w:val="en-US"/>
              </w:rPr>
              <w:t xml:space="preserve"> APICS</w:t>
            </w:r>
            <w:r w:rsidR="00A81628">
              <w:rPr>
                <w:rFonts w:cs="Arial"/>
                <w:lang w:val="en-US"/>
              </w:rPr>
              <w:t xml:space="preserve"> C/PIM</w:t>
            </w:r>
          </w:p>
          <w:p w14:paraId="171995D1" w14:textId="77777777" w:rsidR="00A81628" w:rsidRPr="00534220" w:rsidRDefault="00A81628" w:rsidP="003B319D">
            <w:pPr>
              <w:spacing w:after="120" w:line="240" w:lineRule="auto"/>
              <w:rPr>
                <w:rFonts w:cs="Arial"/>
                <w:lang w:val="en-US"/>
              </w:rPr>
            </w:pPr>
            <w:r>
              <w:rPr>
                <w:rFonts w:cs="Arial"/>
                <w:lang w:val="en-US"/>
              </w:rPr>
              <w:t>Certified Six Sigma Black Belt, American Society for Quality</w:t>
            </w:r>
          </w:p>
          <w:p w14:paraId="4B951EE9" w14:textId="77777777" w:rsidR="00A81628" w:rsidRDefault="00A81628" w:rsidP="003B319D">
            <w:pPr>
              <w:spacing w:after="120" w:line="240" w:lineRule="auto"/>
              <w:rPr>
                <w:rFonts w:cs="Arial"/>
              </w:rPr>
            </w:pPr>
            <w:r w:rsidRPr="00A81628">
              <w:rPr>
                <w:rFonts w:cs="Arial"/>
              </w:rPr>
              <w:t>Performance Excelence Solutions S.A</w:t>
            </w:r>
            <w:r w:rsidRPr="006A6DDF">
              <w:rPr>
                <w:rFonts w:cs="Arial"/>
              </w:rPr>
              <w:t>., socio (2004 a la fecha</w:t>
            </w:r>
            <w:r>
              <w:rPr>
                <w:rFonts w:cs="Arial"/>
              </w:rPr>
              <w:t>)</w:t>
            </w:r>
          </w:p>
          <w:p w14:paraId="32CF9C06" w14:textId="77777777" w:rsidR="00A81628" w:rsidRPr="00A81628" w:rsidRDefault="00A81628" w:rsidP="003B319D">
            <w:pPr>
              <w:spacing w:after="120" w:line="240" w:lineRule="auto"/>
              <w:rPr>
                <w:rFonts w:cs="Arial"/>
              </w:rPr>
            </w:pPr>
            <w:r w:rsidRPr="00A81628">
              <w:rPr>
                <w:rFonts w:cs="Arial"/>
              </w:rPr>
              <w:t>Smiths Interconnect Microwave Components G</w:t>
            </w:r>
            <w:r w:rsidRPr="006A6DDF">
              <w:rPr>
                <w:rFonts w:cs="Arial"/>
              </w:rPr>
              <w:t xml:space="preserve">roup (EMC Tecnología S.A., Vicepresidente de Operaciones (1997-2004) </w:t>
            </w:r>
          </w:p>
          <w:p w14:paraId="61A161AD" w14:textId="77777777" w:rsidR="00A81628" w:rsidRDefault="00A81628" w:rsidP="003B319D">
            <w:pPr>
              <w:spacing w:after="120" w:line="240" w:lineRule="auto"/>
              <w:rPr>
                <w:rFonts w:cs="Arial"/>
              </w:rPr>
            </w:pPr>
            <w:r>
              <w:rPr>
                <w:rFonts w:cs="Arial"/>
              </w:rPr>
              <w:t>USRB S.A. Gerente de Manufactura (1991-1993)</w:t>
            </w:r>
          </w:p>
          <w:p w14:paraId="072D1F57" w14:textId="77777777" w:rsidR="0061163A" w:rsidRDefault="0061163A" w:rsidP="003B319D">
            <w:pPr>
              <w:spacing w:after="120" w:line="240" w:lineRule="auto"/>
              <w:rPr>
                <w:rFonts w:cs="Arial"/>
              </w:rPr>
            </w:pPr>
            <w:r>
              <w:rPr>
                <w:rFonts w:cs="Arial"/>
              </w:rPr>
              <w:t>Conair de Costa Rica S.A., Gerente de Producción, 1990-1991)</w:t>
            </w:r>
          </w:p>
          <w:p w14:paraId="6917F8E3" w14:textId="77777777" w:rsidR="0061163A" w:rsidRDefault="0061163A" w:rsidP="003B319D">
            <w:pPr>
              <w:spacing w:after="120" w:line="240" w:lineRule="auto"/>
              <w:rPr>
                <w:rFonts w:cs="Arial"/>
              </w:rPr>
            </w:pPr>
            <w:r w:rsidRPr="0061163A">
              <w:rPr>
                <w:rFonts w:cs="Arial"/>
              </w:rPr>
              <w:t>GTE Sylvania S.A., G</w:t>
            </w:r>
            <w:r w:rsidRPr="006A6DDF">
              <w:rPr>
                <w:rFonts w:cs="Arial"/>
              </w:rPr>
              <w:t>erente de</w:t>
            </w:r>
            <w:r>
              <w:rPr>
                <w:rFonts w:cs="Arial"/>
              </w:rPr>
              <w:t xml:space="preserve"> Ingeniería y Producción (1982-1990)</w:t>
            </w:r>
          </w:p>
          <w:p w14:paraId="57B403B7" w14:textId="77777777" w:rsidR="0061163A" w:rsidRDefault="0061163A" w:rsidP="003B319D">
            <w:pPr>
              <w:spacing w:after="120" w:line="240" w:lineRule="auto"/>
              <w:rPr>
                <w:rFonts w:cs="Arial"/>
              </w:rPr>
            </w:pPr>
            <w:r>
              <w:rPr>
                <w:rFonts w:cs="Arial"/>
              </w:rPr>
              <w:t>Firestone de Costa Rica, Gerente de Producción (1979-1982)</w:t>
            </w:r>
          </w:p>
          <w:p w14:paraId="2FFF68DC" w14:textId="77777777" w:rsidR="0061163A" w:rsidRDefault="0061163A" w:rsidP="003B319D">
            <w:pPr>
              <w:spacing w:after="120" w:line="240" w:lineRule="auto"/>
              <w:rPr>
                <w:rFonts w:cs="Arial"/>
              </w:rPr>
            </w:pPr>
            <w:r>
              <w:rPr>
                <w:rFonts w:cs="Arial"/>
              </w:rPr>
              <w:t>Compañía de Plásticos y Aluminio (1977)</w:t>
            </w:r>
          </w:p>
          <w:p w14:paraId="7466908B" w14:textId="77777777" w:rsidR="0061163A" w:rsidRDefault="0061163A" w:rsidP="001758DC">
            <w:pPr>
              <w:spacing w:after="0" w:line="240" w:lineRule="auto"/>
              <w:rPr>
                <w:rFonts w:cs="Arial"/>
              </w:rPr>
            </w:pPr>
            <w:r>
              <w:rPr>
                <w:rFonts w:cs="Arial"/>
              </w:rPr>
              <w:t>Redes Internacionales S.A. (oct. 1976- feb. 1977)</w:t>
            </w:r>
          </w:p>
          <w:p w14:paraId="1DC40F6C" w14:textId="77777777" w:rsidR="002F1045" w:rsidRPr="006E6390" w:rsidRDefault="002F1045" w:rsidP="0015318E">
            <w:pPr>
              <w:spacing w:after="120"/>
              <w:rPr>
                <w:rFonts w:cs="Arial"/>
                <w:lang w:val="es-ES"/>
              </w:rPr>
            </w:pPr>
          </w:p>
        </w:tc>
      </w:tr>
      <w:tr w:rsidR="002F1045" w:rsidRPr="006E6390" w14:paraId="38F7AD3E" w14:textId="77777777" w:rsidTr="00B7174F">
        <w:trPr>
          <w:trHeight w:val="397"/>
        </w:trPr>
        <w:tc>
          <w:tcPr>
            <w:tcW w:w="3111" w:type="dxa"/>
            <w:shd w:val="clear" w:color="auto" w:fill="auto"/>
          </w:tcPr>
          <w:p w14:paraId="0E5FEB58" w14:textId="77777777" w:rsidR="002F1045" w:rsidRPr="006E6390" w:rsidRDefault="002F1045" w:rsidP="0015318E">
            <w:pPr>
              <w:spacing w:after="120"/>
              <w:rPr>
                <w:rFonts w:cs="Arial"/>
              </w:rPr>
            </w:pPr>
            <w:r w:rsidRPr="006E6390">
              <w:rPr>
                <w:rFonts w:cs="Arial"/>
              </w:rPr>
              <w:t>Miembro de otras Juntas Directivas</w:t>
            </w:r>
          </w:p>
        </w:tc>
        <w:tc>
          <w:tcPr>
            <w:tcW w:w="5839" w:type="dxa"/>
            <w:shd w:val="clear" w:color="auto" w:fill="auto"/>
          </w:tcPr>
          <w:p w14:paraId="10D43B68" w14:textId="77777777" w:rsidR="002F1045" w:rsidRPr="006E6390" w:rsidRDefault="002F1045" w:rsidP="0015318E">
            <w:pPr>
              <w:spacing w:after="120"/>
              <w:rPr>
                <w:rFonts w:cs="Arial"/>
              </w:rPr>
            </w:pPr>
            <w:r w:rsidRPr="006E6390">
              <w:rPr>
                <w:rFonts w:cs="Arial"/>
              </w:rPr>
              <w:t>Ninguna</w:t>
            </w:r>
          </w:p>
        </w:tc>
      </w:tr>
    </w:tbl>
    <w:p w14:paraId="10BE00AA" w14:textId="77777777" w:rsidR="002F1045" w:rsidRPr="006E6390" w:rsidRDefault="002F1045" w:rsidP="002F1045">
      <w:pPr>
        <w:rPr>
          <w:rFonts w:cs="Arial"/>
        </w:rPr>
      </w:pPr>
    </w:p>
    <w:p w14:paraId="642C24C4" w14:textId="77777777" w:rsidR="002F1045" w:rsidRPr="006E6390" w:rsidRDefault="00F829EC" w:rsidP="002F1045">
      <w:pPr>
        <w:rPr>
          <w:rFonts w:cs="Arial"/>
        </w:rPr>
      </w:pPr>
      <w:r w:rsidRPr="001758DC">
        <w:rPr>
          <w:rFonts w:cs="Arial"/>
          <w:b/>
          <w:bCs/>
        </w:rPr>
        <w:t>Secretaria</w:t>
      </w:r>
      <w:r w:rsidR="002F1045" w:rsidRPr="001758DC">
        <w:rPr>
          <w:rFonts w:cs="Arial"/>
          <w:b/>
          <w:bCs/>
        </w:rPr>
        <w:t>:</w:t>
      </w:r>
      <w:r w:rsidR="002F1045" w:rsidRPr="006E6390">
        <w:rPr>
          <w:rFonts w:cs="Arial"/>
        </w:rPr>
        <w:t xml:space="preserve"> </w:t>
      </w:r>
      <w:r>
        <w:rPr>
          <w:rFonts w:cs="Arial"/>
        </w:rPr>
        <w:t>Ing. Sandra Gallegos Ayala</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722596DB" w14:textId="77777777" w:rsidTr="00B7174F">
        <w:tc>
          <w:tcPr>
            <w:tcW w:w="3111" w:type="dxa"/>
          </w:tcPr>
          <w:p w14:paraId="0C8B5716" w14:textId="77777777" w:rsidR="002F1045" w:rsidRPr="006E6390" w:rsidRDefault="002F1045" w:rsidP="0015318E">
            <w:pPr>
              <w:spacing w:after="120"/>
              <w:rPr>
                <w:rFonts w:cs="Arial"/>
              </w:rPr>
            </w:pPr>
            <w:r w:rsidRPr="006E6390">
              <w:rPr>
                <w:rFonts w:cs="Arial"/>
              </w:rPr>
              <w:t>Nacionalidad</w:t>
            </w:r>
          </w:p>
        </w:tc>
        <w:tc>
          <w:tcPr>
            <w:tcW w:w="5839" w:type="dxa"/>
          </w:tcPr>
          <w:p w14:paraId="58989F56" w14:textId="77777777" w:rsidR="002F1045" w:rsidRPr="006E6390" w:rsidRDefault="002F1045" w:rsidP="0015318E">
            <w:pPr>
              <w:spacing w:after="120"/>
              <w:rPr>
                <w:rFonts w:cs="Arial"/>
              </w:rPr>
            </w:pPr>
            <w:r w:rsidRPr="006E6390">
              <w:rPr>
                <w:rFonts w:cs="Arial"/>
              </w:rPr>
              <w:t>Costarricense</w:t>
            </w:r>
          </w:p>
        </w:tc>
      </w:tr>
      <w:tr w:rsidR="002F1045" w:rsidRPr="006E6390" w14:paraId="54ED2164" w14:textId="77777777" w:rsidTr="00B7174F">
        <w:tc>
          <w:tcPr>
            <w:tcW w:w="3111" w:type="dxa"/>
          </w:tcPr>
          <w:p w14:paraId="27194FFD" w14:textId="77777777" w:rsidR="002F1045" w:rsidRPr="006E6390" w:rsidRDefault="002F1045" w:rsidP="0015318E">
            <w:pPr>
              <w:spacing w:after="120"/>
              <w:rPr>
                <w:rFonts w:cs="Arial"/>
              </w:rPr>
            </w:pPr>
            <w:r w:rsidRPr="006E6390">
              <w:rPr>
                <w:rFonts w:cs="Arial"/>
              </w:rPr>
              <w:t>Año de Nacimiento</w:t>
            </w:r>
          </w:p>
        </w:tc>
        <w:tc>
          <w:tcPr>
            <w:tcW w:w="5839" w:type="dxa"/>
          </w:tcPr>
          <w:p w14:paraId="111E5D47" w14:textId="77777777" w:rsidR="002F1045" w:rsidRPr="006E6390" w:rsidRDefault="00AA5304" w:rsidP="0015318E">
            <w:pPr>
              <w:spacing w:after="120"/>
              <w:rPr>
                <w:rFonts w:cs="Arial"/>
              </w:rPr>
            </w:pPr>
            <w:r>
              <w:rPr>
                <w:rFonts w:cs="Arial"/>
              </w:rPr>
              <w:t>1956</w:t>
            </w:r>
          </w:p>
        </w:tc>
      </w:tr>
      <w:tr w:rsidR="002F1045" w:rsidRPr="006E6390" w14:paraId="465C77FD" w14:textId="77777777" w:rsidTr="00B7174F">
        <w:tc>
          <w:tcPr>
            <w:tcW w:w="3111" w:type="dxa"/>
          </w:tcPr>
          <w:p w14:paraId="2826E6CD" w14:textId="77777777" w:rsidR="002F1045" w:rsidRPr="006E6390" w:rsidRDefault="002F1045" w:rsidP="0015318E">
            <w:pPr>
              <w:spacing w:after="120"/>
              <w:rPr>
                <w:rFonts w:cs="Arial"/>
              </w:rPr>
            </w:pPr>
            <w:r w:rsidRPr="006E6390">
              <w:rPr>
                <w:rFonts w:cs="Arial"/>
              </w:rPr>
              <w:t>Poderes que ostenta</w:t>
            </w:r>
          </w:p>
        </w:tc>
        <w:tc>
          <w:tcPr>
            <w:tcW w:w="5839" w:type="dxa"/>
          </w:tcPr>
          <w:p w14:paraId="77710868" w14:textId="77777777" w:rsidR="002F1045" w:rsidRPr="006E6390" w:rsidRDefault="002F1045" w:rsidP="0015318E">
            <w:pPr>
              <w:spacing w:after="120"/>
              <w:rPr>
                <w:rFonts w:cs="Arial"/>
              </w:rPr>
            </w:pPr>
            <w:r w:rsidRPr="006E6390">
              <w:rPr>
                <w:rFonts w:cs="Arial"/>
              </w:rPr>
              <w:t>Ninguno</w:t>
            </w:r>
          </w:p>
        </w:tc>
      </w:tr>
      <w:tr w:rsidR="002F1045" w:rsidRPr="006E6390" w14:paraId="0589EB32" w14:textId="77777777" w:rsidTr="00B7174F">
        <w:tc>
          <w:tcPr>
            <w:tcW w:w="3111" w:type="dxa"/>
          </w:tcPr>
          <w:p w14:paraId="647408A3" w14:textId="77777777" w:rsidR="002F1045" w:rsidRPr="006E6390" w:rsidRDefault="002F1045" w:rsidP="0015318E">
            <w:pPr>
              <w:spacing w:after="120"/>
              <w:rPr>
                <w:rFonts w:cs="Arial"/>
              </w:rPr>
            </w:pPr>
            <w:r w:rsidRPr="006E6390">
              <w:rPr>
                <w:rFonts w:cs="Arial"/>
              </w:rPr>
              <w:t>Fecha de nombramiento</w:t>
            </w:r>
          </w:p>
        </w:tc>
        <w:tc>
          <w:tcPr>
            <w:tcW w:w="5839" w:type="dxa"/>
          </w:tcPr>
          <w:p w14:paraId="527C4C5A" w14:textId="77777777" w:rsidR="002F1045" w:rsidRPr="006E6390" w:rsidRDefault="00AA5304" w:rsidP="0015318E">
            <w:pPr>
              <w:spacing w:after="120"/>
              <w:rPr>
                <w:rFonts w:cs="Arial"/>
              </w:rPr>
            </w:pPr>
            <w:r w:rsidRPr="006E6390">
              <w:rPr>
                <w:rFonts w:cs="Arial"/>
              </w:rPr>
              <w:t>2</w:t>
            </w:r>
            <w:r>
              <w:rPr>
                <w:rFonts w:cs="Arial"/>
              </w:rPr>
              <w:t>6</w:t>
            </w:r>
            <w:r w:rsidRPr="006E6390">
              <w:rPr>
                <w:rFonts w:cs="Arial"/>
              </w:rPr>
              <w:t xml:space="preserve"> </w:t>
            </w:r>
            <w:r w:rsidR="002F1045" w:rsidRPr="006E6390">
              <w:rPr>
                <w:rFonts w:cs="Arial"/>
              </w:rPr>
              <w:t xml:space="preserve">de </w:t>
            </w:r>
            <w:r>
              <w:rPr>
                <w:rFonts w:cs="Arial"/>
              </w:rPr>
              <w:t>septiembre</w:t>
            </w:r>
            <w:r w:rsidRPr="006E6390">
              <w:rPr>
                <w:rFonts w:cs="Arial"/>
              </w:rPr>
              <w:t xml:space="preserve"> </w:t>
            </w:r>
            <w:r w:rsidR="002F1045" w:rsidRPr="006E6390">
              <w:rPr>
                <w:rFonts w:cs="Arial"/>
              </w:rPr>
              <w:t xml:space="preserve">de </w:t>
            </w:r>
            <w:r w:rsidRPr="006E6390">
              <w:rPr>
                <w:rFonts w:cs="Arial"/>
              </w:rPr>
              <w:t>20</w:t>
            </w:r>
            <w:r>
              <w:rPr>
                <w:rFonts w:cs="Arial"/>
              </w:rPr>
              <w:t>22</w:t>
            </w:r>
          </w:p>
        </w:tc>
      </w:tr>
      <w:tr w:rsidR="002F1045" w:rsidRPr="006E6390" w14:paraId="470E4C68" w14:textId="77777777" w:rsidTr="00B7174F">
        <w:tc>
          <w:tcPr>
            <w:tcW w:w="3111" w:type="dxa"/>
          </w:tcPr>
          <w:p w14:paraId="1710901E"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71759627" w14:textId="77777777" w:rsidR="002F1045" w:rsidRPr="006E6390" w:rsidRDefault="002F1045" w:rsidP="0015318E">
            <w:pPr>
              <w:spacing w:after="120"/>
              <w:rPr>
                <w:rFonts w:cs="Arial"/>
              </w:rPr>
            </w:pPr>
            <w:r w:rsidRPr="006E6390">
              <w:rPr>
                <w:rFonts w:cs="Arial"/>
              </w:rPr>
              <w:t xml:space="preserve">8 de mayo de </w:t>
            </w:r>
            <w:r w:rsidR="006A6DDF" w:rsidRPr="006E6390">
              <w:rPr>
                <w:rFonts w:cs="Arial"/>
              </w:rPr>
              <w:t>202</w:t>
            </w:r>
            <w:r w:rsidR="006A6DDF">
              <w:rPr>
                <w:rFonts w:cs="Arial"/>
              </w:rPr>
              <w:t>6</w:t>
            </w:r>
          </w:p>
        </w:tc>
      </w:tr>
      <w:tr w:rsidR="002F1045" w:rsidRPr="006E6390" w14:paraId="37234C45" w14:textId="77777777" w:rsidTr="00B7174F">
        <w:tc>
          <w:tcPr>
            <w:tcW w:w="3111" w:type="dxa"/>
          </w:tcPr>
          <w:p w14:paraId="0A95FD8A" w14:textId="77777777" w:rsidR="002F1045" w:rsidRPr="006E6390" w:rsidRDefault="002F1045" w:rsidP="0015318E">
            <w:pPr>
              <w:spacing w:after="120"/>
              <w:rPr>
                <w:rFonts w:cs="Arial"/>
                <w:u w:val="single"/>
              </w:rPr>
            </w:pPr>
            <w:r w:rsidRPr="006E6390">
              <w:rPr>
                <w:rFonts w:cs="Arial"/>
              </w:rPr>
              <w:lastRenderedPageBreak/>
              <w:t>Relación de parentesco con otro miembro del Consejo Directivo, Gerencia y personal de nivel ejecutivo</w:t>
            </w:r>
          </w:p>
        </w:tc>
        <w:tc>
          <w:tcPr>
            <w:tcW w:w="5839" w:type="dxa"/>
          </w:tcPr>
          <w:p w14:paraId="372C3CBF" w14:textId="77777777" w:rsidR="002F1045" w:rsidRPr="006E6390" w:rsidRDefault="002F1045" w:rsidP="0015318E">
            <w:pPr>
              <w:spacing w:after="120"/>
              <w:rPr>
                <w:rFonts w:cs="Arial"/>
              </w:rPr>
            </w:pPr>
            <w:r w:rsidRPr="006E6390">
              <w:rPr>
                <w:rFonts w:cs="Arial"/>
              </w:rPr>
              <w:t>No</w:t>
            </w:r>
          </w:p>
        </w:tc>
      </w:tr>
      <w:tr w:rsidR="002F1045" w:rsidRPr="006E6390" w14:paraId="2DD52A1B" w14:textId="77777777" w:rsidTr="00B7174F">
        <w:tc>
          <w:tcPr>
            <w:tcW w:w="3111" w:type="dxa"/>
          </w:tcPr>
          <w:p w14:paraId="6031C795" w14:textId="77777777" w:rsidR="002F1045" w:rsidRPr="006E6390" w:rsidRDefault="002F1045" w:rsidP="0015318E">
            <w:pPr>
              <w:spacing w:after="120"/>
              <w:rPr>
                <w:rFonts w:cs="Arial"/>
              </w:rPr>
            </w:pPr>
            <w:r w:rsidRPr="006E6390">
              <w:rPr>
                <w:rFonts w:cs="Arial"/>
              </w:rPr>
              <w:t>Currículum</w:t>
            </w:r>
          </w:p>
        </w:tc>
        <w:tc>
          <w:tcPr>
            <w:tcW w:w="5839" w:type="dxa"/>
          </w:tcPr>
          <w:p w14:paraId="70C29B22" w14:textId="77777777" w:rsidR="006A6DDF" w:rsidRDefault="006A6DDF" w:rsidP="008F0955">
            <w:pPr>
              <w:spacing w:after="120"/>
              <w:rPr>
                <w:rFonts w:cs="Arial"/>
              </w:rPr>
            </w:pPr>
            <w:r>
              <w:rPr>
                <w:rFonts w:cs="Arial"/>
              </w:rPr>
              <w:t>Licenciatura en Ingeniería Química, Universidad Federal Rural de Río de Janeiro, Brasil (1978)</w:t>
            </w:r>
          </w:p>
          <w:p w14:paraId="74C658CA" w14:textId="77777777" w:rsidR="008B1975" w:rsidRDefault="008B1975" w:rsidP="008B1975">
            <w:pPr>
              <w:spacing w:after="160" w:line="259" w:lineRule="auto"/>
              <w:rPr>
                <w:rFonts w:cs="Arial"/>
                <w:lang w:eastAsia="en-US"/>
              </w:rPr>
            </w:pPr>
            <w:r w:rsidRPr="008B1975">
              <w:rPr>
                <w:rFonts w:cs="Arial"/>
                <w:lang w:eastAsia="en-US"/>
              </w:rPr>
              <w:t xml:space="preserve">Experiencia </w:t>
            </w:r>
            <w:r>
              <w:rPr>
                <w:rFonts w:cs="Arial"/>
                <w:lang w:eastAsia="en-US"/>
              </w:rPr>
              <w:t xml:space="preserve">en </w:t>
            </w:r>
            <w:r w:rsidRPr="008B1975">
              <w:rPr>
                <w:rFonts w:cs="Arial"/>
                <w:lang w:eastAsia="en-US"/>
              </w:rPr>
              <w:t xml:space="preserve">regulación de calidad de los combustibles, </w:t>
            </w:r>
            <w:r>
              <w:rPr>
                <w:rFonts w:cs="Arial"/>
                <w:lang w:eastAsia="en-US"/>
              </w:rPr>
              <w:t xml:space="preserve">con participación </w:t>
            </w:r>
            <w:r w:rsidRPr="008B1975">
              <w:rPr>
                <w:rFonts w:cs="Arial"/>
                <w:lang w:eastAsia="en-US"/>
              </w:rPr>
              <w:t>en la creación del Programa de Evaluación de Calidad de los Combustibles</w:t>
            </w:r>
            <w:r>
              <w:rPr>
                <w:rFonts w:cs="Arial"/>
                <w:lang w:eastAsia="en-US"/>
              </w:rPr>
              <w:t xml:space="preserve">, </w:t>
            </w:r>
            <w:r w:rsidRPr="008B1975">
              <w:rPr>
                <w:rFonts w:cs="Arial"/>
                <w:lang w:eastAsia="en-US"/>
              </w:rPr>
              <w:t>Autoridad Reguladora de los Servicios Públicos</w:t>
            </w:r>
            <w:r>
              <w:rPr>
                <w:rFonts w:cs="Arial"/>
              </w:rPr>
              <w:t xml:space="preserve"> - ARESEP- </w:t>
            </w:r>
            <w:r>
              <w:rPr>
                <w:rFonts w:cs="Arial"/>
                <w:lang w:eastAsia="en-US"/>
              </w:rPr>
              <w:t>(1996-2018)</w:t>
            </w:r>
          </w:p>
          <w:p w14:paraId="78493DE2" w14:textId="77777777" w:rsidR="008B1975" w:rsidRDefault="008B1975" w:rsidP="008B1975">
            <w:pPr>
              <w:spacing w:after="160" w:line="259" w:lineRule="auto"/>
              <w:rPr>
                <w:rFonts w:cs="Arial"/>
                <w:lang w:eastAsia="en-US"/>
              </w:rPr>
            </w:pPr>
            <w:r>
              <w:rPr>
                <w:rFonts w:cs="Arial"/>
              </w:rPr>
              <w:t>Experiencia en R</w:t>
            </w:r>
            <w:r w:rsidRPr="2ADF76A7">
              <w:rPr>
                <w:rFonts w:cs="Arial"/>
              </w:rPr>
              <w:t>egulación tarifaria de combustibles y análisis de inversiones</w:t>
            </w:r>
            <w:r>
              <w:rPr>
                <w:rFonts w:cs="Arial"/>
              </w:rPr>
              <w:t xml:space="preserve"> Servicio Nacional de Electricidad -SNE- /</w:t>
            </w:r>
            <w:r w:rsidRPr="008B1975">
              <w:rPr>
                <w:rFonts w:cs="Arial"/>
                <w:lang w:eastAsia="en-US"/>
              </w:rPr>
              <w:t xml:space="preserve"> </w:t>
            </w:r>
            <w:r>
              <w:rPr>
                <w:rFonts w:cs="Arial"/>
              </w:rPr>
              <w:t>(1986-1996)</w:t>
            </w:r>
          </w:p>
          <w:p w14:paraId="2CD7F4B9" w14:textId="77777777" w:rsidR="008B1975" w:rsidRDefault="008B1975" w:rsidP="008B1975">
            <w:pPr>
              <w:spacing w:after="160" w:line="259" w:lineRule="auto"/>
              <w:rPr>
                <w:rFonts w:cs="Arial"/>
                <w:lang w:eastAsia="en-US"/>
              </w:rPr>
            </w:pPr>
            <w:r w:rsidRPr="008B1975">
              <w:rPr>
                <w:rFonts w:cs="Arial"/>
                <w:lang w:eastAsia="en-US"/>
              </w:rPr>
              <w:t>Ministerio de Industria, Energía y Minas</w:t>
            </w:r>
            <w:r>
              <w:rPr>
                <w:rFonts w:cs="Arial"/>
                <w:lang w:eastAsia="en-US"/>
              </w:rPr>
              <w:t>, a</w:t>
            </w:r>
            <w:r w:rsidRPr="008B1975">
              <w:rPr>
                <w:rFonts w:cs="Arial"/>
                <w:lang w:eastAsia="en-US"/>
              </w:rPr>
              <w:t>sesora industrial y evaluación de proyectos</w:t>
            </w:r>
            <w:r>
              <w:rPr>
                <w:rFonts w:cs="Arial"/>
                <w:lang w:eastAsia="en-US"/>
              </w:rPr>
              <w:t xml:space="preserve"> (</w:t>
            </w:r>
            <w:r w:rsidRPr="008B1975">
              <w:rPr>
                <w:rFonts w:cs="Arial"/>
                <w:lang w:eastAsia="en-US"/>
              </w:rPr>
              <w:t>1982 a 1986</w:t>
            </w:r>
            <w:r>
              <w:rPr>
                <w:rFonts w:cs="Arial"/>
                <w:lang w:eastAsia="en-US"/>
              </w:rPr>
              <w:t>)</w:t>
            </w:r>
          </w:p>
          <w:p w14:paraId="73D42D27" w14:textId="77777777" w:rsidR="008F0955" w:rsidRPr="008F0955" w:rsidRDefault="008F0955" w:rsidP="008F0955">
            <w:pPr>
              <w:spacing w:after="120"/>
              <w:rPr>
                <w:rFonts w:cs="Arial"/>
              </w:rPr>
            </w:pPr>
          </w:p>
        </w:tc>
      </w:tr>
      <w:tr w:rsidR="002F1045" w:rsidRPr="006E6390" w14:paraId="0BD8DA92" w14:textId="77777777" w:rsidTr="00B7174F">
        <w:tc>
          <w:tcPr>
            <w:tcW w:w="3111" w:type="dxa"/>
          </w:tcPr>
          <w:p w14:paraId="65BD07E0"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1FE413D0" w14:textId="77777777" w:rsidR="002F1045" w:rsidRPr="006E6390" w:rsidRDefault="00AC525D" w:rsidP="0015318E">
            <w:pPr>
              <w:spacing w:after="120"/>
              <w:rPr>
                <w:rFonts w:cs="Arial"/>
              </w:rPr>
            </w:pPr>
            <w:r w:rsidRPr="00324A6D">
              <w:rPr>
                <w:rFonts w:cs="Arial"/>
                <w:color w:val="000000" w:themeColor="text1"/>
              </w:rPr>
              <w:t>No</w:t>
            </w:r>
          </w:p>
        </w:tc>
      </w:tr>
    </w:tbl>
    <w:p w14:paraId="1945DBDF" w14:textId="77777777" w:rsidR="002F1045" w:rsidRPr="006E6390" w:rsidRDefault="002F1045" w:rsidP="002F1045">
      <w:pPr>
        <w:rPr>
          <w:rFonts w:cs="Arial"/>
          <w:lang w:eastAsia="es-MX"/>
        </w:rPr>
      </w:pPr>
    </w:p>
    <w:p w14:paraId="2810C2C5" w14:textId="77777777" w:rsidR="002F1045" w:rsidRPr="006E6390" w:rsidRDefault="002F1045" w:rsidP="002F1045">
      <w:pPr>
        <w:rPr>
          <w:rFonts w:cs="Arial"/>
        </w:rPr>
      </w:pPr>
      <w:r w:rsidRPr="001758DC">
        <w:rPr>
          <w:rFonts w:cs="Arial"/>
          <w:b/>
          <w:bCs/>
        </w:rPr>
        <w:t>Tesorero:</w:t>
      </w:r>
      <w:r w:rsidRPr="006E6390">
        <w:rPr>
          <w:rFonts w:cs="Arial"/>
        </w:rPr>
        <w:t xml:space="preserve"> </w:t>
      </w:r>
      <w:r w:rsidR="00994B3F">
        <w:rPr>
          <w:rFonts w:cs="Arial"/>
        </w:rPr>
        <w:t xml:space="preserve">Máster </w:t>
      </w:r>
      <w:r w:rsidR="0079576B">
        <w:rPr>
          <w:rFonts w:cs="Arial"/>
        </w:rPr>
        <w:t>José Alberto Carpio Solano</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28BA40A1" w14:textId="77777777" w:rsidTr="008509FC">
        <w:tc>
          <w:tcPr>
            <w:tcW w:w="3111" w:type="dxa"/>
          </w:tcPr>
          <w:p w14:paraId="260CC15B" w14:textId="77777777" w:rsidR="002F1045" w:rsidRPr="006E6390" w:rsidRDefault="002F1045" w:rsidP="0015318E">
            <w:pPr>
              <w:spacing w:after="120"/>
              <w:rPr>
                <w:rFonts w:cs="Arial"/>
              </w:rPr>
            </w:pPr>
            <w:r w:rsidRPr="006E6390">
              <w:rPr>
                <w:rFonts w:cs="Arial"/>
              </w:rPr>
              <w:t>Nacionalidad</w:t>
            </w:r>
          </w:p>
        </w:tc>
        <w:tc>
          <w:tcPr>
            <w:tcW w:w="5839" w:type="dxa"/>
          </w:tcPr>
          <w:p w14:paraId="526285F7" w14:textId="77777777" w:rsidR="002F1045" w:rsidRPr="006E6390" w:rsidRDefault="002F1045" w:rsidP="0015318E">
            <w:pPr>
              <w:spacing w:after="120"/>
              <w:rPr>
                <w:rFonts w:cs="Arial"/>
              </w:rPr>
            </w:pPr>
            <w:r w:rsidRPr="006E6390">
              <w:rPr>
                <w:rFonts w:cs="Arial"/>
              </w:rPr>
              <w:t>Costarricense</w:t>
            </w:r>
          </w:p>
        </w:tc>
      </w:tr>
      <w:tr w:rsidR="002F1045" w:rsidRPr="006E6390" w14:paraId="6B5FB551" w14:textId="77777777" w:rsidTr="008509FC">
        <w:tc>
          <w:tcPr>
            <w:tcW w:w="3111" w:type="dxa"/>
          </w:tcPr>
          <w:p w14:paraId="0C4E298C" w14:textId="77777777" w:rsidR="002F1045" w:rsidRPr="006E6390" w:rsidRDefault="002F1045" w:rsidP="0015318E">
            <w:pPr>
              <w:spacing w:after="120"/>
              <w:rPr>
                <w:rFonts w:cs="Arial"/>
              </w:rPr>
            </w:pPr>
            <w:r w:rsidRPr="006E6390">
              <w:rPr>
                <w:rFonts w:cs="Arial"/>
              </w:rPr>
              <w:t>Año de Nacimiento</w:t>
            </w:r>
          </w:p>
        </w:tc>
        <w:tc>
          <w:tcPr>
            <w:tcW w:w="5839" w:type="dxa"/>
          </w:tcPr>
          <w:p w14:paraId="2D9C9728" w14:textId="77777777" w:rsidR="002F1045" w:rsidRPr="006E6390" w:rsidRDefault="002F1045" w:rsidP="0015318E">
            <w:pPr>
              <w:spacing w:after="120"/>
              <w:rPr>
                <w:rFonts w:cs="Arial"/>
              </w:rPr>
            </w:pPr>
            <w:r w:rsidRPr="006E6390">
              <w:rPr>
                <w:rFonts w:cs="Arial"/>
              </w:rPr>
              <w:t>19</w:t>
            </w:r>
            <w:r w:rsidR="00E25D18">
              <w:rPr>
                <w:rFonts w:cs="Arial"/>
              </w:rPr>
              <w:t>63</w:t>
            </w:r>
          </w:p>
        </w:tc>
      </w:tr>
      <w:tr w:rsidR="002F1045" w:rsidRPr="006E6390" w14:paraId="543B19BA" w14:textId="77777777" w:rsidTr="008509FC">
        <w:tc>
          <w:tcPr>
            <w:tcW w:w="3111" w:type="dxa"/>
          </w:tcPr>
          <w:p w14:paraId="51BBD1D2" w14:textId="77777777" w:rsidR="002F1045" w:rsidRPr="006E6390" w:rsidRDefault="002F1045" w:rsidP="0015318E">
            <w:pPr>
              <w:spacing w:after="120"/>
              <w:rPr>
                <w:rFonts w:cs="Arial"/>
              </w:rPr>
            </w:pPr>
            <w:r w:rsidRPr="006E6390">
              <w:rPr>
                <w:rFonts w:cs="Arial"/>
              </w:rPr>
              <w:t>Poderes que ostenta</w:t>
            </w:r>
          </w:p>
        </w:tc>
        <w:tc>
          <w:tcPr>
            <w:tcW w:w="5839" w:type="dxa"/>
          </w:tcPr>
          <w:p w14:paraId="2D6D469F" w14:textId="77777777" w:rsidR="002F1045" w:rsidRPr="006E6390" w:rsidRDefault="002F1045" w:rsidP="0015318E">
            <w:pPr>
              <w:spacing w:after="120"/>
              <w:rPr>
                <w:rFonts w:cs="Arial"/>
              </w:rPr>
            </w:pPr>
            <w:r w:rsidRPr="006E6390">
              <w:rPr>
                <w:rFonts w:cs="Arial"/>
              </w:rPr>
              <w:t>Ninguno</w:t>
            </w:r>
          </w:p>
        </w:tc>
      </w:tr>
      <w:tr w:rsidR="002F1045" w:rsidRPr="006E6390" w14:paraId="4E5F408A" w14:textId="77777777" w:rsidTr="008509FC">
        <w:tc>
          <w:tcPr>
            <w:tcW w:w="3111" w:type="dxa"/>
          </w:tcPr>
          <w:p w14:paraId="7A56D7D9" w14:textId="77777777" w:rsidR="002F1045" w:rsidRPr="006E6390" w:rsidRDefault="002F1045" w:rsidP="0015318E">
            <w:pPr>
              <w:spacing w:after="120"/>
              <w:rPr>
                <w:rFonts w:cs="Arial"/>
              </w:rPr>
            </w:pPr>
            <w:r w:rsidRPr="006E6390">
              <w:rPr>
                <w:rFonts w:cs="Arial"/>
              </w:rPr>
              <w:t>Fecha de nombramiento</w:t>
            </w:r>
          </w:p>
        </w:tc>
        <w:tc>
          <w:tcPr>
            <w:tcW w:w="5839" w:type="dxa"/>
          </w:tcPr>
          <w:p w14:paraId="70A39385" w14:textId="77777777" w:rsidR="002F1045" w:rsidRPr="006E6390" w:rsidRDefault="005E6C1B" w:rsidP="0015318E">
            <w:pPr>
              <w:spacing w:after="120"/>
              <w:rPr>
                <w:rFonts w:cs="Arial"/>
              </w:rPr>
            </w:pPr>
            <w:r>
              <w:rPr>
                <w:rFonts w:cs="Arial"/>
              </w:rPr>
              <w:t>22</w:t>
            </w:r>
            <w:r w:rsidRPr="006E6390">
              <w:rPr>
                <w:rFonts w:cs="Arial"/>
              </w:rPr>
              <w:t xml:space="preserve"> </w:t>
            </w:r>
            <w:r w:rsidR="002F1045" w:rsidRPr="006E6390">
              <w:rPr>
                <w:rFonts w:cs="Arial"/>
              </w:rPr>
              <w:t xml:space="preserve">de </w:t>
            </w:r>
            <w:r>
              <w:rPr>
                <w:rFonts w:cs="Arial"/>
              </w:rPr>
              <w:t>junio</w:t>
            </w:r>
            <w:r w:rsidRPr="006E6390">
              <w:rPr>
                <w:rFonts w:cs="Arial"/>
              </w:rPr>
              <w:t xml:space="preserve"> </w:t>
            </w:r>
            <w:r w:rsidR="002F1045" w:rsidRPr="006E6390">
              <w:rPr>
                <w:rFonts w:cs="Arial"/>
              </w:rPr>
              <w:t xml:space="preserve">de </w:t>
            </w:r>
            <w:r w:rsidRPr="006E6390">
              <w:rPr>
                <w:rFonts w:cs="Arial"/>
              </w:rPr>
              <w:t>202</w:t>
            </w:r>
            <w:r>
              <w:rPr>
                <w:rFonts w:cs="Arial"/>
              </w:rPr>
              <w:t>2</w:t>
            </w:r>
          </w:p>
        </w:tc>
      </w:tr>
      <w:tr w:rsidR="002F1045" w:rsidRPr="006E6390" w14:paraId="64478050" w14:textId="77777777" w:rsidTr="008509FC">
        <w:tc>
          <w:tcPr>
            <w:tcW w:w="3111" w:type="dxa"/>
          </w:tcPr>
          <w:p w14:paraId="373BC546"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0B0BF1CA" w14:textId="77777777" w:rsidR="002F1045" w:rsidRPr="006E6390" w:rsidRDefault="002F1045" w:rsidP="0015318E">
            <w:pPr>
              <w:spacing w:after="120"/>
              <w:rPr>
                <w:rFonts w:cs="Arial"/>
              </w:rPr>
            </w:pPr>
            <w:r w:rsidRPr="006E6390">
              <w:rPr>
                <w:rFonts w:cs="Arial"/>
              </w:rPr>
              <w:t xml:space="preserve">8 de mayo de </w:t>
            </w:r>
            <w:r w:rsidR="00DE7EEA" w:rsidRPr="006E6390">
              <w:rPr>
                <w:rFonts w:cs="Arial"/>
              </w:rPr>
              <w:t>202</w:t>
            </w:r>
            <w:r w:rsidR="00DE7EEA">
              <w:rPr>
                <w:rFonts w:cs="Arial"/>
              </w:rPr>
              <w:t>6</w:t>
            </w:r>
          </w:p>
        </w:tc>
      </w:tr>
      <w:tr w:rsidR="002F1045" w:rsidRPr="006E6390" w14:paraId="5C6B89E4" w14:textId="77777777" w:rsidTr="008509FC">
        <w:tc>
          <w:tcPr>
            <w:tcW w:w="3111" w:type="dxa"/>
          </w:tcPr>
          <w:p w14:paraId="2612642A"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2A9976B3" w14:textId="77777777" w:rsidR="002F1045" w:rsidRPr="006E6390" w:rsidRDefault="002F1045" w:rsidP="0015318E">
            <w:pPr>
              <w:spacing w:after="120"/>
              <w:rPr>
                <w:rFonts w:cs="Arial"/>
              </w:rPr>
            </w:pPr>
            <w:r w:rsidRPr="006E6390">
              <w:rPr>
                <w:rFonts w:cs="Arial"/>
              </w:rPr>
              <w:t>Ninguno</w:t>
            </w:r>
          </w:p>
        </w:tc>
      </w:tr>
      <w:tr w:rsidR="002F1045" w:rsidRPr="006E6390" w14:paraId="29E8DD27" w14:textId="77777777" w:rsidTr="008509FC">
        <w:tc>
          <w:tcPr>
            <w:tcW w:w="3111" w:type="dxa"/>
          </w:tcPr>
          <w:p w14:paraId="2495DA01" w14:textId="77777777" w:rsidR="002F1045" w:rsidRPr="006E6390" w:rsidRDefault="002F1045" w:rsidP="0015318E">
            <w:pPr>
              <w:spacing w:after="120"/>
              <w:rPr>
                <w:rFonts w:cs="Arial"/>
              </w:rPr>
            </w:pPr>
            <w:r w:rsidRPr="006E6390">
              <w:rPr>
                <w:rFonts w:cs="Arial"/>
              </w:rPr>
              <w:t>Currículum</w:t>
            </w:r>
          </w:p>
        </w:tc>
        <w:tc>
          <w:tcPr>
            <w:tcW w:w="5839" w:type="dxa"/>
          </w:tcPr>
          <w:p w14:paraId="23D91A9A" w14:textId="77777777" w:rsidR="00994B3F" w:rsidRDefault="00994B3F" w:rsidP="003B319D">
            <w:pPr>
              <w:spacing w:after="120" w:line="240" w:lineRule="auto"/>
              <w:rPr>
                <w:rFonts w:cs="Arial"/>
              </w:rPr>
            </w:pPr>
            <w:r>
              <w:rPr>
                <w:rFonts w:cs="Arial"/>
              </w:rPr>
              <w:t>Maestría en Administración de Empresas, énfasis en Recursos Humanos, Universidad Latinoamericana de Ciencia y Tecnología (1993)</w:t>
            </w:r>
          </w:p>
          <w:p w14:paraId="5ADE4F4C" w14:textId="77777777" w:rsidR="00994B3F" w:rsidRDefault="00994B3F" w:rsidP="003B319D">
            <w:pPr>
              <w:spacing w:after="120" w:line="240" w:lineRule="auto"/>
              <w:rPr>
                <w:rFonts w:cs="Arial"/>
              </w:rPr>
            </w:pPr>
            <w:r>
              <w:rPr>
                <w:rFonts w:cs="Arial"/>
              </w:rPr>
              <w:t>Postgrado Internacional en Administración de Empresas</w:t>
            </w:r>
            <w:r w:rsidR="006D51AA">
              <w:rPr>
                <w:rFonts w:cs="Arial"/>
              </w:rPr>
              <w:t>, Instituto Centroamericano de Administración de Empresas – INCAE – (1990)</w:t>
            </w:r>
          </w:p>
          <w:p w14:paraId="1D951025" w14:textId="77777777" w:rsidR="004B5812" w:rsidRDefault="004B5812" w:rsidP="003B319D">
            <w:pPr>
              <w:spacing w:after="120" w:line="240" w:lineRule="auto"/>
              <w:rPr>
                <w:rFonts w:cs="Arial"/>
              </w:rPr>
            </w:pPr>
            <w:r>
              <w:rPr>
                <w:rFonts w:cs="Arial"/>
              </w:rPr>
              <w:lastRenderedPageBreak/>
              <w:t>Perito en Seguros, Instituto de Capacitación en Seguros, Instituto Nacional de Seguros – INS – (1990)</w:t>
            </w:r>
          </w:p>
          <w:p w14:paraId="7A9926BE" w14:textId="77777777" w:rsidR="006D51AA" w:rsidRDefault="006D51AA" w:rsidP="003B319D">
            <w:pPr>
              <w:spacing w:after="120" w:line="240" w:lineRule="auto"/>
              <w:rPr>
                <w:rFonts w:cs="Arial"/>
              </w:rPr>
            </w:pPr>
            <w:r>
              <w:rPr>
                <w:rFonts w:cs="Arial"/>
              </w:rPr>
              <w:t>Bachiller en Turismo, Universidad Autónoma de Centroamérica (1988)</w:t>
            </w:r>
          </w:p>
          <w:p w14:paraId="607035EA" w14:textId="77777777" w:rsidR="006D51AA" w:rsidRDefault="006D51AA" w:rsidP="003B319D">
            <w:pPr>
              <w:spacing w:after="120" w:line="240" w:lineRule="auto"/>
              <w:rPr>
                <w:rFonts w:cs="Arial"/>
              </w:rPr>
            </w:pPr>
            <w:r>
              <w:rPr>
                <w:rFonts w:cs="Arial"/>
              </w:rPr>
              <w:t>Prosalud, Salud y Bienestar, Gerente General (agosto 2016 a la fecha)</w:t>
            </w:r>
          </w:p>
          <w:p w14:paraId="4BD14B9E" w14:textId="77777777" w:rsidR="00EF22EC" w:rsidRDefault="00EF22EC" w:rsidP="003B319D">
            <w:pPr>
              <w:spacing w:after="120" w:line="240" w:lineRule="auto"/>
              <w:rPr>
                <w:rFonts w:cs="Arial"/>
              </w:rPr>
            </w:pPr>
            <w:r>
              <w:rPr>
                <w:rFonts w:cs="Arial"/>
              </w:rPr>
              <w:t>Hospital de Trauma, Grupo INS, Jefe de Talento Humano (</w:t>
            </w:r>
            <w:r w:rsidR="001516F9">
              <w:rPr>
                <w:rFonts w:cs="Arial"/>
              </w:rPr>
              <w:t>noviembre 2014-julio 2016)</w:t>
            </w:r>
          </w:p>
          <w:p w14:paraId="374EBEAC" w14:textId="77777777" w:rsidR="001516F9" w:rsidRDefault="00EF22EC" w:rsidP="003B319D">
            <w:pPr>
              <w:spacing w:after="120" w:line="240" w:lineRule="auto"/>
              <w:rPr>
                <w:rFonts w:cs="Arial"/>
              </w:rPr>
            </w:pPr>
            <w:r>
              <w:rPr>
                <w:rFonts w:cs="Arial"/>
              </w:rPr>
              <w:t xml:space="preserve">Jefe de Proyectos Costa Rica, Asociación Chilena de Seguridad / Hospital del Trauma </w:t>
            </w:r>
            <w:r w:rsidR="001516F9">
              <w:rPr>
                <w:rFonts w:cs="Arial"/>
              </w:rPr>
              <w:t>octubre 2012 – noviembre 2014)</w:t>
            </w:r>
          </w:p>
          <w:p w14:paraId="62F590E4" w14:textId="77777777" w:rsidR="00EF22EC" w:rsidRDefault="00EF22EC" w:rsidP="003B319D">
            <w:pPr>
              <w:spacing w:after="120" w:line="240" w:lineRule="auto"/>
              <w:rPr>
                <w:rFonts w:cs="Arial"/>
              </w:rPr>
            </w:pPr>
            <w:r>
              <w:rPr>
                <w:rFonts w:cs="Arial"/>
              </w:rPr>
              <w:t>Hospital Jerusalem, Gerente General (agosto-sept. 2010)</w:t>
            </w:r>
          </w:p>
          <w:p w14:paraId="01C474D1" w14:textId="77777777" w:rsidR="00EF22EC" w:rsidRDefault="00EF22EC" w:rsidP="003B319D">
            <w:pPr>
              <w:spacing w:after="120" w:line="240" w:lineRule="auto"/>
              <w:rPr>
                <w:rFonts w:cs="Arial"/>
              </w:rPr>
            </w:pPr>
            <w:r>
              <w:rPr>
                <w:rFonts w:cs="Arial"/>
              </w:rPr>
              <w:t>Grupo Santa Catalina, Gerente Financiero-Administrativo, Director de Proyectos (</w:t>
            </w:r>
            <w:r w:rsidR="001516F9">
              <w:rPr>
                <w:rFonts w:cs="Arial"/>
              </w:rPr>
              <w:t>agosto 2000-septiembre 2010</w:t>
            </w:r>
            <w:r>
              <w:rPr>
                <w:rFonts w:cs="Arial"/>
              </w:rPr>
              <w:t>)</w:t>
            </w:r>
          </w:p>
          <w:p w14:paraId="68C21E4F" w14:textId="77777777" w:rsidR="001516F9" w:rsidRDefault="001516F9" w:rsidP="003B319D">
            <w:pPr>
              <w:spacing w:after="120" w:line="240" w:lineRule="auto"/>
              <w:rPr>
                <w:rFonts w:cs="Arial"/>
              </w:rPr>
            </w:pPr>
            <w:r>
              <w:rPr>
                <w:rFonts w:cs="Arial"/>
              </w:rPr>
              <w:t>Corporación As de Oros, Director de la División Administrativa (1994-1996)</w:t>
            </w:r>
          </w:p>
          <w:p w14:paraId="7A11B93B" w14:textId="77777777" w:rsidR="001516F9" w:rsidRDefault="001516F9" w:rsidP="003B319D">
            <w:pPr>
              <w:spacing w:after="120" w:line="240" w:lineRule="auto"/>
              <w:rPr>
                <w:rFonts w:cs="Arial"/>
              </w:rPr>
            </w:pPr>
            <w:r>
              <w:rPr>
                <w:rFonts w:cs="Arial"/>
              </w:rPr>
              <w:t>Instituto Nacional de Seguros</w:t>
            </w:r>
            <w:r w:rsidR="00EC1F9B">
              <w:rPr>
                <w:rFonts w:cs="Arial"/>
              </w:rPr>
              <w:t>, varios cargos (1981-1994)</w:t>
            </w:r>
          </w:p>
          <w:p w14:paraId="14FBF8EF" w14:textId="77777777" w:rsidR="001516F9" w:rsidRDefault="001516F9" w:rsidP="003B319D">
            <w:pPr>
              <w:spacing w:after="120" w:line="240" w:lineRule="auto"/>
              <w:rPr>
                <w:rFonts w:cs="Arial"/>
              </w:rPr>
            </w:pPr>
          </w:p>
          <w:p w14:paraId="21899CE7" w14:textId="77777777" w:rsidR="001516F9" w:rsidRDefault="001516F9" w:rsidP="003B319D">
            <w:pPr>
              <w:spacing w:after="120" w:line="240" w:lineRule="auto"/>
              <w:rPr>
                <w:rFonts w:cs="Arial"/>
              </w:rPr>
            </w:pPr>
            <w:r>
              <w:rPr>
                <w:rFonts w:cs="Arial"/>
              </w:rPr>
              <w:t>Universidad Latina de Costa Rica, Decano de la Facultad de Ciencias Económicas y Administrativas, Director General de Programas de Postgrado (1997-2001)</w:t>
            </w:r>
          </w:p>
          <w:p w14:paraId="3755069C" w14:textId="77777777" w:rsidR="006D51AA" w:rsidRDefault="006D51AA" w:rsidP="003B319D">
            <w:pPr>
              <w:spacing w:after="120" w:line="240" w:lineRule="auto"/>
              <w:rPr>
                <w:rFonts w:cs="Arial"/>
              </w:rPr>
            </w:pPr>
            <w:r>
              <w:rPr>
                <w:rFonts w:cs="Arial"/>
              </w:rPr>
              <w:t>Profesor Escuela de Ingeniería Química, Universidad de Costa Rica</w:t>
            </w:r>
          </w:p>
          <w:p w14:paraId="53EB6D75" w14:textId="77777777" w:rsidR="006D51AA" w:rsidRDefault="006D51AA" w:rsidP="003B319D">
            <w:pPr>
              <w:spacing w:after="120" w:line="240" w:lineRule="auto"/>
              <w:rPr>
                <w:rFonts w:cs="Arial"/>
              </w:rPr>
            </w:pPr>
            <w:r>
              <w:rPr>
                <w:rFonts w:cs="Arial"/>
              </w:rPr>
              <w:t>Profesor en Maestría en Recursos Humanos, Universidad Nacional</w:t>
            </w:r>
          </w:p>
          <w:p w14:paraId="09D2F2BB" w14:textId="77777777" w:rsidR="006D51AA" w:rsidRDefault="006D51AA" w:rsidP="003B319D">
            <w:pPr>
              <w:spacing w:after="120" w:line="240" w:lineRule="auto"/>
              <w:rPr>
                <w:rFonts w:cs="Arial"/>
              </w:rPr>
            </w:pPr>
            <w:r>
              <w:rPr>
                <w:rFonts w:cs="Arial"/>
              </w:rPr>
              <w:t>Profesor de Maestría en Servicios de Salud Sostenibles, UNED</w:t>
            </w:r>
          </w:p>
          <w:p w14:paraId="7CB69F82" w14:textId="77777777" w:rsidR="006D51AA" w:rsidRDefault="006D51AA" w:rsidP="001758DC">
            <w:pPr>
              <w:spacing w:after="0" w:line="240" w:lineRule="auto"/>
              <w:rPr>
                <w:rFonts w:cs="Arial"/>
              </w:rPr>
            </w:pPr>
            <w:r>
              <w:rPr>
                <w:rFonts w:cs="Arial"/>
              </w:rPr>
              <w:t>Consultor Internacional en Planificación, Estrategia, Rediseño Organizacional, Talento Humano; Liderazgo y Formación de equipos de trabajo.</w:t>
            </w:r>
          </w:p>
          <w:p w14:paraId="05124B8C" w14:textId="77777777" w:rsidR="002F1045" w:rsidRPr="006E6390" w:rsidRDefault="002F1045" w:rsidP="003B319D">
            <w:pPr>
              <w:spacing w:after="120" w:line="240" w:lineRule="auto"/>
              <w:rPr>
                <w:rFonts w:cs="Arial"/>
              </w:rPr>
            </w:pPr>
          </w:p>
        </w:tc>
      </w:tr>
      <w:tr w:rsidR="002F1045" w:rsidRPr="006E6390" w14:paraId="5D05F434" w14:textId="77777777" w:rsidTr="008509FC">
        <w:tc>
          <w:tcPr>
            <w:tcW w:w="3111" w:type="dxa"/>
          </w:tcPr>
          <w:p w14:paraId="6578E9D9"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6AB00B03" w14:textId="77777777" w:rsidR="003B319D" w:rsidRPr="003B319D" w:rsidRDefault="003B319D" w:rsidP="003B319D">
            <w:pPr>
              <w:shd w:val="clear" w:color="auto" w:fill="FFFFFF"/>
              <w:spacing w:after="0" w:line="240" w:lineRule="auto"/>
              <w:jc w:val="left"/>
              <w:rPr>
                <w:rFonts w:cs="Arial"/>
                <w:color w:val="222222"/>
              </w:rPr>
            </w:pPr>
            <w:r w:rsidRPr="003B319D">
              <w:rPr>
                <w:rFonts w:cs="Arial"/>
                <w:color w:val="222222"/>
              </w:rPr>
              <w:t>Farmacias Prosalud CRC</w:t>
            </w:r>
          </w:p>
          <w:p w14:paraId="7EA3627B" w14:textId="77777777" w:rsidR="002F1045" w:rsidRPr="006E6390" w:rsidRDefault="003B319D" w:rsidP="00D2794B">
            <w:pPr>
              <w:shd w:val="clear" w:color="auto" w:fill="FFFFFF"/>
              <w:spacing w:after="0" w:line="240" w:lineRule="auto"/>
              <w:jc w:val="left"/>
              <w:rPr>
                <w:rFonts w:cs="Arial"/>
              </w:rPr>
            </w:pPr>
            <w:r w:rsidRPr="003B319D">
              <w:rPr>
                <w:rFonts w:cs="Arial"/>
                <w:color w:val="222222"/>
              </w:rPr>
              <w:t>Clìnicas Prosalud CRC</w:t>
            </w:r>
          </w:p>
        </w:tc>
      </w:tr>
    </w:tbl>
    <w:p w14:paraId="487661E8" w14:textId="77777777" w:rsidR="002F1045" w:rsidRPr="006E6390" w:rsidRDefault="002F1045" w:rsidP="002F1045">
      <w:pPr>
        <w:rPr>
          <w:rFonts w:cs="Arial"/>
        </w:rPr>
      </w:pPr>
    </w:p>
    <w:p w14:paraId="0096D428" w14:textId="77777777" w:rsidR="002F1045" w:rsidRPr="000A37F1" w:rsidRDefault="002F1045" w:rsidP="002F1045">
      <w:pPr>
        <w:rPr>
          <w:rFonts w:cs="Arial"/>
        </w:rPr>
      </w:pPr>
      <w:r w:rsidRPr="001758DC">
        <w:rPr>
          <w:rFonts w:cs="Arial"/>
          <w:b/>
          <w:bCs/>
        </w:rPr>
        <w:t>Vocal 1:</w:t>
      </w:r>
      <w:r w:rsidRPr="000A37F1">
        <w:rPr>
          <w:rFonts w:cs="Arial"/>
        </w:rPr>
        <w:t xml:space="preserve"> </w:t>
      </w:r>
      <w:r w:rsidR="000A37F1" w:rsidRPr="000A37F1">
        <w:rPr>
          <w:rFonts w:cs="Arial"/>
        </w:rPr>
        <w:t>MBA Liseth Hernández Cordero</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1023A3DA" w14:textId="77777777" w:rsidTr="008509FC">
        <w:tc>
          <w:tcPr>
            <w:tcW w:w="3111" w:type="dxa"/>
          </w:tcPr>
          <w:p w14:paraId="3555B1F6" w14:textId="77777777" w:rsidR="002F1045" w:rsidRPr="006E6390" w:rsidRDefault="002F1045" w:rsidP="0015318E">
            <w:pPr>
              <w:spacing w:after="120"/>
              <w:rPr>
                <w:rFonts w:cs="Arial"/>
              </w:rPr>
            </w:pPr>
            <w:r w:rsidRPr="006E6390">
              <w:rPr>
                <w:rFonts w:cs="Arial"/>
              </w:rPr>
              <w:t>Nacionalidad</w:t>
            </w:r>
          </w:p>
        </w:tc>
        <w:tc>
          <w:tcPr>
            <w:tcW w:w="5839" w:type="dxa"/>
          </w:tcPr>
          <w:p w14:paraId="33990362" w14:textId="77777777" w:rsidR="002F1045" w:rsidRPr="006E6390" w:rsidRDefault="002F1045" w:rsidP="0015318E">
            <w:pPr>
              <w:spacing w:after="120"/>
              <w:rPr>
                <w:rFonts w:cs="Arial"/>
              </w:rPr>
            </w:pPr>
            <w:r w:rsidRPr="006E6390">
              <w:rPr>
                <w:rFonts w:cs="Arial"/>
              </w:rPr>
              <w:t>Costarricense</w:t>
            </w:r>
          </w:p>
        </w:tc>
      </w:tr>
      <w:tr w:rsidR="002F1045" w:rsidRPr="006E6390" w14:paraId="5B6AE712" w14:textId="77777777" w:rsidTr="008509FC">
        <w:tc>
          <w:tcPr>
            <w:tcW w:w="3111" w:type="dxa"/>
          </w:tcPr>
          <w:p w14:paraId="4251AAD7" w14:textId="77777777" w:rsidR="002F1045" w:rsidRPr="006E6390" w:rsidRDefault="002F1045" w:rsidP="0015318E">
            <w:pPr>
              <w:spacing w:after="120"/>
              <w:rPr>
                <w:rFonts w:cs="Arial"/>
              </w:rPr>
            </w:pPr>
            <w:r w:rsidRPr="006E6390">
              <w:rPr>
                <w:rFonts w:cs="Arial"/>
              </w:rPr>
              <w:t>Año de Nacimiento</w:t>
            </w:r>
          </w:p>
        </w:tc>
        <w:tc>
          <w:tcPr>
            <w:tcW w:w="5839" w:type="dxa"/>
          </w:tcPr>
          <w:p w14:paraId="5213C49F" w14:textId="77777777" w:rsidR="002F1045" w:rsidRPr="006E6390" w:rsidRDefault="002F1045" w:rsidP="0015318E">
            <w:pPr>
              <w:spacing w:after="120"/>
              <w:rPr>
                <w:rFonts w:cs="Arial"/>
              </w:rPr>
            </w:pPr>
            <w:r w:rsidRPr="006E6390">
              <w:rPr>
                <w:rFonts w:cs="Arial"/>
              </w:rPr>
              <w:t>19</w:t>
            </w:r>
            <w:r w:rsidR="00955449">
              <w:rPr>
                <w:rFonts w:cs="Arial"/>
              </w:rPr>
              <w:t>93</w:t>
            </w:r>
          </w:p>
        </w:tc>
      </w:tr>
      <w:tr w:rsidR="002F1045" w:rsidRPr="006E6390" w14:paraId="3A34D269" w14:textId="77777777" w:rsidTr="008509FC">
        <w:tc>
          <w:tcPr>
            <w:tcW w:w="3111" w:type="dxa"/>
          </w:tcPr>
          <w:p w14:paraId="2F2F792D" w14:textId="77777777" w:rsidR="002F1045" w:rsidRPr="006E6390" w:rsidRDefault="002F1045" w:rsidP="0015318E">
            <w:pPr>
              <w:spacing w:after="120"/>
              <w:rPr>
                <w:rFonts w:cs="Arial"/>
              </w:rPr>
            </w:pPr>
            <w:r w:rsidRPr="006E6390">
              <w:rPr>
                <w:rFonts w:cs="Arial"/>
              </w:rPr>
              <w:t>Poderes que ostenta</w:t>
            </w:r>
          </w:p>
        </w:tc>
        <w:tc>
          <w:tcPr>
            <w:tcW w:w="5839" w:type="dxa"/>
          </w:tcPr>
          <w:p w14:paraId="4B4892CE" w14:textId="77777777" w:rsidR="002F1045" w:rsidRPr="006E6390" w:rsidRDefault="002F1045" w:rsidP="0015318E">
            <w:pPr>
              <w:spacing w:after="120"/>
              <w:rPr>
                <w:rFonts w:cs="Arial"/>
              </w:rPr>
            </w:pPr>
            <w:r w:rsidRPr="006E6390">
              <w:rPr>
                <w:rFonts w:cs="Arial"/>
              </w:rPr>
              <w:t>Ninguno</w:t>
            </w:r>
          </w:p>
        </w:tc>
      </w:tr>
      <w:tr w:rsidR="002F1045" w:rsidRPr="006E6390" w14:paraId="767CFB8F" w14:textId="77777777" w:rsidTr="008509FC">
        <w:tc>
          <w:tcPr>
            <w:tcW w:w="3111" w:type="dxa"/>
          </w:tcPr>
          <w:p w14:paraId="1778DD5D" w14:textId="77777777" w:rsidR="002F1045" w:rsidRPr="006E6390" w:rsidRDefault="002F1045" w:rsidP="0015318E">
            <w:pPr>
              <w:spacing w:after="120"/>
              <w:rPr>
                <w:rFonts w:cs="Arial"/>
              </w:rPr>
            </w:pPr>
            <w:r w:rsidRPr="006E6390">
              <w:rPr>
                <w:rFonts w:cs="Arial"/>
              </w:rPr>
              <w:lastRenderedPageBreak/>
              <w:t>Fecha de nombramiento</w:t>
            </w:r>
          </w:p>
        </w:tc>
        <w:tc>
          <w:tcPr>
            <w:tcW w:w="5839" w:type="dxa"/>
          </w:tcPr>
          <w:p w14:paraId="12D0FCC0" w14:textId="77777777" w:rsidR="002F1045" w:rsidRPr="006E6390" w:rsidRDefault="002F1045" w:rsidP="0015318E">
            <w:pPr>
              <w:spacing w:after="120"/>
              <w:rPr>
                <w:rFonts w:cs="Arial"/>
              </w:rPr>
            </w:pPr>
            <w:r w:rsidRPr="006E6390">
              <w:rPr>
                <w:rFonts w:cs="Arial"/>
              </w:rPr>
              <w:t xml:space="preserve">26 de </w:t>
            </w:r>
            <w:r w:rsidR="000A37F1">
              <w:rPr>
                <w:rFonts w:cs="Arial"/>
              </w:rPr>
              <w:t xml:space="preserve">septiembre </w:t>
            </w:r>
            <w:r w:rsidRPr="006E6390">
              <w:rPr>
                <w:rFonts w:cs="Arial"/>
              </w:rPr>
              <w:t xml:space="preserve">de </w:t>
            </w:r>
            <w:r w:rsidR="000A37F1" w:rsidRPr="006E6390">
              <w:rPr>
                <w:rFonts w:cs="Arial"/>
              </w:rPr>
              <w:t>20</w:t>
            </w:r>
            <w:r w:rsidR="000A37F1">
              <w:rPr>
                <w:rFonts w:cs="Arial"/>
              </w:rPr>
              <w:t>22</w:t>
            </w:r>
          </w:p>
        </w:tc>
      </w:tr>
      <w:tr w:rsidR="002F1045" w:rsidRPr="006E6390" w14:paraId="30101B73" w14:textId="77777777" w:rsidTr="008509FC">
        <w:tc>
          <w:tcPr>
            <w:tcW w:w="3111" w:type="dxa"/>
          </w:tcPr>
          <w:p w14:paraId="33CB846D"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21A41D98" w14:textId="77777777" w:rsidR="002F1045" w:rsidRPr="006E6390" w:rsidRDefault="002F1045" w:rsidP="0015318E">
            <w:pPr>
              <w:spacing w:after="120"/>
              <w:rPr>
                <w:rFonts w:cs="Arial"/>
              </w:rPr>
            </w:pPr>
            <w:r w:rsidRPr="006E6390">
              <w:rPr>
                <w:rFonts w:cs="Arial"/>
              </w:rPr>
              <w:t xml:space="preserve">8 de mayo de </w:t>
            </w:r>
            <w:r w:rsidR="00F55A50" w:rsidRPr="006E6390">
              <w:rPr>
                <w:rFonts w:cs="Arial"/>
              </w:rPr>
              <w:t>202</w:t>
            </w:r>
            <w:r w:rsidR="00F55A50">
              <w:rPr>
                <w:rFonts w:cs="Arial"/>
              </w:rPr>
              <w:t>6</w:t>
            </w:r>
          </w:p>
        </w:tc>
      </w:tr>
      <w:tr w:rsidR="002F1045" w:rsidRPr="006E6390" w14:paraId="4295AE81" w14:textId="77777777" w:rsidTr="008509FC">
        <w:tc>
          <w:tcPr>
            <w:tcW w:w="3111" w:type="dxa"/>
          </w:tcPr>
          <w:p w14:paraId="74F9CC56"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2E20FCF9" w14:textId="77777777" w:rsidR="002F1045" w:rsidRPr="006E6390" w:rsidRDefault="002F1045" w:rsidP="0015318E">
            <w:pPr>
              <w:spacing w:after="120"/>
              <w:rPr>
                <w:rFonts w:cs="Arial"/>
              </w:rPr>
            </w:pPr>
            <w:r w:rsidRPr="006E6390">
              <w:rPr>
                <w:rFonts w:cs="Arial"/>
              </w:rPr>
              <w:t>No</w:t>
            </w:r>
          </w:p>
        </w:tc>
      </w:tr>
      <w:tr w:rsidR="002F1045" w:rsidRPr="006E6390" w14:paraId="063B7ACB" w14:textId="77777777" w:rsidTr="008509FC">
        <w:tc>
          <w:tcPr>
            <w:tcW w:w="3111" w:type="dxa"/>
          </w:tcPr>
          <w:p w14:paraId="035460BC" w14:textId="77777777" w:rsidR="002F1045" w:rsidRPr="006E6390" w:rsidRDefault="002F1045" w:rsidP="0015318E">
            <w:pPr>
              <w:spacing w:after="120"/>
              <w:rPr>
                <w:rFonts w:cs="Arial"/>
              </w:rPr>
            </w:pPr>
            <w:r w:rsidRPr="006E6390">
              <w:rPr>
                <w:rFonts w:cs="Arial"/>
              </w:rPr>
              <w:t>Currículum</w:t>
            </w:r>
          </w:p>
        </w:tc>
        <w:tc>
          <w:tcPr>
            <w:tcW w:w="5839" w:type="dxa"/>
          </w:tcPr>
          <w:p w14:paraId="570FC5EA" w14:textId="77777777" w:rsidR="002F1045" w:rsidRPr="006E6390" w:rsidRDefault="00BA5387" w:rsidP="0015318E">
            <w:pPr>
              <w:spacing w:after="120"/>
              <w:rPr>
                <w:rFonts w:eastAsia="Calibri" w:cs="Arial"/>
                <w:lang w:val="es-ES"/>
              </w:rPr>
            </w:pPr>
            <w:r>
              <w:rPr>
                <w:rFonts w:eastAsia="Calibri" w:cs="Arial"/>
                <w:lang w:val="es-ES"/>
              </w:rPr>
              <w:t>Licenciatura en Ingeniería Civil</w:t>
            </w:r>
            <w:r w:rsidR="002F1045" w:rsidRPr="006E6390">
              <w:rPr>
                <w:rFonts w:eastAsia="Calibri" w:cs="Arial"/>
                <w:lang w:val="es-ES"/>
              </w:rPr>
              <w:t>, Universidad de Costa Rica</w:t>
            </w:r>
            <w:r>
              <w:rPr>
                <w:rFonts w:eastAsia="Calibri" w:cs="Arial"/>
                <w:lang w:val="es-ES"/>
              </w:rPr>
              <w:t xml:space="preserve"> (2017)</w:t>
            </w:r>
            <w:r w:rsidR="002F1045" w:rsidRPr="006E6390">
              <w:rPr>
                <w:rFonts w:eastAsia="Calibri" w:cs="Arial"/>
                <w:lang w:val="es-ES"/>
              </w:rPr>
              <w:t>.</w:t>
            </w:r>
          </w:p>
          <w:p w14:paraId="13289601" w14:textId="77777777" w:rsidR="002F1045" w:rsidRPr="006E6390" w:rsidRDefault="002F1045" w:rsidP="0015318E">
            <w:pPr>
              <w:spacing w:after="120"/>
              <w:rPr>
                <w:rFonts w:eastAsia="Calibri" w:cs="Arial"/>
                <w:lang w:val="es-ES"/>
              </w:rPr>
            </w:pPr>
            <w:r w:rsidRPr="006E6390">
              <w:rPr>
                <w:rFonts w:eastAsia="Calibri" w:cs="Arial"/>
                <w:lang w:val="es-ES"/>
              </w:rPr>
              <w:t xml:space="preserve">Maestría </w:t>
            </w:r>
            <w:r w:rsidR="00BA5387">
              <w:rPr>
                <w:rFonts w:eastAsia="Calibri" w:cs="Arial"/>
                <w:lang w:val="es-ES"/>
              </w:rPr>
              <w:t>en Administración de Negocios con énfasis en Gerencia (MBA)</w:t>
            </w:r>
            <w:r w:rsidRPr="006E6390">
              <w:rPr>
                <w:rFonts w:eastAsia="Calibri" w:cs="Arial"/>
                <w:lang w:val="es-ES"/>
              </w:rPr>
              <w:t>, Universidad de Costa Rica</w:t>
            </w:r>
            <w:r w:rsidR="00BA5387">
              <w:rPr>
                <w:rFonts w:eastAsia="Calibri" w:cs="Arial"/>
                <w:lang w:val="es-ES"/>
              </w:rPr>
              <w:t xml:space="preserve"> (2022)</w:t>
            </w:r>
            <w:r w:rsidRPr="006E6390">
              <w:rPr>
                <w:rFonts w:eastAsia="Calibri" w:cs="Arial"/>
                <w:lang w:val="es-ES"/>
              </w:rPr>
              <w:t>.</w:t>
            </w:r>
          </w:p>
          <w:p w14:paraId="170F4F60" w14:textId="77777777" w:rsidR="00010781" w:rsidRDefault="000F51E3" w:rsidP="0015318E">
            <w:pPr>
              <w:spacing w:after="120"/>
              <w:rPr>
                <w:rFonts w:eastAsia="Calibri" w:cs="Arial"/>
                <w:lang w:val="es-ES"/>
              </w:rPr>
            </w:pPr>
            <w:r>
              <w:rPr>
                <w:rFonts w:eastAsia="Calibri" w:cs="Arial"/>
                <w:lang w:val="es-ES"/>
              </w:rPr>
              <w:t>Incorporada al Colegio de Ingenieros y Arquitectos de Costa Rica (IC-30293)</w:t>
            </w:r>
          </w:p>
          <w:p w14:paraId="4164D364" w14:textId="77777777" w:rsidR="000F51E3" w:rsidRDefault="000F51E3" w:rsidP="0015318E">
            <w:pPr>
              <w:spacing w:after="120"/>
              <w:rPr>
                <w:rFonts w:eastAsia="Calibri" w:cs="Arial"/>
                <w:lang w:val="es-ES"/>
              </w:rPr>
            </w:pPr>
            <w:r>
              <w:rPr>
                <w:rFonts w:eastAsia="Calibri" w:cs="Arial"/>
                <w:lang w:val="es-ES"/>
              </w:rPr>
              <w:t>Ingeniera de Aplicaciones Autodesk, SONDA (julio 2021 a la fecha)</w:t>
            </w:r>
          </w:p>
          <w:p w14:paraId="540E8209" w14:textId="77777777" w:rsidR="000F51E3" w:rsidRDefault="000F51E3" w:rsidP="0015318E">
            <w:pPr>
              <w:spacing w:after="120"/>
              <w:rPr>
                <w:rFonts w:eastAsia="Calibri" w:cs="Arial"/>
                <w:lang w:val="es-ES"/>
              </w:rPr>
            </w:pPr>
            <w:r>
              <w:rPr>
                <w:rFonts w:eastAsia="Calibri" w:cs="Arial"/>
                <w:lang w:val="es-ES"/>
              </w:rPr>
              <w:t>Fundación Promotora de la Vivienda - FUPROVI -, Ingeniera de Administración de Proyectos en Diseño de Infraestructura y Trámites (junio 2019-enero 2021)</w:t>
            </w:r>
          </w:p>
          <w:p w14:paraId="4B9F83E3" w14:textId="77777777" w:rsidR="000F51E3" w:rsidRDefault="000F51E3" w:rsidP="0015318E">
            <w:pPr>
              <w:spacing w:after="120"/>
              <w:rPr>
                <w:rFonts w:eastAsia="Calibri" w:cs="Arial"/>
                <w:lang w:val="es-ES"/>
              </w:rPr>
            </w:pPr>
            <w:r>
              <w:rPr>
                <w:rFonts w:eastAsia="Calibri" w:cs="Arial"/>
                <w:lang w:val="es-ES"/>
              </w:rPr>
              <w:t>Instituto Costarricense de Acueductos y Alcantarillados, Ingeniera en Proyecto RANC-EE (mayo 2018-junio 2019)</w:t>
            </w:r>
          </w:p>
          <w:p w14:paraId="41937587" w14:textId="77777777" w:rsidR="000F51E3" w:rsidRDefault="000F51E3" w:rsidP="001758DC">
            <w:pPr>
              <w:spacing w:after="0"/>
              <w:rPr>
                <w:rFonts w:eastAsia="Calibri" w:cs="Arial"/>
                <w:lang w:val="es-ES"/>
              </w:rPr>
            </w:pPr>
            <w:r>
              <w:rPr>
                <w:rFonts w:eastAsia="Calibri" w:cs="Arial"/>
                <w:lang w:val="es-ES"/>
              </w:rPr>
              <w:t>DEHC S.A., Ingeniera de diseño de Infraestructura Civil (marzo 2017-mayo 2018)</w:t>
            </w:r>
          </w:p>
          <w:p w14:paraId="5110A29E" w14:textId="77777777" w:rsidR="002F1045" w:rsidRPr="006E6390" w:rsidRDefault="002F1045" w:rsidP="0015318E">
            <w:pPr>
              <w:spacing w:after="120"/>
              <w:rPr>
                <w:rFonts w:cs="Arial"/>
              </w:rPr>
            </w:pPr>
          </w:p>
        </w:tc>
      </w:tr>
      <w:tr w:rsidR="002F1045" w:rsidRPr="006E6390" w14:paraId="3F3B9EEF" w14:textId="77777777" w:rsidTr="008509FC">
        <w:tc>
          <w:tcPr>
            <w:tcW w:w="3111" w:type="dxa"/>
          </w:tcPr>
          <w:p w14:paraId="32E266BC"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328BFB7C" w14:textId="77777777" w:rsidR="002F1045" w:rsidRPr="006E6390" w:rsidRDefault="002F1045" w:rsidP="0015318E">
            <w:pPr>
              <w:spacing w:after="120"/>
              <w:rPr>
                <w:rFonts w:cs="Arial"/>
              </w:rPr>
            </w:pPr>
            <w:r w:rsidRPr="006E6390">
              <w:rPr>
                <w:rFonts w:cs="Arial"/>
              </w:rPr>
              <w:t>No</w:t>
            </w:r>
          </w:p>
        </w:tc>
      </w:tr>
    </w:tbl>
    <w:p w14:paraId="6D4D1D53" w14:textId="77777777" w:rsidR="002F1045" w:rsidRPr="006E6390" w:rsidRDefault="002F1045" w:rsidP="002F1045">
      <w:pPr>
        <w:rPr>
          <w:rFonts w:cs="Arial"/>
        </w:rPr>
      </w:pPr>
    </w:p>
    <w:p w14:paraId="426AE593" w14:textId="77777777" w:rsidR="002F1045" w:rsidRPr="006E6390" w:rsidRDefault="002F1045" w:rsidP="002F1045">
      <w:pPr>
        <w:rPr>
          <w:rFonts w:cs="Arial"/>
        </w:rPr>
      </w:pPr>
      <w:r w:rsidRPr="001758DC">
        <w:rPr>
          <w:rFonts w:cs="Arial"/>
          <w:b/>
          <w:bCs/>
        </w:rPr>
        <w:t>Vocal 2:</w:t>
      </w:r>
      <w:r w:rsidRPr="006E6390">
        <w:rPr>
          <w:rFonts w:cs="Arial"/>
        </w:rPr>
        <w:t xml:space="preserve"> </w:t>
      </w:r>
      <w:r w:rsidR="00B4063E">
        <w:rPr>
          <w:rFonts w:cs="Arial"/>
        </w:rPr>
        <w:t xml:space="preserve">Ing. </w:t>
      </w:r>
      <w:r w:rsidR="00B603D1">
        <w:rPr>
          <w:rFonts w:cs="Arial"/>
        </w:rPr>
        <w:t>Mihaela Mónica Dobrinescu Dobrinescu</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06A7E6BE" w14:textId="77777777" w:rsidTr="008509FC">
        <w:tc>
          <w:tcPr>
            <w:tcW w:w="3111" w:type="dxa"/>
          </w:tcPr>
          <w:p w14:paraId="19F60BF3" w14:textId="77777777" w:rsidR="002F1045" w:rsidRPr="006E6390" w:rsidRDefault="002F1045" w:rsidP="0015318E">
            <w:pPr>
              <w:spacing w:after="120"/>
              <w:rPr>
                <w:rFonts w:cs="Arial"/>
              </w:rPr>
            </w:pPr>
            <w:r w:rsidRPr="006E6390">
              <w:rPr>
                <w:rFonts w:cs="Arial"/>
              </w:rPr>
              <w:t>Nacionalidad</w:t>
            </w:r>
          </w:p>
        </w:tc>
        <w:tc>
          <w:tcPr>
            <w:tcW w:w="5839" w:type="dxa"/>
          </w:tcPr>
          <w:p w14:paraId="0F353110" w14:textId="77777777" w:rsidR="002F1045" w:rsidRPr="006E6390" w:rsidRDefault="002F1045" w:rsidP="0015318E">
            <w:pPr>
              <w:spacing w:after="120"/>
              <w:rPr>
                <w:rFonts w:cs="Arial"/>
              </w:rPr>
            </w:pPr>
            <w:r w:rsidRPr="006E6390">
              <w:rPr>
                <w:rFonts w:cs="Arial"/>
              </w:rPr>
              <w:t>Costarricense</w:t>
            </w:r>
            <w:r w:rsidR="00256281">
              <w:rPr>
                <w:rFonts w:cs="Arial"/>
              </w:rPr>
              <w:t xml:space="preserve"> y Rumana</w:t>
            </w:r>
          </w:p>
        </w:tc>
      </w:tr>
      <w:tr w:rsidR="002F1045" w:rsidRPr="006E6390" w14:paraId="7E266C55" w14:textId="77777777" w:rsidTr="008509FC">
        <w:tc>
          <w:tcPr>
            <w:tcW w:w="3111" w:type="dxa"/>
          </w:tcPr>
          <w:p w14:paraId="724BB5C7" w14:textId="77777777" w:rsidR="002F1045" w:rsidRPr="006E6390" w:rsidRDefault="002F1045" w:rsidP="0015318E">
            <w:pPr>
              <w:spacing w:after="120"/>
              <w:rPr>
                <w:rFonts w:cs="Arial"/>
              </w:rPr>
            </w:pPr>
            <w:r w:rsidRPr="006E6390">
              <w:rPr>
                <w:rFonts w:cs="Arial"/>
              </w:rPr>
              <w:t>Año de Nacimiento</w:t>
            </w:r>
          </w:p>
        </w:tc>
        <w:tc>
          <w:tcPr>
            <w:tcW w:w="5839" w:type="dxa"/>
          </w:tcPr>
          <w:p w14:paraId="5D897A51" w14:textId="77777777" w:rsidR="002F1045" w:rsidRPr="006E6390" w:rsidRDefault="004634DF" w:rsidP="0015318E">
            <w:pPr>
              <w:spacing w:after="120"/>
              <w:rPr>
                <w:rFonts w:cs="Arial"/>
              </w:rPr>
            </w:pPr>
            <w:r w:rsidRPr="006E6390">
              <w:rPr>
                <w:rFonts w:cs="Arial"/>
              </w:rPr>
              <w:t>195</w:t>
            </w:r>
            <w:r>
              <w:rPr>
                <w:rFonts w:cs="Arial"/>
              </w:rPr>
              <w:t>5</w:t>
            </w:r>
          </w:p>
        </w:tc>
      </w:tr>
      <w:tr w:rsidR="002F1045" w:rsidRPr="006E6390" w14:paraId="3F953658" w14:textId="77777777" w:rsidTr="008509FC">
        <w:tc>
          <w:tcPr>
            <w:tcW w:w="3111" w:type="dxa"/>
          </w:tcPr>
          <w:p w14:paraId="23170333" w14:textId="77777777" w:rsidR="002F1045" w:rsidRPr="006E6390" w:rsidRDefault="002F1045" w:rsidP="0015318E">
            <w:pPr>
              <w:spacing w:after="120"/>
              <w:rPr>
                <w:rFonts w:cs="Arial"/>
              </w:rPr>
            </w:pPr>
            <w:r w:rsidRPr="006E6390">
              <w:rPr>
                <w:rFonts w:cs="Arial"/>
              </w:rPr>
              <w:t>Poderes que ostenta</w:t>
            </w:r>
          </w:p>
        </w:tc>
        <w:tc>
          <w:tcPr>
            <w:tcW w:w="5839" w:type="dxa"/>
          </w:tcPr>
          <w:p w14:paraId="44E27AFE" w14:textId="77777777" w:rsidR="002F1045" w:rsidRPr="006E6390" w:rsidRDefault="002F1045" w:rsidP="0015318E">
            <w:pPr>
              <w:spacing w:after="120"/>
              <w:rPr>
                <w:rFonts w:cs="Arial"/>
              </w:rPr>
            </w:pPr>
            <w:r w:rsidRPr="006E6390">
              <w:rPr>
                <w:rFonts w:cs="Arial"/>
              </w:rPr>
              <w:t>Ninguno</w:t>
            </w:r>
          </w:p>
        </w:tc>
      </w:tr>
      <w:tr w:rsidR="002F1045" w:rsidRPr="006E6390" w14:paraId="1500F08E" w14:textId="77777777" w:rsidTr="008509FC">
        <w:tc>
          <w:tcPr>
            <w:tcW w:w="3111" w:type="dxa"/>
          </w:tcPr>
          <w:p w14:paraId="5A52A02A" w14:textId="77777777" w:rsidR="002F1045" w:rsidRPr="006E6390" w:rsidRDefault="002F1045" w:rsidP="0015318E">
            <w:pPr>
              <w:spacing w:after="120"/>
              <w:rPr>
                <w:rFonts w:cs="Arial"/>
              </w:rPr>
            </w:pPr>
            <w:r w:rsidRPr="006E6390">
              <w:rPr>
                <w:rFonts w:cs="Arial"/>
              </w:rPr>
              <w:t>Fecha de nombramiento</w:t>
            </w:r>
          </w:p>
        </w:tc>
        <w:tc>
          <w:tcPr>
            <w:tcW w:w="5839" w:type="dxa"/>
          </w:tcPr>
          <w:p w14:paraId="2ED74F10" w14:textId="77777777" w:rsidR="002F1045" w:rsidRPr="006E6390" w:rsidRDefault="00713B6C" w:rsidP="0015318E">
            <w:pPr>
              <w:spacing w:after="120"/>
              <w:rPr>
                <w:rFonts w:cs="Arial"/>
              </w:rPr>
            </w:pPr>
            <w:r w:rsidRPr="006E6390">
              <w:rPr>
                <w:rFonts w:cs="Arial"/>
              </w:rPr>
              <w:t>2</w:t>
            </w:r>
            <w:r w:rsidR="004634DF">
              <w:rPr>
                <w:rFonts w:cs="Arial"/>
              </w:rPr>
              <w:t>2</w:t>
            </w:r>
            <w:r w:rsidRPr="006E6390">
              <w:rPr>
                <w:rFonts w:cs="Arial"/>
              </w:rPr>
              <w:t xml:space="preserve"> </w:t>
            </w:r>
            <w:r w:rsidR="002F1045" w:rsidRPr="006E6390">
              <w:rPr>
                <w:rFonts w:cs="Arial"/>
              </w:rPr>
              <w:t xml:space="preserve">de </w:t>
            </w:r>
            <w:r w:rsidR="004634DF">
              <w:rPr>
                <w:rFonts w:cs="Arial"/>
              </w:rPr>
              <w:t>junio</w:t>
            </w:r>
            <w:r w:rsidR="004634DF" w:rsidRPr="006E6390">
              <w:rPr>
                <w:rFonts w:cs="Arial"/>
              </w:rPr>
              <w:t xml:space="preserve"> </w:t>
            </w:r>
            <w:r w:rsidR="002F1045" w:rsidRPr="006E6390">
              <w:rPr>
                <w:rFonts w:cs="Arial"/>
              </w:rPr>
              <w:t xml:space="preserve">de </w:t>
            </w:r>
            <w:r w:rsidR="004634DF" w:rsidRPr="006E6390">
              <w:rPr>
                <w:rFonts w:cs="Arial"/>
              </w:rPr>
              <w:t>202</w:t>
            </w:r>
            <w:r w:rsidR="004634DF">
              <w:rPr>
                <w:rFonts w:cs="Arial"/>
              </w:rPr>
              <w:t>2</w:t>
            </w:r>
          </w:p>
        </w:tc>
      </w:tr>
      <w:tr w:rsidR="002F1045" w:rsidRPr="006E6390" w14:paraId="7410AB2E" w14:textId="77777777" w:rsidTr="008509FC">
        <w:tc>
          <w:tcPr>
            <w:tcW w:w="3111" w:type="dxa"/>
          </w:tcPr>
          <w:p w14:paraId="601945F6"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449DC80E" w14:textId="77777777" w:rsidR="002F1045" w:rsidRPr="006E6390" w:rsidRDefault="002F1045" w:rsidP="0015318E">
            <w:pPr>
              <w:spacing w:after="120"/>
              <w:rPr>
                <w:rFonts w:cs="Arial"/>
              </w:rPr>
            </w:pPr>
            <w:r w:rsidRPr="006E6390">
              <w:rPr>
                <w:rFonts w:cs="Arial"/>
              </w:rPr>
              <w:t xml:space="preserve">8 de mayo de </w:t>
            </w:r>
            <w:r w:rsidR="004634DF" w:rsidRPr="006E6390">
              <w:rPr>
                <w:rFonts w:cs="Arial"/>
              </w:rPr>
              <w:t>202</w:t>
            </w:r>
            <w:r w:rsidR="004634DF">
              <w:rPr>
                <w:rFonts w:cs="Arial"/>
              </w:rPr>
              <w:t>6</w:t>
            </w:r>
          </w:p>
        </w:tc>
      </w:tr>
      <w:tr w:rsidR="002F1045" w:rsidRPr="006E6390" w14:paraId="2C93461A" w14:textId="77777777" w:rsidTr="008509FC">
        <w:tc>
          <w:tcPr>
            <w:tcW w:w="3111" w:type="dxa"/>
          </w:tcPr>
          <w:p w14:paraId="3E840BB5" w14:textId="77777777" w:rsidR="002F1045" w:rsidRPr="00324A6D" w:rsidRDefault="002F1045" w:rsidP="0015318E">
            <w:pPr>
              <w:spacing w:after="120"/>
              <w:rPr>
                <w:rFonts w:cs="Arial"/>
                <w:color w:val="000000" w:themeColor="text1"/>
                <w:u w:val="single"/>
              </w:rPr>
            </w:pPr>
            <w:r w:rsidRPr="00324A6D">
              <w:rPr>
                <w:rFonts w:cs="Arial"/>
                <w:color w:val="000000" w:themeColor="text1"/>
              </w:rPr>
              <w:t xml:space="preserve">Relación de parentesco con otro miembro del Consejo </w:t>
            </w:r>
            <w:r w:rsidRPr="00324A6D">
              <w:rPr>
                <w:rFonts w:cs="Arial"/>
                <w:color w:val="000000" w:themeColor="text1"/>
              </w:rPr>
              <w:lastRenderedPageBreak/>
              <w:t>Directivo, Gerencia y personal de nivel ejecutivo</w:t>
            </w:r>
          </w:p>
        </w:tc>
        <w:tc>
          <w:tcPr>
            <w:tcW w:w="5839" w:type="dxa"/>
          </w:tcPr>
          <w:p w14:paraId="6AC1EC4D" w14:textId="77777777" w:rsidR="002F1045" w:rsidRPr="00324A6D" w:rsidRDefault="006A784A" w:rsidP="0015318E">
            <w:pPr>
              <w:spacing w:after="120"/>
              <w:rPr>
                <w:rFonts w:cs="Arial"/>
                <w:color w:val="000000" w:themeColor="text1"/>
              </w:rPr>
            </w:pPr>
            <w:r w:rsidRPr="00324A6D">
              <w:rPr>
                <w:rFonts w:cs="Arial"/>
                <w:color w:val="000000" w:themeColor="text1"/>
              </w:rPr>
              <w:lastRenderedPageBreak/>
              <w:t>Ninguno</w:t>
            </w:r>
          </w:p>
        </w:tc>
      </w:tr>
      <w:tr w:rsidR="002F1045" w:rsidRPr="006E6390" w14:paraId="6A858452" w14:textId="77777777" w:rsidTr="008509FC">
        <w:tc>
          <w:tcPr>
            <w:tcW w:w="3111" w:type="dxa"/>
          </w:tcPr>
          <w:p w14:paraId="28F51E27" w14:textId="77777777" w:rsidR="002F1045" w:rsidRPr="006E6390" w:rsidRDefault="002F1045" w:rsidP="0015318E">
            <w:pPr>
              <w:spacing w:after="120"/>
              <w:rPr>
                <w:rFonts w:cs="Arial"/>
              </w:rPr>
            </w:pPr>
            <w:r w:rsidRPr="006E6390">
              <w:rPr>
                <w:rFonts w:cs="Arial"/>
              </w:rPr>
              <w:t>Currículum</w:t>
            </w:r>
          </w:p>
        </w:tc>
        <w:tc>
          <w:tcPr>
            <w:tcW w:w="5839" w:type="dxa"/>
          </w:tcPr>
          <w:p w14:paraId="5E927550" w14:textId="77777777" w:rsidR="009F15A1" w:rsidRDefault="009F15A1" w:rsidP="00D2794B">
            <w:pPr>
              <w:spacing w:after="120" w:line="240" w:lineRule="auto"/>
              <w:rPr>
                <w:rFonts w:eastAsia="Calibri" w:cs="Arial"/>
                <w:lang w:val="es-ES"/>
              </w:rPr>
            </w:pPr>
            <w:r>
              <w:rPr>
                <w:rFonts w:eastAsia="Calibri" w:cs="Arial"/>
                <w:lang w:val="es-ES"/>
              </w:rPr>
              <w:t>Ingeniería en Geología y Geofísica, especialidad en geofísica petrolera-gas natural (1979)</w:t>
            </w:r>
          </w:p>
          <w:p w14:paraId="33AB7247" w14:textId="77777777" w:rsidR="009F15A1" w:rsidRDefault="009F15A1" w:rsidP="00D2794B">
            <w:pPr>
              <w:spacing w:after="120" w:line="240" w:lineRule="auto"/>
              <w:rPr>
                <w:rFonts w:eastAsia="Calibri" w:cs="Arial"/>
                <w:lang w:val="es-ES"/>
              </w:rPr>
            </w:pPr>
            <w:r>
              <w:rPr>
                <w:rFonts w:eastAsia="Calibri" w:cs="Arial"/>
                <w:lang w:val="es-ES"/>
              </w:rPr>
              <w:t>Maestría en Administración de Negocios con énfasis en gerencia de proyectos, UNED (2000)</w:t>
            </w:r>
          </w:p>
          <w:p w14:paraId="534BDD11" w14:textId="77777777" w:rsidR="009F15A1" w:rsidRDefault="009F15A1" w:rsidP="00D2794B">
            <w:pPr>
              <w:spacing w:after="120" w:line="240" w:lineRule="auto"/>
              <w:rPr>
                <w:rFonts w:eastAsia="Calibri" w:cs="Arial"/>
                <w:lang w:val="es-ES"/>
              </w:rPr>
            </w:pPr>
            <w:r>
              <w:rPr>
                <w:rFonts w:eastAsia="Calibri" w:cs="Arial"/>
                <w:lang w:val="es-ES"/>
              </w:rPr>
              <w:t>RECOPE, en diversos cargos profesionales (1982-2018)</w:t>
            </w:r>
          </w:p>
          <w:p w14:paraId="206CB5C3" w14:textId="77777777" w:rsidR="006A3028" w:rsidRDefault="006A3028" w:rsidP="00D2794B">
            <w:pPr>
              <w:spacing w:after="120" w:line="240" w:lineRule="auto"/>
              <w:rPr>
                <w:rFonts w:eastAsia="Calibri" w:cs="Arial"/>
                <w:lang w:val="es-ES"/>
              </w:rPr>
            </w:pPr>
            <w:r>
              <w:rPr>
                <w:rFonts w:eastAsia="Calibri" w:cs="Arial"/>
                <w:lang w:val="es-ES"/>
              </w:rPr>
              <w:t>Empresa IFLGS – Bucarest, Rumania (1979-1981)</w:t>
            </w:r>
          </w:p>
          <w:p w14:paraId="0585B27D" w14:textId="77777777" w:rsidR="006A3028" w:rsidRDefault="006B18FF" w:rsidP="00D2794B">
            <w:pPr>
              <w:spacing w:after="120" w:line="240" w:lineRule="auto"/>
              <w:rPr>
                <w:rFonts w:eastAsia="Calibri" w:cs="Arial"/>
                <w:lang w:val="es-ES"/>
              </w:rPr>
            </w:pPr>
            <w:r>
              <w:rPr>
                <w:rFonts w:eastAsia="Calibri" w:cs="Arial"/>
                <w:lang w:val="es-ES"/>
              </w:rPr>
              <w:t>Traductora Oficial del idioma rumano (desde 1989)</w:t>
            </w:r>
          </w:p>
          <w:p w14:paraId="751D252C" w14:textId="77777777" w:rsidR="006B18FF" w:rsidRDefault="006B18FF" w:rsidP="001758DC">
            <w:pPr>
              <w:spacing w:after="0" w:line="240" w:lineRule="auto"/>
              <w:rPr>
                <w:rFonts w:eastAsia="Calibri" w:cs="Arial"/>
                <w:lang w:val="es-ES"/>
              </w:rPr>
            </w:pPr>
            <w:r>
              <w:rPr>
                <w:rFonts w:eastAsia="Calibri" w:cs="Arial"/>
                <w:lang w:val="es-ES"/>
              </w:rPr>
              <w:t>Participación en seminarios y talleres de OLADE, ARPEL, entre otros.</w:t>
            </w:r>
          </w:p>
          <w:p w14:paraId="7A27F8ED" w14:textId="77777777" w:rsidR="002F1045" w:rsidRPr="006E6390" w:rsidRDefault="002F1045" w:rsidP="0015318E">
            <w:pPr>
              <w:spacing w:after="120"/>
              <w:rPr>
                <w:rFonts w:cs="Arial"/>
                <w:lang w:val="es-ES"/>
              </w:rPr>
            </w:pPr>
          </w:p>
        </w:tc>
      </w:tr>
      <w:tr w:rsidR="002F1045" w:rsidRPr="006E6390" w14:paraId="0B3E9A1D" w14:textId="77777777" w:rsidTr="008509FC">
        <w:tc>
          <w:tcPr>
            <w:tcW w:w="3111" w:type="dxa"/>
          </w:tcPr>
          <w:p w14:paraId="1F32311B"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6392A130" w14:textId="77777777" w:rsidR="007F227E" w:rsidRPr="006E6390" w:rsidRDefault="007F227E">
            <w:pPr>
              <w:spacing w:after="120"/>
              <w:rPr>
                <w:rFonts w:cs="Arial"/>
              </w:rPr>
            </w:pPr>
          </w:p>
        </w:tc>
      </w:tr>
    </w:tbl>
    <w:p w14:paraId="7BAAFEAF" w14:textId="77777777" w:rsidR="002F1045" w:rsidRPr="006E6390" w:rsidRDefault="002F1045" w:rsidP="002F1045">
      <w:pPr>
        <w:rPr>
          <w:rFonts w:cs="Arial"/>
          <w:lang w:eastAsia="es-MX"/>
        </w:rPr>
      </w:pPr>
    </w:p>
    <w:p w14:paraId="69F96998" w14:textId="77777777" w:rsidR="002F1045" w:rsidRPr="006E6390" w:rsidRDefault="002F1045" w:rsidP="002F1045">
      <w:pPr>
        <w:rPr>
          <w:rFonts w:cs="Arial"/>
        </w:rPr>
      </w:pPr>
      <w:r w:rsidRPr="001758DC">
        <w:rPr>
          <w:rFonts w:cs="Arial"/>
          <w:b/>
          <w:bCs/>
        </w:rPr>
        <w:t>Vocal 3:</w:t>
      </w:r>
      <w:r w:rsidRPr="006E6390">
        <w:rPr>
          <w:rFonts w:cs="Arial"/>
        </w:rPr>
        <w:t xml:space="preserve"> </w:t>
      </w:r>
      <w:r w:rsidR="006A784A">
        <w:rPr>
          <w:rFonts w:cs="Arial"/>
        </w:rPr>
        <w:t xml:space="preserve">Máster </w:t>
      </w:r>
      <w:r w:rsidR="00B603D1">
        <w:rPr>
          <w:rFonts w:cs="Arial"/>
        </w:rPr>
        <w:t>Gerardo Araya Naranjo</w:t>
      </w:r>
    </w:p>
    <w:tbl>
      <w:tblPr>
        <w:tblW w:w="8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111"/>
        <w:gridCol w:w="5839"/>
      </w:tblGrid>
      <w:tr w:rsidR="002F1045" w:rsidRPr="006E6390" w14:paraId="16EEE05D" w14:textId="77777777" w:rsidTr="008509FC">
        <w:tc>
          <w:tcPr>
            <w:tcW w:w="3111" w:type="dxa"/>
          </w:tcPr>
          <w:p w14:paraId="2054ED53" w14:textId="77777777" w:rsidR="002F1045" w:rsidRPr="006E6390" w:rsidRDefault="002F1045" w:rsidP="0015318E">
            <w:pPr>
              <w:spacing w:after="120"/>
              <w:rPr>
                <w:rFonts w:cs="Arial"/>
              </w:rPr>
            </w:pPr>
            <w:r w:rsidRPr="006E6390">
              <w:rPr>
                <w:rFonts w:cs="Arial"/>
              </w:rPr>
              <w:t>Nacionalidad</w:t>
            </w:r>
          </w:p>
        </w:tc>
        <w:tc>
          <w:tcPr>
            <w:tcW w:w="5839" w:type="dxa"/>
          </w:tcPr>
          <w:p w14:paraId="75213B5A" w14:textId="77777777" w:rsidR="002F1045" w:rsidRPr="006E6390" w:rsidRDefault="002F1045" w:rsidP="0015318E">
            <w:pPr>
              <w:spacing w:after="120"/>
              <w:rPr>
                <w:rFonts w:cs="Arial"/>
              </w:rPr>
            </w:pPr>
            <w:r w:rsidRPr="006E6390">
              <w:rPr>
                <w:rFonts w:cs="Arial"/>
              </w:rPr>
              <w:t>Costarricense</w:t>
            </w:r>
          </w:p>
        </w:tc>
      </w:tr>
      <w:tr w:rsidR="002F1045" w:rsidRPr="006E6390" w14:paraId="1A13B1C2" w14:textId="77777777" w:rsidTr="008509FC">
        <w:tc>
          <w:tcPr>
            <w:tcW w:w="3111" w:type="dxa"/>
          </w:tcPr>
          <w:p w14:paraId="6521FC37" w14:textId="77777777" w:rsidR="002F1045" w:rsidRPr="006E6390" w:rsidRDefault="002F1045" w:rsidP="0015318E">
            <w:pPr>
              <w:spacing w:after="120"/>
              <w:rPr>
                <w:rFonts w:cs="Arial"/>
              </w:rPr>
            </w:pPr>
            <w:r w:rsidRPr="006E6390">
              <w:rPr>
                <w:rFonts w:cs="Arial"/>
              </w:rPr>
              <w:t>Año de Nacimiento</w:t>
            </w:r>
          </w:p>
        </w:tc>
        <w:tc>
          <w:tcPr>
            <w:tcW w:w="5839" w:type="dxa"/>
          </w:tcPr>
          <w:p w14:paraId="63D5BF2B" w14:textId="77777777" w:rsidR="002F1045" w:rsidRPr="006E6390" w:rsidRDefault="00437100" w:rsidP="0015318E">
            <w:pPr>
              <w:spacing w:after="120"/>
              <w:rPr>
                <w:rFonts w:cs="Arial"/>
              </w:rPr>
            </w:pPr>
            <w:r w:rsidRPr="006E6390">
              <w:rPr>
                <w:rFonts w:cs="Arial"/>
              </w:rPr>
              <w:t>197</w:t>
            </w:r>
            <w:r>
              <w:rPr>
                <w:rFonts w:cs="Arial"/>
              </w:rPr>
              <w:t>5</w:t>
            </w:r>
          </w:p>
        </w:tc>
      </w:tr>
      <w:tr w:rsidR="002F1045" w:rsidRPr="006E6390" w14:paraId="1D3B9CD5" w14:textId="77777777" w:rsidTr="008509FC">
        <w:tc>
          <w:tcPr>
            <w:tcW w:w="3111" w:type="dxa"/>
          </w:tcPr>
          <w:p w14:paraId="009730DA" w14:textId="77777777" w:rsidR="002F1045" w:rsidRPr="006E6390" w:rsidRDefault="002F1045" w:rsidP="0015318E">
            <w:pPr>
              <w:spacing w:after="120"/>
              <w:rPr>
                <w:rFonts w:cs="Arial"/>
              </w:rPr>
            </w:pPr>
            <w:r w:rsidRPr="006E6390">
              <w:rPr>
                <w:rFonts w:cs="Arial"/>
              </w:rPr>
              <w:t>Poderes que ostenta</w:t>
            </w:r>
          </w:p>
        </w:tc>
        <w:tc>
          <w:tcPr>
            <w:tcW w:w="5839" w:type="dxa"/>
          </w:tcPr>
          <w:p w14:paraId="4339D8B6" w14:textId="77777777" w:rsidR="002F1045" w:rsidRPr="006E6390" w:rsidRDefault="002F1045" w:rsidP="0015318E">
            <w:pPr>
              <w:spacing w:after="120"/>
              <w:rPr>
                <w:rFonts w:cs="Arial"/>
              </w:rPr>
            </w:pPr>
            <w:r w:rsidRPr="006E6390">
              <w:rPr>
                <w:rFonts w:cs="Arial"/>
              </w:rPr>
              <w:t>Ninguno</w:t>
            </w:r>
          </w:p>
        </w:tc>
      </w:tr>
      <w:tr w:rsidR="002F1045" w:rsidRPr="006E6390" w14:paraId="707341D5" w14:textId="77777777" w:rsidTr="008509FC">
        <w:tc>
          <w:tcPr>
            <w:tcW w:w="3111" w:type="dxa"/>
          </w:tcPr>
          <w:p w14:paraId="12FC46BD" w14:textId="77777777" w:rsidR="002F1045" w:rsidRPr="006E6390" w:rsidRDefault="002F1045" w:rsidP="0015318E">
            <w:pPr>
              <w:spacing w:after="120"/>
              <w:rPr>
                <w:rFonts w:cs="Arial"/>
              </w:rPr>
            </w:pPr>
            <w:r w:rsidRPr="006E6390">
              <w:rPr>
                <w:rFonts w:cs="Arial"/>
              </w:rPr>
              <w:t>Fecha de nombramiento</w:t>
            </w:r>
          </w:p>
        </w:tc>
        <w:tc>
          <w:tcPr>
            <w:tcW w:w="5839" w:type="dxa"/>
          </w:tcPr>
          <w:p w14:paraId="73326C57" w14:textId="77777777" w:rsidR="002F1045" w:rsidRPr="006E6390" w:rsidRDefault="00437100" w:rsidP="0015318E">
            <w:pPr>
              <w:spacing w:after="120"/>
              <w:rPr>
                <w:rFonts w:cs="Arial"/>
              </w:rPr>
            </w:pPr>
            <w:r w:rsidRPr="006E6390">
              <w:rPr>
                <w:rFonts w:cs="Arial"/>
              </w:rPr>
              <w:t>2</w:t>
            </w:r>
            <w:r>
              <w:rPr>
                <w:rFonts w:cs="Arial"/>
              </w:rPr>
              <w:t>2</w:t>
            </w:r>
            <w:r w:rsidRPr="006E6390">
              <w:rPr>
                <w:rFonts w:cs="Arial"/>
              </w:rPr>
              <w:t xml:space="preserve"> </w:t>
            </w:r>
            <w:r w:rsidR="002F1045" w:rsidRPr="006E6390">
              <w:rPr>
                <w:rFonts w:cs="Arial"/>
              </w:rPr>
              <w:t xml:space="preserve">de </w:t>
            </w:r>
            <w:r>
              <w:rPr>
                <w:rFonts w:cs="Arial"/>
              </w:rPr>
              <w:t>juni</w:t>
            </w:r>
            <w:r w:rsidRPr="006E6390">
              <w:rPr>
                <w:rFonts w:cs="Arial"/>
              </w:rPr>
              <w:t xml:space="preserve">o </w:t>
            </w:r>
            <w:r w:rsidR="002F1045" w:rsidRPr="006E6390">
              <w:rPr>
                <w:rFonts w:cs="Arial"/>
              </w:rPr>
              <w:t xml:space="preserve">de </w:t>
            </w:r>
            <w:r w:rsidR="00DE7EEA" w:rsidRPr="006E6390">
              <w:rPr>
                <w:rFonts w:cs="Arial"/>
              </w:rPr>
              <w:t>20</w:t>
            </w:r>
            <w:r w:rsidR="00DE7EEA">
              <w:rPr>
                <w:rFonts w:cs="Arial"/>
              </w:rPr>
              <w:t>22</w:t>
            </w:r>
          </w:p>
        </w:tc>
      </w:tr>
      <w:tr w:rsidR="002F1045" w:rsidRPr="006E6390" w14:paraId="0257698D" w14:textId="77777777" w:rsidTr="008509FC">
        <w:tc>
          <w:tcPr>
            <w:tcW w:w="3111" w:type="dxa"/>
          </w:tcPr>
          <w:p w14:paraId="10B18EE1" w14:textId="77777777" w:rsidR="002F1045" w:rsidRPr="006E6390" w:rsidRDefault="002F1045" w:rsidP="0015318E">
            <w:pPr>
              <w:spacing w:after="120"/>
              <w:rPr>
                <w:rFonts w:cs="Arial"/>
              </w:rPr>
            </w:pPr>
            <w:r w:rsidRPr="006E6390">
              <w:rPr>
                <w:rFonts w:cs="Arial"/>
              </w:rPr>
              <w:t>Fecha de vencimiento del nombramiento</w:t>
            </w:r>
          </w:p>
        </w:tc>
        <w:tc>
          <w:tcPr>
            <w:tcW w:w="5839" w:type="dxa"/>
          </w:tcPr>
          <w:p w14:paraId="06C30304" w14:textId="77777777" w:rsidR="002F1045" w:rsidRPr="006E6390" w:rsidRDefault="002F1045" w:rsidP="0015318E">
            <w:pPr>
              <w:spacing w:after="120"/>
              <w:rPr>
                <w:rFonts w:cs="Arial"/>
              </w:rPr>
            </w:pPr>
            <w:r w:rsidRPr="006E6390">
              <w:rPr>
                <w:rFonts w:cs="Arial"/>
              </w:rPr>
              <w:t xml:space="preserve">8 de mayo de </w:t>
            </w:r>
            <w:r w:rsidR="00DE7EEA" w:rsidRPr="006E6390">
              <w:rPr>
                <w:rFonts w:cs="Arial"/>
              </w:rPr>
              <w:t>202</w:t>
            </w:r>
            <w:r w:rsidR="00DE7EEA">
              <w:rPr>
                <w:rFonts w:cs="Arial"/>
              </w:rPr>
              <w:t>6</w:t>
            </w:r>
          </w:p>
        </w:tc>
      </w:tr>
      <w:tr w:rsidR="002F1045" w:rsidRPr="006E6390" w14:paraId="2479B589" w14:textId="77777777" w:rsidTr="008509FC">
        <w:tc>
          <w:tcPr>
            <w:tcW w:w="3111" w:type="dxa"/>
          </w:tcPr>
          <w:p w14:paraId="6E79096E"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839" w:type="dxa"/>
          </w:tcPr>
          <w:p w14:paraId="346BBE8B" w14:textId="77777777" w:rsidR="002F1045" w:rsidRPr="006E6390" w:rsidRDefault="002F1045" w:rsidP="0015318E">
            <w:pPr>
              <w:spacing w:after="120"/>
              <w:rPr>
                <w:rFonts w:cs="Arial"/>
              </w:rPr>
            </w:pPr>
            <w:r w:rsidRPr="006E6390">
              <w:rPr>
                <w:rFonts w:cs="Arial"/>
              </w:rPr>
              <w:t>N</w:t>
            </w:r>
            <w:r w:rsidR="006A784A">
              <w:rPr>
                <w:rFonts w:cs="Arial"/>
              </w:rPr>
              <w:t>ingun</w:t>
            </w:r>
            <w:r w:rsidRPr="006E6390">
              <w:rPr>
                <w:rFonts w:cs="Arial"/>
              </w:rPr>
              <w:t>o</w:t>
            </w:r>
          </w:p>
        </w:tc>
      </w:tr>
      <w:tr w:rsidR="002F1045" w:rsidRPr="006E6390" w14:paraId="086E66E5" w14:textId="77777777" w:rsidTr="008509FC">
        <w:tc>
          <w:tcPr>
            <w:tcW w:w="3111" w:type="dxa"/>
          </w:tcPr>
          <w:p w14:paraId="6C3616D8" w14:textId="77777777" w:rsidR="002F1045" w:rsidRPr="006E6390" w:rsidRDefault="002F1045" w:rsidP="00045558">
            <w:pPr>
              <w:spacing w:after="120"/>
              <w:rPr>
                <w:rFonts w:cs="Arial"/>
              </w:rPr>
            </w:pPr>
            <w:r w:rsidRPr="006E6390">
              <w:rPr>
                <w:rFonts w:cs="Arial"/>
              </w:rPr>
              <w:t>Curr</w:t>
            </w:r>
            <w:r w:rsidR="00045558" w:rsidRPr="006E6390">
              <w:rPr>
                <w:rFonts w:cs="Arial"/>
              </w:rPr>
              <w:t>í</w:t>
            </w:r>
            <w:r w:rsidRPr="006E6390">
              <w:rPr>
                <w:rFonts w:cs="Arial"/>
              </w:rPr>
              <w:t>culum</w:t>
            </w:r>
          </w:p>
        </w:tc>
        <w:tc>
          <w:tcPr>
            <w:tcW w:w="5839" w:type="dxa"/>
          </w:tcPr>
          <w:p w14:paraId="721740A5" w14:textId="77777777" w:rsidR="002F1045" w:rsidRPr="006E6390" w:rsidRDefault="002F1045" w:rsidP="00D2794B">
            <w:pPr>
              <w:spacing w:after="120" w:line="240" w:lineRule="auto"/>
              <w:rPr>
                <w:rFonts w:cs="Arial"/>
              </w:rPr>
            </w:pPr>
            <w:r w:rsidRPr="006E6390">
              <w:rPr>
                <w:rFonts w:cs="Arial"/>
              </w:rPr>
              <w:t xml:space="preserve">Licenciatura en </w:t>
            </w:r>
            <w:r w:rsidR="00437100">
              <w:rPr>
                <w:rFonts w:cs="Arial"/>
              </w:rPr>
              <w:t>Administración con énfasis en Finanzas, Universidad Nacional (1999</w:t>
            </w:r>
            <w:r w:rsidRPr="006E6390">
              <w:rPr>
                <w:rFonts w:cs="Arial"/>
              </w:rPr>
              <w:t>)</w:t>
            </w:r>
          </w:p>
          <w:p w14:paraId="0117F49A" w14:textId="77777777" w:rsidR="002F1045" w:rsidRPr="006E6390" w:rsidRDefault="002F1045" w:rsidP="00D2794B">
            <w:pPr>
              <w:spacing w:after="120" w:line="240" w:lineRule="auto"/>
              <w:rPr>
                <w:rFonts w:cs="Arial"/>
              </w:rPr>
            </w:pPr>
            <w:r w:rsidRPr="006E6390">
              <w:rPr>
                <w:rFonts w:cs="Arial"/>
              </w:rPr>
              <w:t xml:space="preserve">Maestría en </w:t>
            </w:r>
            <w:r w:rsidR="00115A26">
              <w:rPr>
                <w:rFonts w:cs="Arial"/>
              </w:rPr>
              <w:t>Dirección de Empresas con mención en Mercadeo, Universidad Fundepos Alma Máter</w:t>
            </w:r>
            <w:r w:rsidRPr="006E6390">
              <w:rPr>
                <w:rFonts w:cs="Arial"/>
              </w:rPr>
              <w:t xml:space="preserve"> (</w:t>
            </w:r>
            <w:r w:rsidR="00115A26">
              <w:rPr>
                <w:rFonts w:cs="Arial"/>
              </w:rPr>
              <w:t>2003</w:t>
            </w:r>
            <w:r w:rsidRPr="006E6390">
              <w:rPr>
                <w:rFonts w:cs="Arial"/>
              </w:rPr>
              <w:t>)</w:t>
            </w:r>
          </w:p>
          <w:p w14:paraId="0F0F78C3" w14:textId="77777777" w:rsidR="002F1045" w:rsidRPr="006E6390" w:rsidRDefault="00115A26" w:rsidP="00D2794B">
            <w:pPr>
              <w:spacing w:after="120" w:line="240" w:lineRule="auto"/>
              <w:rPr>
                <w:rFonts w:cs="Arial"/>
              </w:rPr>
            </w:pPr>
            <w:r>
              <w:rPr>
                <w:rFonts w:cs="Arial"/>
              </w:rPr>
              <w:t>Doctorando en Ciencias de la</w:t>
            </w:r>
            <w:r w:rsidR="002F1045" w:rsidRPr="006E6390">
              <w:rPr>
                <w:rFonts w:cs="Arial"/>
              </w:rPr>
              <w:t xml:space="preserve"> Administración</w:t>
            </w:r>
            <w:r>
              <w:rPr>
                <w:rFonts w:cs="Arial"/>
              </w:rPr>
              <w:t>,</w:t>
            </w:r>
            <w:r w:rsidR="002F1045" w:rsidRPr="006E6390">
              <w:rPr>
                <w:rFonts w:cs="Arial"/>
              </w:rPr>
              <w:t xml:space="preserve"> </w:t>
            </w:r>
            <w:r>
              <w:rPr>
                <w:rFonts w:cs="Arial"/>
              </w:rPr>
              <w:t>UNED (2013-2020)</w:t>
            </w:r>
          </w:p>
          <w:p w14:paraId="5F9888E3" w14:textId="77777777" w:rsidR="002F1045" w:rsidRPr="006E6390" w:rsidRDefault="00115A26" w:rsidP="00D2794B">
            <w:pPr>
              <w:spacing w:after="120" w:line="240" w:lineRule="auto"/>
              <w:rPr>
                <w:rFonts w:cs="Arial"/>
              </w:rPr>
            </w:pPr>
            <w:r>
              <w:rPr>
                <w:rFonts w:cs="Arial"/>
              </w:rPr>
              <w:t>Bachiller en Administración de Empresas, Instituto Tecnológico de Costa Rica (1996)</w:t>
            </w:r>
          </w:p>
          <w:p w14:paraId="79C84CB5" w14:textId="77777777" w:rsidR="002F1045" w:rsidRDefault="00115A26" w:rsidP="00D2794B">
            <w:pPr>
              <w:spacing w:after="120" w:line="240" w:lineRule="auto"/>
              <w:rPr>
                <w:rFonts w:cs="Arial"/>
              </w:rPr>
            </w:pPr>
            <w:r>
              <w:rPr>
                <w:rFonts w:cs="Arial"/>
              </w:rPr>
              <w:t>Coopeguanacaste R.L., Subgerente General (2013 a la fecha)</w:t>
            </w:r>
          </w:p>
          <w:p w14:paraId="1433B4FE" w14:textId="77777777" w:rsidR="00115A26" w:rsidRPr="006664C2" w:rsidRDefault="00115A26" w:rsidP="00D2794B">
            <w:pPr>
              <w:spacing w:after="120" w:line="240" w:lineRule="auto"/>
              <w:rPr>
                <w:rFonts w:cs="Arial"/>
              </w:rPr>
            </w:pPr>
            <w:r w:rsidRPr="00147A42">
              <w:rPr>
                <w:rFonts w:cs="Arial"/>
              </w:rPr>
              <w:lastRenderedPageBreak/>
              <w:t>Coopeguana</w:t>
            </w:r>
            <w:r w:rsidRPr="007F3D23">
              <w:rPr>
                <w:rFonts w:cs="Arial"/>
              </w:rPr>
              <w:t>caste R.L., Gerente Administrativo Financiero</w:t>
            </w:r>
            <w:r w:rsidRPr="00A0269A">
              <w:rPr>
                <w:rFonts w:cs="Arial"/>
              </w:rPr>
              <w:t xml:space="preserve"> (2010-2012)</w:t>
            </w:r>
          </w:p>
          <w:p w14:paraId="1EB323DB" w14:textId="77777777" w:rsidR="00147A42" w:rsidRPr="007F3D23" w:rsidRDefault="00147A42" w:rsidP="00D2794B">
            <w:pPr>
              <w:spacing w:after="120" w:line="240" w:lineRule="auto"/>
              <w:rPr>
                <w:rFonts w:cs="Arial"/>
              </w:rPr>
            </w:pPr>
            <w:r w:rsidRPr="006664C2">
              <w:rPr>
                <w:rFonts w:cs="Arial"/>
              </w:rPr>
              <w:t>Coopeguanac</w:t>
            </w:r>
            <w:r w:rsidRPr="000F4300">
              <w:rPr>
                <w:rFonts w:cs="Arial"/>
              </w:rPr>
              <w:t>aste R.L., Jefe</w:t>
            </w:r>
            <w:r w:rsidRPr="0015034A">
              <w:rPr>
                <w:rFonts w:cs="Arial"/>
              </w:rPr>
              <w:t xml:space="preserve"> </w:t>
            </w:r>
            <w:r w:rsidRPr="002A70BB">
              <w:rPr>
                <w:rFonts w:cs="Arial"/>
              </w:rPr>
              <w:t>financiero (2000-2010</w:t>
            </w:r>
            <w:r w:rsidRPr="007F3D23">
              <w:rPr>
                <w:rFonts w:cs="Arial"/>
              </w:rPr>
              <w:t>)</w:t>
            </w:r>
          </w:p>
          <w:p w14:paraId="59734925" w14:textId="77777777" w:rsidR="00147A42" w:rsidRPr="007F3D23" w:rsidRDefault="00147A42" w:rsidP="00D2794B">
            <w:pPr>
              <w:spacing w:after="120" w:line="240" w:lineRule="auto"/>
              <w:rPr>
                <w:rFonts w:cs="Arial"/>
              </w:rPr>
            </w:pPr>
            <w:r w:rsidRPr="007F3D23">
              <w:rPr>
                <w:rFonts w:cs="Arial"/>
              </w:rPr>
              <w:t>Proyecto de Asistencia Técnica MAG BANACIO, Centro Agrícola Cantonal de Hojancha (1996-1999)</w:t>
            </w:r>
          </w:p>
          <w:p w14:paraId="36CA004F" w14:textId="77777777" w:rsidR="00147A42" w:rsidRDefault="007F3D23" w:rsidP="00D2794B">
            <w:pPr>
              <w:spacing w:after="120" w:line="240" w:lineRule="auto"/>
              <w:rPr>
                <w:rFonts w:cs="Arial"/>
              </w:rPr>
            </w:pPr>
            <w:r>
              <w:rPr>
                <w:rFonts w:cs="Arial"/>
              </w:rPr>
              <w:t>Miembro del Consejo Distrital de Belén de Nosarita de Nicoya (1998-2002)</w:t>
            </w:r>
          </w:p>
          <w:p w14:paraId="7E7AB7CE" w14:textId="77777777" w:rsidR="007F3D23" w:rsidRDefault="007F3D23" w:rsidP="00D2794B">
            <w:pPr>
              <w:spacing w:after="120" w:line="240" w:lineRule="auto"/>
              <w:rPr>
                <w:rFonts w:cs="Arial"/>
              </w:rPr>
            </w:pPr>
            <w:r>
              <w:rPr>
                <w:rFonts w:cs="Arial"/>
              </w:rPr>
              <w:t>Profesor instructor en Universidad Nacional, sede Nicoya (1999-2020)</w:t>
            </w:r>
          </w:p>
          <w:p w14:paraId="44EA4343" w14:textId="77777777" w:rsidR="007F3D23" w:rsidRDefault="007F3D23" w:rsidP="00D2794B">
            <w:pPr>
              <w:spacing w:after="120" w:line="240" w:lineRule="auto"/>
              <w:rPr>
                <w:rFonts w:cs="Arial"/>
              </w:rPr>
            </w:pPr>
            <w:r>
              <w:rPr>
                <w:rFonts w:cs="Arial"/>
              </w:rPr>
              <w:t>Profesor universitario, Universidad Latina de Costa Rica, sede Santa Cruz (2000-2008)</w:t>
            </w:r>
          </w:p>
          <w:p w14:paraId="6A232AB1" w14:textId="77777777" w:rsidR="007F3D23" w:rsidRDefault="007F3D23" w:rsidP="00D2794B">
            <w:pPr>
              <w:spacing w:after="120" w:line="240" w:lineRule="auto"/>
              <w:rPr>
                <w:rFonts w:cs="Arial"/>
              </w:rPr>
            </w:pPr>
            <w:r>
              <w:rPr>
                <w:rFonts w:cs="Arial"/>
              </w:rPr>
              <w:t xml:space="preserve">Profesor en Universidad Autónoma de </w:t>
            </w:r>
            <w:r w:rsidR="00D2224E">
              <w:rPr>
                <w:rFonts w:cs="Arial"/>
              </w:rPr>
              <w:t>Centroamérica,</w:t>
            </w:r>
            <w:r>
              <w:rPr>
                <w:rFonts w:cs="Arial"/>
              </w:rPr>
              <w:t xml:space="preserve"> sedes Santa Cruz y Nicoya (2009-2011)</w:t>
            </w:r>
          </w:p>
          <w:p w14:paraId="6229C1D5" w14:textId="77777777" w:rsidR="007F3D23" w:rsidRDefault="00682771" w:rsidP="001758DC">
            <w:pPr>
              <w:spacing w:after="0" w:line="240" w:lineRule="auto"/>
              <w:rPr>
                <w:rFonts w:cs="Arial"/>
              </w:rPr>
            </w:pPr>
            <w:r>
              <w:rPr>
                <w:rFonts w:cs="Arial"/>
              </w:rPr>
              <w:t>Profesor de la Universidad de San José, sede Nicoya (2004-2011)</w:t>
            </w:r>
          </w:p>
          <w:p w14:paraId="76FDFA0B" w14:textId="77777777" w:rsidR="007F3D23" w:rsidRPr="007F3D23" w:rsidRDefault="007F3D23" w:rsidP="00D2794B">
            <w:pPr>
              <w:spacing w:after="120" w:line="240" w:lineRule="auto"/>
              <w:rPr>
                <w:rFonts w:cs="Arial"/>
              </w:rPr>
            </w:pPr>
          </w:p>
        </w:tc>
      </w:tr>
      <w:tr w:rsidR="002F1045" w:rsidRPr="006E6390" w14:paraId="4A6A0DC2" w14:textId="77777777" w:rsidTr="008509FC">
        <w:tc>
          <w:tcPr>
            <w:tcW w:w="3111" w:type="dxa"/>
          </w:tcPr>
          <w:p w14:paraId="0E6E0C14" w14:textId="77777777" w:rsidR="002F1045" w:rsidRPr="006E6390" w:rsidRDefault="002F1045" w:rsidP="0015318E">
            <w:pPr>
              <w:spacing w:after="120"/>
              <w:rPr>
                <w:rFonts w:cs="Arial"/>
              </w:rPr>
            </w:pPr>
            <w:r w:rsidRPr="006E6390">
              <w:rPr>
                <w:rFonts w:cs="Arial"/>
              </w:rPr>
              <w:t>Miembro de otras Juntas Directivas</w:t>
            </w:r>
          </w:p>
        </w:tc>
        <w:tc>
          <w:tcPr>
            <w:tcW w:w="5839" w:type="dxa"/>
          </w:tcPr>
          <w:p w14:paraId="2ED2072D" w14:textId="77777777" w:rsidR="002F1045" w:rsidRPr="006E6390" w:rsidRDefault="002F1045" w:rsidP="0015318E">
            <w:pPr>
              <w:spacing w:after="120"/>
              <w:rPr>
                <w:rFonts w:cs="Arial"/>
              </w:rPr>
            </w:pPr>
            <w:r w:rsidRPr="006E6390">
              <w:rPr>
                <w:rFonts w:cs="Arial"/>
              </w:rPr>
              <w:t>No</w:t>
            </w:r>
          </w:p>
        </w:tc>
      </w:tr>
    </w:tbl>
    <w:p w14:paraId="619E9F18" w14:textId="77777777" w:rsidR="002F1045" w:rsidRPr="006E6390" w:rsidRDefault="002F1045" w:rsidP="002F1045">
      <w:pPr>
        <w:spacing w:after="0"/>
        <w:rPr>
          <w:rFonts w:cs="Arial"/>
          <w:lang w:eastAsia="es-MX"/>
        </w:rPr>
      </w:pPr>
    </w:p>
    <w:p w14:paraId="1D4A50D6" w14:textId="77777777" w:rsidR="002F1045" w:rsidRPr="006E6390" w:rsidRDefault="002F1045" w:rsidP="002F1045">
      <w:pPr>
        <w:pStyle w:val="Ttulo3"/>
        <w:tabs>
          <w:tab w:val="left" w:pos="9270"/>
        </w:tabs>
        <w:rPr>
          <w:rFonts w:cs="Arial"/>
          <w:lang w:eastAsia="es-MX"/>
        </w:rPr>
      </w:pPr>
      <w:bookmarkStart w:id="323" w:name="_Toc38630846"/>
      <w:r w:rsidRPr="006E6390">
        <w:rPr>
          <w:rFonts w:cs="Arial"/>
          <w:lang w:eastAsia="es-MX"/>
        </w:rPr>
        <w:t>6.1.2. Funciones de los miembros de la Junta Directiva</w:t>
      </w:r>
      <w:bookmarkEnd w:id="323"/>
    </w:p>
    <w:p w14:paraId="470BD18C" w14:textId="7DA668CE" w:rsidR="002F1045" w:rsidRDefault="002F1045" w:rsidP="001758DC">
      <w:pPr>
        <w:tabs>
          <w:tab w:val="left" w:pos="9270"/>
        </w:tabs>
        <w:spacing w:after="0"/>
        <w:rPr>
          <w:rFonts w:cs="Arial"/>
        </w:rPr>
      </w:pPr>
      <w:r w:rsidRPr="006E6390">
        <w:rPr>
          <w:rFonts w:cs="Arial"/>
        </w:rPr>
        <w:t>La Junta Directiva actualizó su Reglamento de conformidad con el Reglamento de Gobierno Corporativo del Consejo Nacional de Supervisión del Sistema Financiero (CONASSIF) de 14 de noviembre de 2016 (CNS-1294/05 y CNS-1295/07).  El Reglamento de Junta Directiva fue publicado en La Gaceta N°105 de 13 de junio de 2018</w:t>
      </w:r>
      <w:r w:rsidR="00A12F92">
        <w:rPr>
          <w:rFonts w:cs="Arial"/>
        </w:rPr>
        <w:t>, sin embar</w:t>
      </w:r>
      <w:r w:rsidR="001373E8">
        <w:rPr>
          <w:rFonts w:cs="Arial"/>
        </w:rPr>
        <w:t xml:space="preserve">go; se realizó una reforma como fruto del trabajo de una subcomisión de Gobierno Corporativo, que se elevó a Junta Directiva y se aprobó en la Sesión Ordinaria </w:t>
      </w:r>
      <w:r w:rsidR="00801090">
        <w:rPr>
          <w:rFonts w:cs="Arial"/>
        </w:rPr>
        <w:t>#5299-271, Artículo #10 de 27 de abril de 2022 y publicado en La Gaceta N°88 de 13 de mayo de 2022.</w:t>
      </w:r>
    </w:p>
    <w:p w14:paraId="11C9EFB0" w14:textId="77777777" w:rsidR="00FF4F27" w:rsidRPr="006E6390" w:rsidRDefault="00FF4F27" w:rsidP="009053EE">
      <w:pPr>
        <w:tabs>
          <w:tab w:val="left" w:pos="9270"/>
        </w:tabs>
        <w:spacing w:after="0"/>
        <w:rPr>
          <w:rFonts w:cs="Arial"/>
        </w:rPr>
      </w:pPr>
    </w:p>
    <w:p w14:paraId="2B72BD5B" w14:textId="011E48E6" w:rsidR="002F1045" w:rsidRPr="006E6390" w:rsidRDefault="03F12F47" w:rsidP="002F1045">
      <w:pPr>
        <w:tabs>
          <w:tab w:val="left" w:pos="9270"/>
        </w:tabs>
        <w:rPr>
          <w:rFonts w:cs="Arial"/>
        </w:rPr>
      </w:pPr>
      <w:r w:rsidRPr="03F12F47">
        <w:rPr>
          <w:rFonts w:cs="Arial"/>
        </w:rPr>
        <w:t>Las potestades y competencias de la Junta Directiva que se establecen en el artículo 3, se ampliaron y precisaron acorde con las mejores prácticas de gobierno corporativo y se resumen a continuación:</w:t>
      </w:r>
    </w:p>
    <w:p w14:paraId="6BD70933" w14:textId="6EFB41EE" w:rsidR="002F1045" w:rsidRPr="006E6390" w:rsidRDefault="002F1045" w:rsidP="002F1045">
      <w:pPr>
        <w:tabs>
          <w:tab w:val="left" w:pos="9270"/>
        </w:tabs>
        <w:rPr>
          <w:rFonts w:cs="Arial"/>
          <w:b/>
        </w:rPr>
      </w:pPr>
      <w:r w:rsidRPr="006E6390">
        <w:rPr>
          <w:rFonts w:cs="Arial"/>
          <w:b/>
        </w:rPr>
        <w:t>Potestades</w:t>
      </w:r>
      <w:r w:rsidR="005230AC">
        <w:rPr>
          <w:rFonts w:cs="Arial"/>
          <w:b/>
        </w:rPr>
        <w:t xml:space="preserve"> y competencias</w:t>
      </w:r>
      <w:r w:rsidRPr="006E6390">
        <w:rPr>
          <w:rFonts w:cs="Arial"/>
          <w:b/>
        </w:rPr>
        <w:t>:</w:t>
      </w:r>
    </w:p>
    <w:p w14:paraId="34FC4E07" w14:textId="72172A52" w:rsidR="001373E8" w:rsidRPr="001373E8" w:rsidRDefault="30554478" w:rsidP="009053EE">
      <w:pPr>
        <w:autoSpaceDE w:val="0"/>
        <w:autoSpaceDN w:val="0"/>
        <w:adjustRightInd w:val="0"/>
        <w:spacing w:after="101"/>
        <w:rPr>
          <w:rFonts w:cs="Arial"/>
          <w:color w:val="000000"/>
          <w:lang w:eastAsia="en-US"/>
        </w:rPr>
      </w:pPr>
      <w:r w:rsidRPr="30554478">
        <w:rPr>
          <w:rFonts w:cs="Arial"/>
          <w:color w:val="000000" w:themeColor="text1"/>
          <w:lang w:eastAsia="en-US"/>
        </w:rPr>
        <w:t>a) Autorizar a la Administración para que eleve a consideración de la Autoridad Reguladora de los Servicios Públicos la solicitud de fijación de los precios de los productos que comercializa la empresa.</w:t>
      </w:r>
    </w:p>
    <w:p w14:paraId="4E4A2ED2" w14:textId="684ED007" w:rsidR="001373E8" w:rsidRPr="001373E8" w:rsidRDefault="30554478" w:rsidP="009053EE">
      <w:pPr>
        <w:autoSpaceDE w:val="0"/>
        <w:autoSpaceDN w:val="0"/>
        <w:adjustRightInd w:val="0"/>
        <w:spacing w:after="0"/>
        <w:rPr>
          <w:rFonts w:cs="Arial"/>
          <w:color w:val="000000"/>
          <w:lang w:eastAsia="en-US"/>
        </w:rPr>
      </w:pPr>
      <w:r w:rsidRPr="30554478">
        <w:rPr>
          <w:rFonts w:cs="Arial"/>
          <w:color w:val="000000" w:themeColor="text1"/>
          <w:lang w:eastAsia="en-US"/>
        </w:rPr>
        <w:t xml:space="preserve">b) Nombrar y destituir a las personas Gerente General, Gerentes de Área, Auditora General y Sub Auditora General, con base en la propuesta que presente la Presidencia. Esto último, acatando lo dispuesto en el artículo 31 de la Ley General de Control Interno, y el artículo 15 de la Ley Orgánica de la Contraloría General de la República. </w:t>
      </w:r>
    </w:p>
    <w:p w14:paraId="0EF304AF" w14:textId="77777777" w:rsidR="001373E8" w:rsidRPr="001373E8" w:rsidRDefault="001373E8" w:rsidP="009053EE">
      <w:pPr>
        <w:autoSpaceDE w:val="0"/>
        <w:autoSpaceDN w:val="0"/>
        <w:adjustRightInd w:val="0"/>
        <w:spacing w:after="0"/>
        <w:rPr>
          <w:rFonts w:cs="Arial"/>
          <w:color w:val="000000"/>
          <w:lang w:eastAsia="en-US"/>
        </w:rPr>
      </w:pPr>
    </w:p>
    <w:p w14:paraId="649E44D0" w14:textId="5D4474B7" w:rsidR="001373E8" w:rsidRPr="001373E8" w:rsidRDefault="30554478" w:rsidP="30554478">
      <w:pPr>
        <w:autoSpaceDE w:val="0"/>
        <w:autoSpaceDN w:val="0"/>
        <w:adjustRightInd w:val="0"/>
        <w:spacing w:after="0"/>
        <w:rPr>
          <w:rFonts w:cs="Arial"/>
          <w:color w:val="000000"/>
          <w:lang w:eastAsia="en-US"/>
        </w:rPr>
      </w:pPr>
      <w:r w:rsidRPr="30554478">
        <w:rPr>
          <w:rFonts w:cs="Arial"/>
          <w:color w:val="000000" w:themeColor="text1"/>
          <w:lang w:eastAsia="en-US"/>
        </w:rPr>
        <w:lastRenderedPageBreak/>
        <w:t xml:space="preserve">c) Dotar a la administración de los recursos para disponer y mantener un sistema de información gerencial íntegro y confiable, que permita tomar decisiones oportunas y adecuadas. </w:t>
      </w:r>
    </w:p>
    <w:p w14:paraId="26C2C2EB" w14:textId="7F3FAA49" w:rsidR="001373E8" w:rsidRPr="001373E8" w:rsidRDefault="30554478" w:rsidP="009053EE">
      <w:pPr>
        <w:autoSpaceDE w:val="0"/>
        <w:autoSpaceDN w:val="0"/>
        <w:adjustRightInd w:val="0"/>
        <w:spacing w:after="39"/>
        <w:rPr>
          <w:rFonts w:cs="Arial"/>
          <w:color w:val="000000"/>
          <w:lang w:eastAsia="en-US"/>
        </w:rPr>
      </w:pPr>
      <w:r w:rsidRPr="30554478">
        <w:rPr>
          <w:rFonts w:cs="Arial"/>
          <w:color w:val="000000" w:themeColor="text1"/>
          <w:lang w:eastAsia="en-US"/>
        </w:rPr>
        <w:t xml:space="preserve">d) Conocer y aprobar los objetivos de desempeño de las gerencias, así como su evaluación anual. </w:t>
      </w:r>
    </w:p>
    <w:p w14:paraId="1360B1DD" w14:textId="086D29AC" w:rsidR="001373E8" w:rsidRPr="001373E8" w:rsidRDefault="30554478" w:rsidP="009053EE">
      <w:pPr>
        <w:autoSpaceDE w:val="0"/>
        <w:autoSpaceDN w:val="0"/>
        <w:adjustRightInd w:val="0"/>
        <w:spacing w:after="0"/>
        <w:rPr>
          <w:rFonts w:cs="Arial"/>
          <w:color w:val="000000"/>
          <w:lang w:eastAsia="en-US"/>
        </w:rPr>
      </w:pPr>
      <w:r w:rsidRPr="30554478">
        <w:rPr>
          <w:rFonts w:cs="Arial"/>
          <w:color w:val="000000" w:themeColor="text1"/>
          <w:lang w:eastAsia="en-US"/>
        </w:rPr>
        <w:t xml:space="preserve">f) Aprobar las contrataciones de bienes y servicios que lo requieran por monto. </w:t>
      </w:r>
    </w:p>
    <w:p w14:paraId="7010F4A6" w14:textId="6CD7F72B" w:rsidR="001373E8" w:rsidRPr="001373E8" w:rsidRDefault="30554478" w:rsidP="30554478">
      <w:pPr>
        <w:autoSpaceDE w:val="0"/>
        <w:autoSpaceDN w:val="0"/>
        <w:adjustRightInd w:val="0"/>
        <w:spacing w:after="44"/>
        <w:rPr>
          <w:rFonts w:cs="Arial"/>
          <w:lang w:eastAsia="en-US"/>
        </w:rPr>
      </w:pPr>
      <w:r w:rsidRPr="30554478">
        <w:rPr>
          <w:rFonts w:cs="Arial"/>
          <w:lang w:eastAsia="en-US"/>
        </w:rPr>
        <w:t xml:space="preserve">g) Dictarse su propio reglamento. </w:t>
      </w:r>
    </w:p>
    <w:p w14:paraId="55866EA0" w14:textId="31B3ED15" w:rsidR="001373E8" w:rsidRPr="001373E8" w:rsidRDefault="30554478" w:rsidP="009053EE">
      <w:pPr>
        <w:autoSpaceDE w:val="0"/>
        <w:autoSpaceDN w:val="0"/>
        <w:adjustRightInd w:val="0"/>
        <w:spacing w:after="44"/>
        <w:rPr>
          <w:rFonts w:cs="Arial"/>
          <w:lang w:eastAsia="en-US"/>
        </w:rPr>
      </w:pPr>
      <w:r w:rsidRPr="30554478">
        <w:rPr>
          <w:rFonts w:cs="Arial"/>
          <w:lang w:eastAsia="en-US"/>
        </w:rPr>
        <w:t xml:space="preserve">h) Nombrar a las personas miembros del Comité de Auditoría, así como de otros comités permanentes u ocasionales, cuando corresponda. </w:t>
      </w:r>
    </w:p>
    <w:p w14:paraId="078D735E" w14:textId="6A7B6DEC" w:rsidR="001373E8" w:rsidRPr="001373E8" w:rsidRDefault="30554478" w:rsidP="30554478">
      <w:pPr>
        <w:autoSpaceDE w:val="0"/>
        <w:autoSpaceDN w:val="0"/>
        <w:adjustRightInd w:val="0"/>
        <w:spacing w:after="44"/>
        <w:rPr>
          <w:rFonts w:cs="Arial"/>
          <w:lang w:eastAsia="en-US"/>
        </w:rPr>
      </w:pPr>
      <w:r w:rsidRPr="30554478">
        <w:rPr>
          <w:rFonts w:cs="Arial"/>
          <w:lang w:eastAsia="en-US"/>
        </w:rPr>
        <w:t xml:space="preserve">i) Otorgar y revocar los poderes para el correcto funcionamiento de la empresa. </w:t>
      </w:r>
    </w:p>
    <w:p w14:paraId="588F7FEA" w14:textId="497C5585" w:rsidR="001373E8" w:rsidRPr="001373E8" w:rsidRDefault="30554478" w:rsidP="009053EE">
      <w:pPr>
        <w:autoSpaceDE w:val="0"/>
        <w:autoSpaceDN w:val="0"/>
        <w:adjustRightInd w:val="0"/>
        <w:spacing w:after="44"/>
        <w:rPr>
          <w:rFonts w:cs="Arial"/>
          <w:lang w:eastAsia="en-US"/>
        </w:rPr>
      </w:pPr>
      <w:r w:rsidRPr="30554478">
        <w:rPr>
          <w:rFonts w:cs="Arial"/>
          <w:lang w:eastAsia="en-US"/>
        </w:rPr>
        <w:t xml:space="preserve">j) Emitir las políticas de la empresa para el cumplimiento eficaz y eficiente de sus objetivos funcionales. De igual manera, deberá asegurar la existencia de políticas y procedimientos de denuncia de irregularidades, y vigilar su integridad, independencia y eficacia, así como el de las medidas de protección y confidencialidad de las personas denunciantes. </w:t>
      </w:r>
    </w:p>
    <w:p w14:paraId="142B18A4" w14:textId="012C9B04" w:rsidR="001373E8" w:rsidRPr="001373E8" w:rsidRDefault="30554478" w:rsidP="009053EE">
      <w:pPr>
        <w:autoSpaceDE w:val="0"/>
        <w:autoSpaceDN w:val="0"/>
        <w:adjustRightInd w:val="0"/>
        <w:spacing w:after="44"/>
        <w:rPr>
          <w:rFonts w:cs="Arial"/>
          <w:lang w:eastAsia="en-US"/>
        </w:rPr>
      </w:pPr>
      <w:r w:rsidRPr="30554478">
        <w:rPr>
          <w:rFonts w:cs="Arial"/>
          <w:lang w:eastAsia="en-US"/>
        </w:rPr>
        <w:t xml:space="preserve">k) Aprobar el Código de Gobierno Corporativo y sus reformas, así como las políticas asociadas a esta materia, según la legislación vigente y las mejores prácticas internacionales y, en general, adoptar y supervisar la aplicación de un marco normativo de Gobierno Corporativo que facilite el control de las operaciones, la gestión de los riesgos y el proceso de toma de decisiones. </w:t>
      </w:r>
    </w:p>
    <w:p w14:paraId="545CFCE1" w14:textId="6BAFA96A" w:rsidR="001373E8" w:rsidRPr="001373E8" w:rsidRDefault="30554478" w:rsidP="009053EE">
      <w:pPr>
        <w:autoSpaceDE w:val="0"/>
        <w:autoSpaceDN w:val="0"/>
        <w:adjustRightInd w:val="0"/>
        <w:spacing w:after="44"/>
        <w:rPr>
          <w:rFonts w:cs="Arial"/>
          <w:lang w:eastAsia="en-US"/>
        </w:rPr>
      </w:pPr>
      <w:r w:rsidRPr="30554478">
        <w:rPr>
          <w:rFonts w:cs="Arial"/>
          <w:lang w:eastAsia="en-US"/>
        </w:rPr>
        <w:t xml:space="preserve">l) Aprobar y supervisar el cumplimiento de la declaración del apetito de riesgo, la estrategia de implementación de procesos de gestión de riesgos, las políticas de cumplimiento y el sistema de control interno. </w:t>
      </w:r>
    </w:p>
    <w:p w14:paraId="0E5E3183" w14:textId="49926C2F" w:rsidR="001373E8" w:rsidRPr="001373E8" w:rsidRDefault="30554478" w:rsidP="009053EE">
      <w:pPr>
        <w:autoSpaceDE w:val="0"/>
        <w:autoSpaceDN w:val="0"/>
        <w:adjustRightInd w:val="0"/>
        <w:spacing w:after="44"/>
        <w:rPr>
          <w:rFonts w:cs="Arial"/>
          <w:lang w:eastAsia="en-US"/>
        </w:rPr>
      </w:pPr>
      <w:r w:rsidRPr="30554478">
        <w:rPr>
          <w:rFonts w:cs="Arial"/>
          <w:lang w:eastAsia="en-US"/>
        </w:rPr>
        <w:t xml:space="preserve">m) Promover una cultura de gestión de riesgos, aprobar los planes de continuidad del negocio y atender los incidentes que le sean escalados. </w:t>
      </w:r>
    </w:p>
    <w:p w14:paraId="78B0C8AD" w14:textId="21297408" w:rsidR="001373E8" w:rsidRPr="001373E8" w:rsidRDefault="30554478" w:rsidP="30554478">
      <w:pPr>
        <w:autoSpaceDE w:val="0"/>
        <w:autoSpaceDN w:val="0"/>
        <w:adjustRightInd w:val="0"/>
        <w:spacing w:after="0"/>
        <w:rPr>
          <w:rFonts w:cs="Arial"/>
          <w:color w:val="000000"/>
          <w:lang w:eastAsia="en-US"/>
        </w:rPr>
      </w:pPr>
      <w:r w:rsidRPr="30554478">
        <w:rPr>
          <w:rFonts w:cs="Arial"/>
          <w:color w:val="000000" w:themeColor="text1"/>
          <w:lang w:eastAsia="en-US"/>
        </w:rPr>
        <w:t xml:space="preserve">n) Velar por la solvencia financiera de la entidad, por sus obligaciones de cumplimiento y por su rendimiento corporativo y empresarial. </w:t>
      </w:r>
    </w:p>
    <w:p w14:paraId="310F8C22" w14:textId="77777777" w:rsidR="001373E8" w:rsidRPr="001373E8" w:rsidRDefault="001373E8" w:rsidP="009053EE">
      <w:pPr>
        <w:autoSpaceDE w:val="0"/>
        <w:autoSpaceDN w:val="0"/>
        <w:adjustRightInd w:val="0"/>
        <w:spacing w:after="0"/>
        <w:rPr>
          <w:rFonts w:cs="Arial"/>
          <w:color w:val="000000"/>
          <w:lang w:eastAsia="en-US"/>
        </w:rPr>
      </w:pPr>
    </w:p>
    <w:p w14:paraId="3C7FD4C9" w14:textId="77777777" w:rsidR="001373E8" w:rsidRPr="001373E8" w:rsidRDefault="001373E8" w:rsidP="009053EE">
      <w:pPr>
        <w:autoSpaceDE w:val="0"/>
        <w:autoSpaceDN w:val="0"/>
        <w:adjustRightInd w:val="0"/>
        <w:spacing w:after="0"/>
        <w:rPr>
          <w:rFonts w:cs="Arial"/>
          <w:color w:val="000000"/>
          <w:lang w:eastAsia="en-US"/>
        </w:rPr>
      </w:pPr>
      <w:r w:rsidRPr="001373E8">
        <w:rPr>
          <w:rFonts w:cs="Arial"/>
          <w:color w:val="000000"/>
          <w:lang w:eastAsia="en-US"/>
        </w:rPr>
        <w:t xml:space="preserve">Asimismo, vigilar que la empresa mantenga unos indicadores financieros saludables, y asegurar la aplicación de los estándares internacionales más actualizados de información financiera y de auditoría interna y externa. </w:t>
      </w:r>
    </w:p>
    <w:p w14:paraId="0F12F418" w14:textId="60D4EE51" w:rsidR="001373E8" w:rsidRPr="001373E8" w:rsidRDefault="30554478" w:rsidP="009053EE">
      <w:pPr>
        <w:autoSpaceDE w:val="0"/>
        <w:autoSpaceDN w:val="0"/>
        <w:adjustRightInd w:val="0"/>
        <w:spacing w:after="44"/>
        <w:rPr>
          <w:rFonts w:cs="Arial"/>
          <w:color w:val="000000"/>
          <w:lang w:eastAsia="en-US"/>
        </w:rPr>
      </w:pPr>
      <w:r w:rsidRPr="30554478">
        <w:rPr>
          <w:rFonts w:cs="Arial"/>
          <w:color w:val="000000" w:themeColor="text1"/>
          <w:lang w:eastAsia="en-US"/>
        </w:rPr>
        <w:t xml:space="preserve">o) Aprobar los estados financieros anuales y exigir una revisión independiente periódica de los mismos, cuyos resultados deberán hacerse públicos. </w:t>
      </w:r>
    </w:p>
    <w:p w14:paraId="652B04B9" w14:textId="6BAECBEB" w:rsidR="001373E8" w:rsidRPr="001373E8" w:rsidRDefault="30554478" w:rsidP="009053EE">
      <w:pPr>
        <w:autoSpaceDE w:val="0"/>
        <w:autoSpaceDN w:val="0"/>
        <w:adjustRightInd w:val="0"/>
        <w:spacing w:after="0"/>
        <w:rPr>
          <w:rFonts w:cs="Arial"/>
          <w:color w:val="000000"/>
          <w:lang w:eastAsia="en-US"/>
        </w:rPr>
      </w:pPr>
      <w:r w:rsidRPr="30554478">
        <w:rPr>
          <w:rFonts w:cs="Arial"/>
          <w:color w:val="000000" w:themeColor="text1"/>
          <w:lang w:eastAsia="en-US"/>
        </w:rPr>
        <w:t xml:space="preserve">p) Aprobar los planes anuales operativos, presupuestos y modificaciones presupuestarias de la empresa. </w:t>
      </w:r>
    </w:p>
    <w:p w14:paraId="3E611C67" w14:textId="41DACE47" w:rsidR="001373E8" w:rsidRPr="001373E8" w:rsidRDefault="30554478" w:rsidP="009053EE">
      <w:pPr>
        <w:autoSpaceDE w:val="0"/>
        <w:autoSpaceDN w:val="0"/>
        <w:adjustRightInd w:val="0"/>
        <w:spacing w:after="44"/>
        <w:rPr>
          <w:rFonts w:cs="Arial"/>
          <w:color w:val="000000"/>
          <w:lang w:eastAsia="en-US"/>
        </w:rPr>
      </w:pPr>
      <w:r w:rsidRPr="30554478">
        <w:rPr>
          <w:rFonts w:cs="Arial"/>
          <w:color w:val="000000" w:themeColor="text1"/>
          <w:lang w:eastAsia="en-US"/>
        </w:rPr>
        <w:t xml:space="preserve">q) Aprobar la modificación total o parcial de la estructura orgánica de la empresa, así como autorizar su envío a los entes externos para su correspondiente aprobación. </w:t>
      </w:r>
    </w:p>
    <w:p w14:paraId="2E8B642D" w14:textId="3E182AE5" w:rsidR="001373E8" w:rsidRPr="001373E8" w:rsidRDefault="30554478" w:rsidP="009053EE">
      <w:pPr>
        <w:autoSpaceDE w:val="0"/>
        <w:autoSpaceDN w:val="0"/>
        <w:adjustRightInd w:val="0"/>
        <w:spacing w:after="44"/>
        <w:rPr>
          <w:rFonts w:cs="Arial"/>
          <w:color w:val="000000"/>
          <w:lang w:eastAsia="en-US"/>
        </w:rPr>
      </w:pPr>
      <w:r w:rsidRPr="30554478">
        <w:rPr>
          <w:rFonts w:cs="Arial"/>
          <w:color w:val="000000" w:themeColor="text1"/>
          <w:lang w:eastAsia="en-US"/>
        </w:rPr>
        <w:t xml:space="preserve">r) Recibir los informes de Auditoría Interna y de auditorías externas, del Comité de Auditoría y de otros comités de apoyo, para ordenar las acciones correctivas que se consideren pertinentes. </w:t>
      </w:r>
    </w:p>
    <w:p w14:paraId="4E5CC773" w14:textId="1C17C634" w:rsidR="001373E8" w:rsidRPr="001373E8" w:rsidRDefault="30554478" w:rsidP="30554478">
      <w:pPr>
        <w:autoSpaceDE w:val="0"/>
        <w:autoSpaceDN w:val="0"/>
        <w:adjustRightInd w:val="0"/>
        <w:spacing w:after="44"/>
        <w:rPr>
          <w:rFonts w:cs="Arial"/>
          <w:color w:val="000000"/>
          <w:lang w:eastAsia="en-US"/>
        </w:rPr>
      </w:pPr>
      <w:r w:rsidRPr="30554478">
        <w:rPr>
          <w:rFonts w:cs="Arial"/>
          <w:color w:val="000000" w:themeColor="text1"/>
          <w:lang w:eastAsia="en-US"/>
        </w:rPr>
        <w:t xml:space="preserve">s) Autorizar a la Administración a gestionar financiamientos para proyectos de inversión, incluyendo las autorizaciones que correspondan y el vehículo seleccionado. </w:t>
      </w:r>
    </w:p>
    <w:p w14:paraId="4C27C771" w14:textId="3226D4C0" w:rsidR="002F1045" w:rsidRPr="006E6390" w:rsidRDefault="002F1045" w:rsidP="30554478">
      <w:pPr>
        <w:autoSpaceDE w:val="0"/>
        <w:autoSpaceDN w:val="0"/>
        <w:adjustRightInd w:val="0"/>
        <w:spacing w:after="41"/>
        <w:rPr>
          <w:rFonts w:cs="Arial"/>
          <w:color w:val="000000" w:themeColor="text1"/>
          <w:lang w:eastAsia="en-US"/>
        </w:rPr>
      </w:pPr>
    </w:p>
    <w:p w14:paraId="2D1B16E3" w14:textId="77777777" w:rsidR="002F1045" w:rsidRPr="006E6390" w:rsidRDefault="002F1045" w:rsidP="002F1045">
      <w:pPr>
        <w:rPr>
          <w:rFonts w:cs="Arial"/>
        </w:rPr>
      </w:pPr>
      <w:r w:rsidRPr="006E6390">
        <w:rPr>
          <w:rFonts w:cs="Arial"/>
        </w:rPr>
        <w:lastRenderedPageBreak/>
        <w:t>Son deberes de los miembros de la Junta Directiva:</w:t>
      </w:r>
    </w:p>
    <w:p w14:paraId="594D0936" w14:textId="77777777" w:rsidR="00D71C8B" w:rsidRPr="00D71C8B" w:rsidRDefault="00D71C8B" w:rsidP="00D71C8B">
      <w:pPr>
        <w:autoSpaceDE w:val="0"/>
        <w:autoSpaceDN w:val="0"/>
        <w:adjustRightInd w:val="0"/>
        <w:spacing w:after="37"/>
        <w:rPr>
          <w:rFonts w:cs="Arial"/>
          <w:color w:val="000000"/>
          <w:lang w:eastAsia="en-US"/>
        </w:rPr>
      </w:pPr>
      <w:r w:rsidRPr="00D71C8B">
        <w:rPr>
          <w:rFonts w:cs="Arial"/>
          <w:color w:val="000000"/>
          <w:lang w:eastAsia="en-US"/>
        </w:rPr>
        <w:t xml:space="preserve">a) Asistir a las sesiones ordinarias y extraordinarias, con voz y voto. </w:t>
      </w:r>
    </w:p>
    <w:p w14:paraId="7B674F8E" w14:textId="77777777" w:rsidR="00D71C8B" w:rsidRPr="00D71C8B" w:rsidRDefault="00D71C8B" w:rsidP="00D71C8B">
      <w:pPr>
        <w:autoSpaceDE w:val="0"/>
        <w:autoSpaceDN w:val="0"/>
        <w:adjustRightInd w:val="0"/>
        <w:spacing w:after="37"/>
        <w:rPr>
          <w:rFonts w:cs="Arial"/>
          <w:color w:val="000000"/>
          <w:lang w:eastAsia="en-US"/>
        </w:rPr>
      </w:pPr>
      <w:r w:rsidRPr="00D71C8B">
        <w:rPr>
          <w:rFonts w:cs="Arial"/>
          <w:color w:val="000000"/>
          <w:lang w:eastAsia="en-US"/>
        </w:rPr>
        <w:t xml:space="preserve">b) Votar cada uno de los asuntos sometidos a su conocimiento, pudiendo salvar su voto con motivación justificada, haciéndolo constar así en el acta. En ningún caso podrán abstenerse de votar, salvo por impedimento legal, según lo dispuesto por los artículos 229, 230.1 y 231 de la Ley General de la Administración Pública; 12 del Código Procesal Civil, Ley N° 9342 de 3 de febrero de 2016, y 8 del Código Procesal Contencioso-Administrativo, Ley N° 8508 de 28 de abril de 2006 </w:t>
      </w:r>
    </w:p>
    <w:p w14:paraId="4563ECDA" w14:textId="77777777" w:rsidR="00D71C8B" w:rsidRPr="00D71C8B" w:rsidRDefault="00D71C8B" w:rsidP="00D71C8B">
      <w:pPr>
        <w:autoSpaceDE w:val="0"/>
        <w:autoSpaceDN w:val="0"/>
        <w:adjustRightInd w:val="0"/>
        <w:spacing w:after="37"/>
        <w:rPr>
          <w:rFonts w:cs="Arial"/>
          <w:color w:val="000000"/>
          <w:lang w:eastAsia="en-US"/>
        </w:rPr>
      </w:pPr>
      <w:r w:rsidRPr="00D71C8B">
        <w:rPr>
          <w:rFonts w:cs="Arial"/>
          <w:color w:val="000000"/>
          <w:lang w:eastAsia="en-US"/>
        </w:rPr>
        <w:t xml:space="preserve">c) Tomar decisiones y votar los asuntos sometidos a su conocimiento tomando en consideración los intereses empresariales, el interés público y los intereses y las políticas de la Asamblea de Accionistas de la empresa, representada por el Consejo de Gobierno. </w:t>
      </w:r>
    </w:p>
    <w:p w14:paraId="25824130" w14:textId="77777777" w:rsidR="00D71C8B" w:rsidRPr="00D71C8B" w:rsidRDefault="00D71C8B" w:rsidP="00D71C8B">
      <w:pPr>
        <w:autoSpaceDE w:val="0"/>
        <w:autoSpaceDN w:val="0"/>
        <w:adjustRightInd w:val="0"/>
        <w:spacing w:after="37"/>
        <w:rPr>
          <w:rFonts w:cs="Arial"/>
          <w:color w:val="000000"/>
          <w:lang w:eastAsia="en-US"/>
        </w:rPr>
      </w:pPr>
      <w:r w:rsidRPr="00D71C8B">
        <w:rPr>
          <w:rFonts w:cs="Arial"/>
          <w:color w:val="000000"/>
          <w:lang w:eastAsia="en-US"/>
        </w:rPr>
        <w:t xml:space="preserve">d) Comunicar a la Presidencia cualquier situación de la que se pueda derivar un conflicto de interés, y abstenerse de participar en la discusión y deliberación correspondiente. </w:t>
      </w:r>
    </w:p>
    <w:p w14:paraId="026115BA" w14:textId="214471D2" w:rsidR="00D71C8B" w:rsidRPr="00D71C8B" w:rsidRDefault="00D71C8B" w:rsidP="009053EE">
      <w:pPr>
        <w:autoSpaceDE w:val="0"/>
        <w:autoSpaceDN w:val="0"/>
        <w:adjustRightInd w:val="0"/>
        <w:spacing w:after="0"/>
        <w:rPr>
          <w:rFonts w:cs="Arial"/>
          <w:lang w:eastAsia="en-US"/>
        </w:rPr>
      </w:pPr>
      <w:r w:rsidRPr="00D71C8B">
        <w:rPr>
          <w:rFonts w:cs="Arial"/>
          <w:color w:val="000000"/>
          <w:lang w:eastAsia="en-US"/>
        </w:rPr>
        <w:t xml:space="preserve">e) Presentar declaración jurada de bienes y garantizar, mediante póliza de fidelidad, el desempeño de sus funciones, </w:t>
      </w:r>
      <w:r w:rsidRPr="00D71C8B">
        <w:rPr>
          <w:rFonts w:cs="Arial"/>
          <w:lang w:eastAsia="en-US"/>
        </w:rPr>
        <w:t xml:space="preserve">según la forma y monto que determine la Contraloría General de la República. </w:t>
      </w:r>
    </w:p>
    <w:p w14:paraId="618B292E" w14:textId="77777777" w:rsidR="00D71C8B" w:rsidRPr="00D71C8B" w:rsidRDefault="00D71C8B" w:rsidP="00D71C8B">
      <w:pPr>
        <w:autoSpaceDE w:val="0"/>
        <w:autoSpaceDN w:val="0"/>
        <w:adjustRightInd w:val="0"/>
        <w:spacing w:after="39"/>
        <w:rPr>
          <w:rFonts w:cs="Arial"/>
          <w:lang w:eastAsia="en-US"/>
        </w:rPr>
      </w:pPr>
      <w:r w:rsidRPr="00D71C8B">
        <w:rPr>
          <w:rFonts w:cs="Arial"/>
          <w:lang w:eastAsia="en-US"/>
        </w:rPr>
        <w:t xml:space="preserve">f) Abstenerse de promover, proponer o concertar obligaciones a cargo de RECOPE que sean ajenas al estricto cumplimiento y observancia de las atribuciones, obligaciones, facultades y potestades conferidas por el ordenamiento jurídico. </w:t>
      </w:r>
    </w:p>
    <w:p w14:paraId="32B7B4C9" w14:textId="77777777" w:rsidR="00D71C8B" w:rsidRPr="00D71C8B" w:rsidRDefault="00D71C8B" w:rsidP="00D71C8B">
      <w:pPr>
        <w:autoSpaceDE w:val="0"/>
        <w:autoSpaceDN w:val="0"/>
        <w:adjustRightInd w:val="0"/>
        <w:spacing w:after="39"/>
        <w:rPr>
          <w:rFonts w:cs="Arial"/>
          <w:lang w:eastAsia="en-US"/>
        </w:rPr>
      </w:pPr>
      <w:r w:rsidRPr="00D71C8B">
        <w:rPr>
          <w:rFonts w:cs="Arial"/>
          <w:lang w:eastAsia="en-US"/>
        </w:rPr>
        <w:t xml:space="preserve">g) Utilizar los activos o servicios de la empresa sólo para el cumplimiento de los objetivos establecidos por los estatutos de RECOPE, la ley y los reglamentos. No podrán utilizarse los mismos para fines personales. </w:t>
      </w:r>
    </w:p>
    <w:p w14:paraId="4C9F6327" w14:textId="77777777" w:rsidR="00D71C8B" w:rsidRPr="00D71C8B" w:rsidRDefault="00D71C8B" w:rsidP="00D71C8B">
      <w:pPr>
        <w:autoSpaceDE w:val="0"/>
        <w:autoSpaceDN w:val="0"/>
        <w:adjustRightInd w:val="0"/>
        <w:spacing w:after="39"/>
        <w:rPr>
          <w:rFonts w:cs="Arial"/>
          <w:lang w:eastAsia="en-US"/>
        </w:rPr>
      </w:pPr>
      <w:r w:rsidRPr="00D71C8B">
        <w:rPr>
          <w:rFonts w:cs="Arial"/>
          <w:lang w:eastAsia="en-US"/>
        </w:rPr>
        <w:t xml:space="preserve">h) Realizar la autoevaluación anual de la gestión de la Junta Directiva, tanto individual como colectiva, y de los comités en que participen, de manera objetiva y crítica, y plantear las acciones que estime necesarias para mejorar el desempeño de los órganos de los que forme parte. </w:t>
      </w:r>
    </w:p>
    <w:p w14:paraId="19ABAABC" w14:textId="77777777" w:rsidR="00D71C8B" w:rsidRPr="00D71C8B" w:rsidRDefault="00D71C8B" w:rsidP="00D71C8B">
      <w:pPr>
        <w:autoSpaceDE w:val="0"/>
        <w:autoSpaceDN w:val="0"/>
        <w:adjustRightInd w:val="0"/>
        <w:spacing w:after="39"/>
        <w:rPr>
          <w:rFonts w:cs="Arial"/>
          <w:lang w:eastAsia="en-US"/>
        </w:rPr>
      </w:pPr>
      <w:r w:rsidRPr="00D71C8B">
        <w:rPr>
          <w:rFonts w:cs="Arial"/>
          <w:lang w:eastAsia="en-US"/>
        </w:rPr>
        <w:t xml:space="preserve">i) Presentar el Informe Final de Gestión, conforme lo establece el artículo 12 inciso e) de la Ley General de Control Interno, ante la Asamblea General de Accionistas de RECOPE, representada por el Consejo de Gobierno. </w:t>
      </w:r>
    </w:p>
    <w:p w14:paraId="69C1A06C" w14:textId="454FE188" w:rsidR="00D71C8B" w:rsidRPr="00D71C8B" w:rsidRDefault="03F12F47" w:rsidP="00D71C8B">
      <w:pPr>
        <w:autoSpaceDE w:val="0"/>
        <w:autoSpaceDN w:val="0"/>
        <w:adjustRightInd w:val="0"/>
        <w:spacing w:after="0"/>
        <w:rPr>
          <w:rFonts w:cs="Arial"/>
          <w:lang w:eastAsia="en-US"/>
        </w:rPr>
      </w:pPr>
      <w:r w:rsidRPr="03F12F47">
        <w:rPr>
          <w:rFonts w:cs="Arial"/>
          <w:lang w:eastAsia="en-US"/>
        </w:rPr>
        <w:t xml:space="preserve">j) Actuar conforme al principio de probidad en la función pública, de forma plenamente informada, de buena fe, con debida diligencia y cuidado. </w:t>
      </w:r>
    </w:p>
    <w:p w14:paraId="44343CEE" w14:textId="77777777" w:rsidR="00D71C8B" w:rsidRPr="00D71C8B" w:rsidRDefault="00D71C8B" w:rsidP="00D71C8B">
      <w:pPr>
        <w:autoSpaceDE w:val="0"/>
        <w:autoSpaceDN w:val="0"/>
        <w:adjustRightInd w:val="0"/>
        <w:spacing w:after="0"/>
        <w:rPr>
          <w:rFonts w:cs="Arial"/>
          <w:lang w:eastAsia="en-US"/>
        </w:rPr>
      </w:pPr>
    </w:p>
    <w:p w14:paraId="1BCF6CFF" w14:textId="4E5514C2" w:rsidR="00D71C8B" w:rsidRPr="00D71C8B" w:rsidRDefault="03F12F47" w:rsidP="30554478">
      <w:pPr>
        <w:autoSpaceDE w:val="0"/>
        <w:autoSpaceDN w:val="0"/>
        <w:adjustRightInd w:val="0"/>
        <w:spacing w:after="39"/>
        <w:rPr>
          <w:rFonts w:cs="Arial"/>
          <w:lang w:eastAsia="en-US"/>
        </w:rPr>
      </w:pPr>
      <w:r w:rsidRPr="03F12F47">
        <w:rPr>
          <w:rFonts w:cs="Arial"/>
          <w:lang w:eastAsia="en-US"/>
        </w:rPr>
        <w:t xml:space="preserve">El detalle de las potestades y atribuciones de la Junta Directiva, puede consultarse en:  </w:t>
      </w:r>
      <w:r w:rsidRPr="03F12F47">
        <w:rPr>
          <w:rFonts w:eastAsia="Arial" w:cs="Arial"/>
        </w:rPr>
        <w:t>https://www.recope.go.cr/wp-content/uploads/2022/06/Publicación-Reglamento-Junta-Directiva.pdf</w:t>
      </w:r>
    </w:p>
    <w:p w14:paraId="08181D12" w14:textId="77777777" w:rsidR="002F1045" w:rsidRPr="006E6390" w:rsidRDefault="002F1045" w:rsidP="002F1045">
      <w:pPr>
        <w:autoSpaceDE w:val="0"/>
        <w:autoSpaceDN w:val="0"/>
        <w:adjustRightInd w:val="0"/>
        <w:spacing w:after="0"/>
        <w:jc w:val="left"/>
        <w:rPr>
          <w:rFonts w:cs="Arial"/>
          <w:bCs/>
        </w:rPr>
      </w:pPr>
    </w:p>
    <w:p w14:paraId="201FFE27" w14:textId="77777777" w:rsidR="002F1045" w:rsidRPr="006E6390" w:rsidRDefault="002F1045" w:rsidP="002F1045">
      <w:pPr>
        <w:pStyle w:val="Ttulo3"/>
        <w:rPr>
          <w:rFonts w:cs="Arial"/>
        </w:rPr>
      </w:pPr>
      <w:bookmarkStart w:id="324" w:name="_Toc38630847"/>
      <w:r w:rsidRPr="006E6390">
        <w:rPr>
          <w:rFonts w:cs="Arial"/>
        </w:rPr>
        <w:t>6.1.3. Comité de Auditoría</w:t>
      </w:r>
      <w:bookmarkEnd w:id="324"/>
    </w:p>
    <w:p w14:paraId="0665E401" w14:textId="3DE48FBD" w:rsidR="002F1045" w:rsidRDefault="002F1045" w:rsidP="00094023">
      <w:pPr>
        <w:spacing w:after="0"/>
        <w:rPr>
          <w:rFonts w:cs="Arial"/>
          <w:shd w:val="clear" w:color="auto" w:fill="FFFFFF"/>
        </w:rPr>
      </w:pPr>
      <w:r w:rsidRPr="006E6390">
        <w:rPr>
          <w:rFonts w:cs="Arial"/>
          <w:shd w:val="clear" w:color="auto" w:fill="FFFFFF"/>
        </w:rPr>
        <w:t xml:space="preserve">El Comité de Auditoría de la Refinadora Costarricense de Petróleo S.A., fue creado el 18 de diciembre del 2013 mediante acuerdo tomado por la Junta Directiva de RECOPE en la Sesión Ordinaria #4764-317. Desde su inicio cuenta con un Reglamento que regula su organización, atribuciones y responsabilidades, el cual fue modificado en el mes de </w:t>
      </w:r>
      <w:r w:rsidRPr="006E6390">
        <w:rPr>
          <w:rFonts w:cs="Arial"/>
          <w:shd w:val="clear" w:color="auto" w:fill="FFFFFF"/>
        </w:rPr>
        <w:lastRenderedPageBreak/>
        <w:t>noviembre 2018, ajustándolo a las modificaciones del Reglamento de Gobierno Corporativo, según el SUGEF 16-16.</w:t>
      </w:r>
    </w:p>
    <w:p w14:paraId="046B1131" w14:textId="77777777" w:rsidR="00FF4F27" w:rsidRPr="006E6390" w:rsidRDefault="00FF4F27" w:rsidP="00094023">
      <w:pPr>
        <w:spacing w:after="0"/>
        <w:rPr>
          <w:rFonts w:cs="Arial"/>
          <w:shd w:val="clear" w:color="auto" w:fill="FFFFFF"/>
        </w:rPr>
      </w:pPr>
    </w:p>
    <w:p w14:paraId="0DE8B8EF" w14:textId="71739AFC" w:rsidR="002F1045" w:rsidRDefault="002F1045" w:rsidP="00094023">
      <w:pPr>
        <w:spacing w:after="0"/>
        <w:rPr>
          <w:rFonts w:cs="Arial"/>
          <w:shd w:val="clear" w:color="auto" w:fill="FFFFFF"/>
        </w:rPr>
      </w:pPr>
      <w:r w:rsidRPr="006E6390">
        <w:rPr>
          <w:rFonts w:cs="Arial"/>
          <w:shd w:val="clear" w:color="auto" w:fill="FFFFFF"/>
        </w:rPr>
        <w:t>De acuerdo con lo regulado en el Artículo No.3 - Constitución del Comité de Auditoría del citado Reglamento, el Comité deberá estar integrado por tres personas, de las cuales dos de ellas tendrán que estar nombradas en la Junta Directiva y una podrá ser externa a la Empresa. Se establece que deben tener conocimiento o experiencia en temas relacionados con sus funciones y al menos una de ellas deberá tener experiencia en temas financieros y contables.  El nombramiento del miembro externo se realiza a través de un proceso de contratación administrativa, haciendo partícipe del proceso a la Junta Directiva, mediante el cual se busca contar con un (a) persona profesional en contaduría pública.</w:t>
      </w:r>
    </w:p>
    <w:p w14:paraId="7B0DB79E" w14:textId="77777777" w:rsidR="00FF4F27" w:rsidRPr="006E6390" w:rsidRDefault="00FF4F27" w:rsidP="00094023">
      <w:pPr>
        <w:spacing w:after="0"/>
        <w:rPr>
          <w:rFonts w:cs="Arial"/>
          <w:shd w:val="clear" w:color="auto" w:fill="FFFFFF"/>
        </w:rPr>
      </w:pPr>
    </w:p>
    <w:p w14:paraId="340B4FA3" w14:textId="2881BB27" w:rsidR="002F1045" w:rsidRDefault="002F1045" w:rsidP="00094023">
      <w:pPr>
        <w:spacing w:after="0"/>
        <w:rPr>
          <w:rFonts w:cs="Arial"/>
          <w:shd w:val="clear" w:color="auto" w:fill="FFFFFF"/>
        </w:rPr>
      </w:pPr>
      <w:r w:rsidRPr="006E6390">
        <w:rPr>
          <w:rFonts w:cs="Arial"/>
          <w:shd w:val="clear" w:color="auto" w:fill="FFFFFF"/>
        </w:rPr>
        <w:t>De acuerdo con lo señalado en el Capítulo III – Funcionamiento del Comité de Auditoría, Artículo No.9 – Sesiones del Comité de Auditoría, se establece la obligatoriedad de realizar al menos una sesión al mes; siendo en la práctica que el Comité realiza de dos o tres sesiones mensuales, dependiendo de los temas que se presenten.</w:t>
      </w:r>
    </w:p>
    <w:p w14:paraId="13F57CF8" w14:textId="77777777" w:rsidR="00FF4F27" w:rsidRPr="006E6390" w:rsidRDefault="00FF4F27" w:rsidP="00094023">
      <w:pPr>
        <w:spacing w:after="0"/>
        <w:rPr>
          <w:rFonts w:cs="Arial"/>
          <w:shd w:val="clear" w:color="auto" w:fill="FFFFFF"/>
        </w:rPr>
      </w:pPr>
    </w:p>
    <w:p w14:paraId="30FAFD80" w14:textId="3989A023" w:rsidR="002F1045" w:rsidRDefault="002F1045" w:rsidP="00094023">
      <w:pPr>
        <w:spacing w:after="0"/>
        <w:rPr>
          <w:rFonts w:cs="Arial"/>
          <w:shd w:val="clear" w:color="auto" w:fill="FFFFFF"/>
        </w:rPr>
      </w:pPr>
      <w:r w:rsidRPr="006E6390">
        <w:rPr>
          <w:rFonts w:cs="Arial"/>
          <w:shd w:val="clear" w:color="auto" w:fill="FFFFFF"/>
        </w:rPr>
        <w:t xml:space="preserve">El Comité de Auditoría además de rendir el informe semestral de sus actividades a la Junta Directiva, según se establece en el Artículo No.8 de su Reglamento, mantiene informado al Órgano Colegiado en forma periódica de los temas de mayor relevancia que atiende en sus diferentes sesiones. </w:t>
      </w:r>
    </w:p>
    <w:p w14:paraId="6FD12E96" w14:textId="77777777" w:rsidR="00FF4F27" w:rsidRPr="006E6390" w:rsidRDefault="00FF4F27" w:rsidP="00094023">
      <w:pPr>
        <w:spacing w:after="0"/>
        <w:rPr>
          <w:rFonts w:cs="Arial"/>
          <w:shd w:val="clear" w:color="auto" w:fill="FFFFFF"/>
        </w:rPr>
      </w:pPr>
    </w:p>
    <w:p w14:paraId="27DBF6D0" w14:textId="77777777" w:rsidR="002F1045" w:rsidRPr="006E6390" w:rsidRDefault="002F1045" w:rsidP="002F1045">
      <w:pPr>
        <w:rPr>
          <w:rFonts w:cs="Arial"/>
          <w:shd w:val="clear" w:color="auto" w:fill="FFFFFF"/>
        </w:rPr>
      </w:pPr>
      <w:r w:rsidRPr="006E6390">
        <w:rPr>
          <w:rFonts w:cs="Arial"/>
          <w:shd w:val="clear" w:color="auto" w:fill="FFFFFF"/>
        </w:rPr>
        <w:t xml:space="preserve">Mediante el siguiente </w:t>
      </w:r>
      <w:r w:rsidR="00D64BC1" w:rsidRPr="006E6390">
        <w:rPr>
          <w:rFonts w:cs="Arial"/>
          <w:shd w:val="clear" w:color="auto" w:fill="FFFFFF"/>
        </w:rPr>
        <w:t>enlace</w:t>
      </w:r>
      <w:r w:rsidRPr="006E6390">
        <w:rPr>
          <w:rFonts w:cs="Arial"/>
          <w:shd w:val="clear" w:color="auto" w:fill="FFFFFF"/>
        </w:rPr>
        <w:t xml:space="preserve"> </w:t>
      </w:r>
      <w:hyperlink r:id="rId47" w:tgtFrame="_blank" w:history="1">
        <w:r w:rsidRPr="006E6390">
          <w:rPr>
            <w:rStyle w:val="Hipervnculo"/>
            <w:rFonts w:cs="Arial"/>
            <w:color w:val="auto"/>
            <w:shd w:val="clear" w:color="auto" w:fill="FFFFFF"/>
          </w:rPr>
          <w:t>https://www.recope.go.cr/quienes-somos/gobierno-corporativo/</w:t>
        </w:r>
      </w:hyperlink>
      <w:r w:rsidRPr="006E6390">
        <w:rPr>
          <w:rFonts w:cs="Arial"/>
          <w:shd w:val="clear" w:color="auto" w:fill="FFFFFF"/>
        </w:rPr>
        <w:t>, de la página web de RECOPE, se podrá observar la conformación que ha tenido el Comité desde su inicio y el Reglamento vigente.</w:t>
      </w:r>
    </w:p>
    <w:p w14:paraId="3C983ED6" w14:textId="77777777" w:rsidR="002F1045" w:rsidRPr="006E6390" w:rsidRDefault="002F1045" w:rsidP="002F1045">
      <w:pPr>
        <w:autoSpaceDE w:val="0"/>
        <w:autoSpaceDN w:val="0"/>
        <w:adjustRightInd w:val="0"/>
        <w:spacing w:after="0" w:line="240" w:lineRule="auto"/>
        <w:jc w:val="left"/>
        <w:rPr>
          <w:rFonts w:cs="Arial"/>
          <w:bCs/>
        </w:rPr>
      </w:pPr>
    </w:p>
    <w:p w14:paraId="37AF7734" w14:textId="77777777" w:rsidR="002F1045" w:rsidRPr="006E6390" w:rsidRDefault="002F1045" w:rsidP="002F1045">
      <w:pPr>
        <w:pStyle w:val="Ttulo3"/>
        <w:tabs>
          <w:tab w:val="left" w:pos="9270"/>
        </w:tabs>
        <w:rPr>
          <w:rFonts w:cs="Arial"/>
          <w:lang w:eastAsia="es-MX"/>
        </w:rPr>
      </w:pPr>
      <w:bookmarkStart w:id="325" w:name="_Toc38630848"/>
      <w:r w:rsidRPr="006E6390">
        <w:rPr>
          <w:rFonts w:cs="Arial"/>
          <w:lang w:eastAsia="es-MX"/>
        </w:rPr>
        <w:t>6.1.4. Prácticas de selección del Consejo Directivo</w:t>
      </w:r>
      <w:bookmarkEnd w:id="325"/>
    </w:p>
    <w:p w14:paraId="617CC919" w14:textId="6246B6F8" w:rsidR="002F1045" w:rsidRDefault="002F1045" w:rsidP="00094023">
      <w:pPr>
        <w:tabs>
          <w:tab w:val="left" w:pos="9270"/>
        </w:tabs>
        <w:spacing w:after="0"/>
        <w:rPr>
          <w:rFonts w:cs="Arial"/>
        </w:rPr>
      </w:pPr>
      <w:r w:rsidRPr="006E6390">
        <w:rPr>
          <w:rFonts w:cs="Arial"/>
        </w:rPr>
        <w:t>La selección es potestad del Consejo de Gobierno quien funge como Asamblea de Accionistas, por lo que son nombramientos políticos o discrecionales.</w:t>
      </w:r>
    </w:p>
    <w:p w14:paraId="4DE64034" w14:textId="77777777" w:rsidR="00FF4F27" w:rsidRPr="006E6390" w:rsidRDefault="00FF4F27" w:rsidP="00094023">
      <w:pPr>
        <w:tabs>
          <w:tab w:val="left" w:pos="9270"/>
        </w:tabs>
        <w:spacing w:after="0"/>
        <w:rPr>
          <w:rFonts w:cs="Arial"/>
        </w:rPr>
      </w:pPr>
    </w:p>
    <w:p w14:paraId="0B3BC1AA" w14:textId="77777777" w:rsidR="002F1045" w:rsidRPr="006E6390" w:rsidRDefault="002F1045" w:rsidP="002F1045">
      <w:pPr>
        <w:tabs>
          <w:tab w:val="left" w:pos="9270"/>
        </w:tabs>
        <w:rPr>
          <w:rFonts w:cs="Arial"/>
        </w:rPr>
      </w:pPr>
      <w:r w:rsidRPr="006E6390">
        <w:rPr>
          <w:rFonts w:cs="Arial"/>
        </w:rPr>
        <w:t>Adicionalmente, RECOPE no prevé la adquisición de beneficios por parte de los directores en el evento de terminación del periodo.</w:t>
      </w:r>
    </w:p>
    <w:p w14:paraId="0E815AB9" w14:textId="77777777" w:rsidR="002F1045" w:rsidRPr="006E6390" w:rsidRDefault="002F1045" w:rsidP="002F1045">
      <w:pPr>
        <w:pStyle w:val="Ttulo2"/>
        <w:tabs>
          <w:tab w:val="left" w:pos="9270"/>
        </w:tabs>
        <w:rPr>
          <w:rFonts w:cs="Arial"/>
          <w:szCs w:val="22"/>
          <w:lang w:eastAsia="es-MX"/>
        </w:rPr>
      </w:pPr>
      <w:bookmarkStart w:id="326" w:name="_Toc38630849"/>
      <w:r w:rsidRPr="006E6390">
        <w:rPr>
          <w:rFonts w:cs="Arial"/>
          <w:szCs w:val="22"/>
          <w:lang w:eastAsia="es-MX"/>
        </w:rPr>
        <w:t>6.2. Consejo Consultivo</w:t>
      </w:r>
      <w:bookmarkEnd w:id="326"/>
    </w:p>
    <w:p w14:paraId="13821505" w14:textId="77777777" w:rsidR="002F1045" w:rsidRPr="006E6390" w:rsidRDefault="002F1045" w:rsidP="002F1045">
      <w:pPr>
        <w:tabs>
          <w:tab w:val="left" w:pos="9270"/>
        </w:tabs>
        <w:rPr>
          <w:rFonts w:cs="Arial"/>
        </w:rPr>
      </w:pPr>
      <w:r w:rsidRPr="006E6390">
        <w:rPr>
          <w:rFonts w:cs="Arial"/>
        </w:rPr>
        <w:t>El cuerpo gerencial de RECOPE está compuesto de la siguiente forma:</w:t>
      </w:r>
    </w:p>
    <w:tbl>
      <w:tblPr>
        <w:tblW w:w="860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157"/>
        <w:gridCol w:w="4444"/>
      </w:tblGrid>
      <w:tr w:rsidR="002F1045" w:rsidRPr="006E6390" w14:paraId="347922DD" w14:textId="77777777" w:rsidTr="00D64BC1">
        <w:trPr>
          <w:trHeight w:val="397"/>
          <w:jc w:val="center"/>
        </w:trPr>
        <w:tc>
          <w:tcPr>
            <w:tcW w:w="4157" w:type="dxa"/>
            <w:shd w:val="clear" w:color="auto" w:fill="D9D9D9" w:themeFill="background1" w:themeFillShade="D9"/>
            <w:vAlign w:val="center"/>
          </w:tcPr>
          <w:p w14:paraId="006D21EF" w14:textId="77777777" w:rsidR="002F1045" w:rsidRPr="006E6390" w:rsidRDefault="002F1045" w:rsidP="0015318E">
            <w:pPr>
              <w:pStyle w:val="Tablas"/>
              <w:tabs>
                <w:tab w:val="left" w:pos="9270"/>
              </w:tabs>
              <w:rPr>
                <w:rFonts w:cs="Arial"/>
                <w:b/>
              </w:rPr>
            </w:pPr>
            <w:r w:rsidRPr="006E6390">
              <w:rPr>
                <w:rFonts w:cs="Arial"/>
                <w:b/>
              </w:rPr>
              <w:t>Miembros del Consejo Consultivo</w:t>
            </w:r>
          </w:p>
        </w:tc>
        <w:tc>
          <w:tcPr>
            <w:tcW w:w="4444" w:type="dxa"/>
            <w:shd w:val="clear" w:color="auto" w:fill="D9D9D9" w:themeFill="background1" w:themeFillShade="D9"/>
            <w:vAlign w:val="center"/>
          </w:tcPr>
          <w:p w14:paraId="75BB7B61" w14:textId="77777777" w:rsidR="002F1045" w:rsidRPr="006E6390" w:rsidRDefault="002F1045" w:rsidP="0015318E">
            <w:pPr>
              <w:pStyle w:val="Tablas"/>
              <w:tabs>
                <w:tab w:val="left" w:pos="9270"/>
              </w:tabs>
              <w:rPr>
                <w:rFonts w:cs="Arial"/>
                <w:b/>
              </w:rPr>
            </w:pPr>
            <w:r w:rsidRPr="006E6390">
              <w:rPr>
                <w:rFonts w:cs="Arial"/>
                <w:b/>
              </w:rPr>
              <w:t>Cargo</w:t>
            </w:r>
          </w:p>
        </w:tc>
      </w:tr>
      <w:tr w:rsidR="002F1045" w:rsidRPr="006E6390" w14:paraId="708E8076" w14:textId="77777777" w:rsidTr="00D64BC1">
        <w:trPr>
          <w:trHeight w:val="397"/>
          <w:jc w:val="center"/>
        </w:trPr>
        <w:tc>
          <w:tcPr>
            <w:tcW w:w="4157" w:type="dxa"/>
            <w:vAlign w:val="center"/>
          </w:tcPr>
          <w:p w14:paraId="263B4996" w14:textId="77777777" w:rsidR="002F1045" w:rsidRPr="006E6390" w:rsidRDefault="00C43886" w:rsidP="0015318E">
            <w:pPr>
              <w:spacing w:after="0"/>
              <w:rPr>
                <w:rFonts w:cs="Arial"/>
              </w:rPr>
            </w:pPr>
            <w:r>
              <w:rPr>
                <w:rFonts w:cs="Arial"/>
              </w:rPr>
              <w:t xml:space="preserve">Máster </w:t>
            </w:r>
            <w:r w:rsidR="00991074">
              <w:rPr>
                <w:rFonts w:cs="Arial"/>
              </w:rPr>
              <w:t>Karla Montero Víquez</w:t>
            </w:r>
          </w:p>
        </w:tc>
        <w:tc>
          <w:tcPr>
            <w:tcW w:w="4444" w:type="dxa"/>
            <w:vAlign w:val="center"/>
          </w:tcPr>
          <w:p w14:paraId="4B82B60A" w14:textId="77777777" w:rsidR="002F1045" w:rsidRPr="006E6390" w:rsidRDefault="002F1045" w:rsidP="0015318E">
            <w:pPr>
              <w:spacing w:after="0"/>
              <w:rPr>
                <w:rFonts w:cs="Arial"/>
              </w:rPr>
            </w:pPr>
            <w:r w:rsidRPr="006E6390">
              <w:rPr>
                <w:rFonts w:cs="Arial"/>
              </w:rPr>
              <w:t>Gerente General</w:t>
            </w:r>
          </w:p>
        </w:tc>
      </w:tr>
      <w:tr w:rsidR="002F1045" w:rsidRPr="006E6390" w14:paraId="06D2710A" w14:textId="77777777" w:rsidTr="00D64BC1">
        <w:trPr>
          <w:trHeight w:val="397"/>
          <w:jc w:val="center"/>
        </w:trPr>
        <w:tc>
          <w:tcPr>
            <w:tcW w:w="4157" w:type="dxa"/>
            <w:vAlign w:val="center"/>
          </w:tcPr>
          <w:p w14:paraId="25E31F1D" w14:textId="77777777" w:rsidR="002F1045" w:rsidRPr="006E6390" w:rsidRDefault="00C43886" w:rsidP="0015318E">
            <w:pPr>
              <w:spacing w:after="0"/>
              <w:rPr>
                <w:rFonts w:cs="Arial"/>
              </w:rPr>
            </w:pPr>
            <w:r>
              <w:rPr>
                <w:rFonts w:cs="Arial"/>
              </w:rPr>
              <w:t xml:space="preserve">Lic. </w:t>
            </w:r>
            <w:r w:rsidR="001B007B">
              <w:rPr>
                <w:rFonts w:cs="Arial"/>
              </w:rPr>
              <w:t xml:space="preserve">Germán </w:t>
            </w:r>
            <w:r w:rsidR="00991074">
              <w:rPr>
                <w:rFonts w:cs="Arial"/>
              </w:rPr>
              <w:t>Rodolfo González Blanco</w:t>
            </w:r>
          </w:p>
        </w:tc>
        <w:tc>
          <w:tcPr>
            <w:tcW w:w="4444" w:type="dxa"/>
            <w:vAlign w:val="center"/>
          </w:tcPr>
          <w:p w14:paraId="152D52E9" w14:textId="77777777" w:rsidR="002F1045" w:rsidRPr="006E6390" w:rsidRDefault="002F1045" w:rsidP="0015318E">
            <w:pPr>
              <w:spacing w:after="0"/>
              <w:rPr>
                <w:rFonts w:cs="Arial"/>
              </w:rPr>
            </w:pPr>
            <w:r w:rsidRPr="006E6390">
              <w:rPr>
                <w:rFonts w:cs="Arial"/>
              </w:rPr>
              <w:t>Gerente de Administración y Finanzas</w:t>
            </w:r>
          </w:p>
        </w:tc>
      </w:tr>
      <w:tr w:rsidR="002F1045" w:rsidRPr="006E6390" w14:paraId="27A7C456" w14:textId="77777777" w:rsidTr="00D64BC1">
        <w:trPr>
          <w:trHeight w:val="397"/>
          <w:jc w:val="center"/>
        </w:trPr>
        <w:tc>
          <w:tcPr>
            <w:tcW w:w="4157" w:type="dxa"/>
            <w:vAlign w:val="center"/>
          </w:tcPr>
          <w:p w14:paraId="52474F8B" w14:textId="0101CE83" w:rsidR="002F1045" w:rsidRPr="006E6390" w:rsidRDefault="005002FF" w:rsidP="0015318E">
            <w:pPr>
              <w:spacing w:after="0"/>
              <w:rPr>
                <w:rFonts w:cs="Arial"/>
              </w:rPr>
            </w:pPr>
            <w:r>
              <w:rPr>
                <w:rFonts w:cs="Arial"/>
              </w:rPr>
              <w:t>*</w:t>
            </w:r>
          </w:p>
        </w:tc>
        <w:tc>
          <w:tcPr>
            <w:tcW w:w="4444" w:type="dxa"/>
            <w:vAlign w:val="center"/>
          </w:tcPr>
          <w:p w14:paraId="14C36935" w14:textId="77777777" w:rsidR="002F1045" w:rsidRPr="006E6390" w:rsidRDefault="002F1045" w:rsidP="0015318E">
            <w:pPr>
              <w:spacing w:after="0"/>
              <w:rPr>
                <w:rFonts w:cs="Arial"/>
              </w:rPr>
            </w:pPr>
            <w:r w:rsidRPr="006E6390">
              <w:rPr>
                <w:rFonts w:cs="Arial"/>
              </w:rPr>
              <w:t xml:space="preserve">Gerente de Innovación </w:t>
            </w:r>
          </w:p>
        </w:tc>
      </w:tr>
      <w:tr w:rsidR="002F1045" w:rsidRPr="006E6390" w14:paraId="4DB8B5A7" w14:textId="77777777" w:rsidTr="00D64BC1">
        <w:trPr>
          <w:trHeight w:val="397"/>
          <w:jc w:val="center"/>
        </w:trPr>
        <w:tc>
          <w:tcPr>
            <w:tcW w:w="4157" w:type="dxa"/>
            <w:vAlign w:val="center"/>
          </w:tcPr>
          <w:p w14:paraId="6A23E5EA" w14:textId="77777777" w:rsidR="002F1045" w:rsidRPr="006E6390" w:rsidRDefault="002F1045" w:rsidP="0015318E">
            <w:pPr>
              <w:spacing w:after="0"/>
              <w:rPr>
                <w:rFonts w:cs="Arial"/>
              </w:rPr>
            </w:pPr>
            <w:r w:rsidRPr="006E6390">
              <w:rPr>
                <w:rFonts w:cs="Arial"/>
              </w:rPr>
              <w:lastRenderedPageBreak/>
              <w:t xml:space="preserve">Ing. </w:t>
            </w:r>
            <w:r w:rsidR="00324A6D">
              <w:rPr>
                <w:rFonts w:cs="Arial"/>
              </w:rPr>
              <w:t xml:space="preserve">Alexander </w:t>
            </w:r>
            <w:r w:rsidR="00991074">
              <w:rPr>
                <w:rFonts w:cs="Arial"/>
              </w:rPr>
              <w:t>Davis Barquero</w:t>
            </w:r>
          </w:p>
        </w:tc>
        <w:tc>
          <w:tcPr>
            <w:tcW w:w="4444" w:type="dxa"/>
            <w:vAlign w:val="center"/>
          </w:tcPr>
          <w:p w14:paraId="7E383791" w14:textId="77777777" w:rsidR="002F1045" w:rsidRPr="006E6390" w:rsidRDefault="002F1045" w:rsidP="0015318E">
            <w:pPr>
              <w:spacing w:after="0"/>
              <w:rPr>
                <w:rFonts w:cs="Arial"/>
              </w:rPr>
            </w:pPr>
            <w:r w:rsidRPr="006E6390">
              <w:rPr>
                <w:rFonts w:cs="Arial"/>
              </w:rPr>
              <w:t>Gerente de Servicios Técnicos</w:t>
            </w:r>
          </w:p>
        </w:tc>
      </w:tr>
      <w:tr w:rsidR="002F1045" w:rsidRPr="006E6390" w14:paraId="136EA064" w14:textId="77777777" w:rsidTr="00D64BC1">
        <w:trPr>
          <w:trHeight w:val="397"/>
          <w:jc w:val="center"/>
        </w:trPr>
        <w:tc>
          <w:tcPr>
            <w:tcW w:w="4157" w:type="dxa"/>
            <w:vAlign w:val="center"/>
          </w:tcPr>
          <w:p w14:paraId="421DAACC" w14:textId="77777777" w:rsidR="002F1045" w:rsidRPr="006E6390" w:rsidRDefault="00476900" w:rsidP="0015318E">
            <w:pPr>
              <w:spacing w:after="0"/>
              <w:rPr>
                <w:rFonts w:cs="Arial"/>
              </w:rPr>
            </w:pPr>
            <w:r w:rsidRPr="006E6390">
              <w:rPr>
                <w:rFonts w:cs="Arial"/>
              </w:rPr>
              <w:t>Ing. Patricia Camacho Castro</w:t>
            </w:r>
          </w:p>
        </w:tc>
        <w:tc>
          <w:tcPr>
            <w:tcW w:w="4444" w:type="dxa"/>
            <w:vAlign w:val="center"/>
          </w:tcPr>
          <w:p w14:paraId="072E39DE" w14:textId="77777777" w:rsidR="002F1045" w:rsidRPr="006E6390" w:rsidRDefault="002F1045" w:rsidP="0015318E">
            <w:pPr>
              <w:spacing w:after="0"/>
              <w:rPr>
                <w:rFonts w:cs="Arial"/>
              </w:rPr>
            </w:pPr>
            <w:r w:rsidRPr="006E6390">
              <w:rPr>
                <w:rFonts w:cs="Arial"/>
              </w:rPr>
              <w:t>Gerente de Operaciones</w:t>
            </w:r>
          </w:p>
        </w:tc>
      </w:tr>
    </w:tbl>
    <w:p w14:paraId="160BCC49" w14:textId="64B3A2CF" w:rsidR="002F1045" w:rsidRPr="005002FF" w:rsidRDefault="005002FF" w:rsidP="002F1045">
      <w:pPr>
        <w:rPr>
          <w:rFonts w:cs="Arial"/>
          <w:sz w:val="20"/>
          <w:szCs w:val="20"/>
        </w:rPr>
      </w:pPr>
      <w:r w:rsidRPr="005002FF">
        <w:rPr>
          <w:rFonts w:cs="Arial"/>
          <w:sz w:val="20"/>
          <w:szCs w:val="20"/>
        </w:rPr>
        <w:t>Nota: * Mediante Comunicado de Hecho Relevante (CHR-1176 de 22 de marzo de 2023) se comunicó la renuncia del señor Guillermo Monge Guevara, sin embargo, a la fecha no se ha nombrado a un sustituto por lo que la señora gerente general asumió con recargo esta gerencia.</w:t>
      </w:r>
    </w:p>
    <w:p w14:paraId="1A86CD2D" w14:textId="77777777" w:rsidR="005002FF" w:rsidRPr="006E6390" w:rsidRDefault="005002FF" w:rsidP="002F1045">
      <w:pPr>
        <w:rPr>
          <w:rFonts w:cs="Arial"/>
        </w:rPr>
      </w:pPr>
    </w:p>
    <w:p w14:paraId="5DA8C996" w14:textId="77777777" w:rsidR="002F1045" w:rsidRPr="006E6390" w:rsidRDefault="002F1045" w:rsidP="002F1045">
      <w:pPr>
        <w:rPr>
          <w:rFonts w:cs="Arial"/>
        </w:rPr>
      </w:pPr>
      <w:r w:rsidRPr="00094023">
        <w:rPr>
          <w:rFonts w:cs="Arial"/>
          <w:b/>
          <w:bCs/>
        </w:rPr>
        <w:t>Gerente General:</w:t>
      </w:r>
      <w:r w:rsidRPr="006E6390">
        <w:rPr>
          <w:rFonts w:cs="Arial"/>
        </w:rPr>
        <w:t xml:space="preserve"> </w:t>
      </w:r>
      <w:r w:rsidR="00C43886">
        <w:rPr>
          <w:rFonts w:cs="Arial"/>
        </w:rPr>
        <w:t xml:space="preserve">Máster </w:t>
      </w:r>
      <w:r w:rsidR="00991074">
        <w:rPr>
          <w:rFonts w:cs="Arial"/>
        </w:rPr>
        <w:t>Karla Patricia Montero Víquez</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59CD4D89" w14:textId="77777777" w:rsidTr="00D64BC1">
        <w:tc>
          <w:tcPr>
            <w:tcW w:w="3428" w:type="dxa"/>
          </w:tcPr>
          <w:p w14:paraId="2F4A5AC2" w14:textId="77777777" w:rsidR="002F1045" w:rsidRPr="006E6390" w:rsidRDefault="002F1045" w:rsidP="0015318E">
            <w:pPr>
              <w:spacing w:after="120"/>
              <w:rPr>
                <w:rFonts w:cs="Arial"/>
              </w:rPr>
            </w:pPr>
            <w:r w:rsidRPr="006E6390">
              <w:rPr>
                <w:rFonts w:cs="Arial"/>
              </w:rPr>
              <w:t>Nacionalidad</w:t>
            </w:r>
          </w:p>
        </w:tc>
        <w:tc>
          <w:tcPr>
            <w:tcW w:w="5499" w:type="dxa"/>
          </w:tcPr>
          <w:p w14:paraId="52888118" w14:textId="77777777" w:rsidR="002F1045" w:rsidRPr="002039D8" w:rsidRDefault="002F1045" w:rsidP="0015318E">
            <w:pPr>
              <w:spacing w:after="120"/>
              <w:rPr>
                <w:rFonts w:cs="Arial"/>
              </w:rPr>
            </w:pPr>
            <w:r w:rsidRPr="002039D8">
              <w:rPr>
                <w:rFonts w:cs="Arial"/>
              </w:rPr>
              <w:t>Costarricense</w:t>
            </w:r>
          </w:p>
        </w:tc>
      </w:tr>
      <w:tr w:rsidR="002F1045" w:rsidRPr="006E6390" w14:paraId="6B280BEB" w14:textId="77777777" w:rsidTr="00D64BC1">
        <w:tc>
          <w:tcPr>
            <w:tcW w:w="3428" w:type="dxa"/>
          </w:tcPr>
          <w:p w14:paraId="3424561D" w14:textId="77777777" w:rsidR="002F1045" w:rsidRPr="006E6390" w:rsidRDefault="002F1045" w:rsidP="0015318E">
            <w:pPr>
              <w:spacing w:after="120"/>
              <w:rPr>
                <w:rFonts w:cs="Arial"/>
              </w:rPr>
            </w:pPr>
            <w:r w:rsidRPr="006E6390">
              <w:rPr>
                <w:rFonts w:cs="Arial"/>
              </w:rPr>
              <w:t>Año de Nacimiento</w:t>
            </w:r>
          </w:p>
        </w:tc>
        <w:tc>
          <w:tcPr>
            <w:tcW w:w="5499" w:type="dxa"/>
          </w:tcPr>
          <w:p w14:paraId="71086C1A" w14:textId="77777777" w:rsidR="002F1045" w:rsidRPr="00B93EED" w:rsidRDefault="00C126AA" w:rsidP="0015318E">
            <w:pPr>
              <w:spacing w:after="120"/>
              <w:rPr>
                <w:rFonts w:cs="Arial"/>
              </w:rPr>
            </w:pPr>
            <w:r w:rsidRPr="002039D8">
              <w:rPr>
                <w:rFonts w:cs="Arial"/>
              </w:rPr>
              <w:t>1976</w:t>
            </w:r>
          </w:p>
        </w:tc>
      </w:tr>
      <w:tr w:rsidR="002F1045" w:rsidRPr="006E6390" w14:paraId="7DE802DF" w14:textId="77777777" w:rsidTr="00D64BC1">
        <w:tc>
          <w:tcPr>
            <w:tcW w:w="3428" w:type="dxa"/>
          </w:tcPr>
          <w:p w14:paraId="7A5E148D" w14:textId="77777777" w:rsidR="002F1045" w:rsidRPr="006E6390" w:rsidRDefault="002F1045" w:rsidP="0015318E">
            <w:pPr>
              <w:spacing w:after="120"/>
              <w:rPr>
                <w:rFonts w:cs="Arial"/>
              </w:rPr>
            </w:pPr>
            <w:r w:rsidRPr="006E6390">
              <w:rPr>
                <w:rFonts w:cs="Arial"/>
              </w:rPr>
              <w:t>Poderes que ostenta</w:t>
            </w:r>
          </w:p>
        </w:tc>
        <w:tc>
          <w:tcPr>
            <w:tcW w:w="5499" w:type="dxa"/>
          </w:tcPr>
          <w:p w14:paraId="064771DE" w14:textId="77777777" w:rsidR="002F1045" w:rsidRPr="00B93EED" w:rsidRDefault="002F1045" w:rsidP="00E9578F">
            <w:pPr>
              <w:spacing w:after="120"/>
              <w:rPr>
                <w:rFonts w:cs="Arial"/>
              </w:rPr>
            </w:pPr>
            <w:r w:rsidRPr="002039D8">
              <w:rPr>
                <w:rFonts w:cs="Arial"/>
              </w:rPr>
              <w:t xml:space="preserve">Poder Generalísimo sin </w:t>
            </w:r>
            <w:r w:rsidR="00E9578F" w:rsidRPr="002039D8">
              <w:rPr>
                <w:rFonts w:cs="Arial"/>
              </w:rPr>
              <w:t xml:space="preserve">límite </w:t>
            </w:r>
            <w:r w:rsidRPr="00B93EED">
              <w:rPr>
                <w:rFonts w:cs="Arial"/>
              </w:rPr>
              <w:t>de suma</w:t>
            </w:r>
          </w:p>
        </w:tc>
      </w:tr>
      <w:tr w:rsidR="002F1045" w:rsidRPr="006E6390" w14:paraId="6624EF24" w14:textId="77777777" w:rsidTr="00D64BC1">
        <w:tc>
          <w:tcPr>
            <w:tcW w:w="3428" w:type="dxa"/>
          </w:tcPr>
          <w:p w14:paraId="48C3322D" w14:textId="77777777" w:rsidR="002F1045" w:rsidRPr="006E6390" w:rsidRDefault="002F1045" w:rsidP="0015318E">
            <w:pPr>
              <w:spacing w:after="120"/>
              <w:rPr>
                <w:rFonts w:cs="Arial"/>
              </w:rPr>
            </w:pPr>
            <w:r w:rsidRPr="006E6390">
              <w:rPr>
                <w:rFonts w:cs="Arial"/>
              </w:rPr>
              <w:t>Fecha de nombramiento</w:t>
            </w:r>
          </w:p>
        </w:tc>
        <w:tc>
          <w:tcPr>
            <w:tcW w:w="5499" w:type="dxa"/>
          </w:tcPr>
          <w:p w14:paraId="0368CA48" w14:textId="77777777" w:rsidR="002F1045" w:rsidRPr="00B93EED" w:rsidRDefault="00C126AA" w:rsidP="0015318E">
            <w:pPr>
              <w:spacing w:after="120"/>
              <w:rPr>
                <w:rFonts w:cs="Arial"/>
              </w:rPr>
            </w:pPr>
            <w:r w:rsidRPr="002039D8">
              <w:rPr>
                <w:rFonts w:cs="Arial"/>
              </w:rPr>
              <w:t xml:space="preserve">18 </w:t>
            </w:r>
            <w:r w:rsidR="002F1045" w:rsidRPr="00B93EED">
              <w:rPr>
                <w:rFonts w:cs="Arial"/>
              </w:rPr>
              <w:t xml:space="preserve">de julio de </w:t>
            </w:r>
            <w:r w:rsidRPr="00B93EED">
              <w:rPr>
                <w:rFonts w:cs="Arial"/>
              </w:rPr>
              <w:t>2022</w:t>
            </w:r>
          </w:p>
        </w:tc>
      </w:tr>
      <w:tr w:rsidR="002F1045" w:rsidRPr="006E6390" w14:paraId="38D703BD" w14:textId="77777777" w:rsidTr="00D64BC1">
        <w:tc>
          <w:tcPr>
            <w:tcW w:w="3428" w:type="dxa"/>
          </w:tcPr>
          <w:p w14:paraId="31F720C1"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70B05C6F" w14:textId="77777777" w:rsidR="002F1045" w:rsidRPr="00B93EED" w:rsidRDefault="00D96093" w:rsidP="0015318E">
            <w:pPr>
              <w:spacing w:after="120"/>
              <w:rPr>
                <w:rFonts w:cs="Arial"/>
              </w:rPr>
            </w:pPr>
            <w:r>
              <w:rPr>
                <w:rFonts w:cs="Arial"/>
              </w:rPr>
              <w:t>Indefinido</w:t>
            </w:r>
          </w:p>
        </w:tc>
      </w:tr>
      <w:tr w:rsidR="002F1045" w:rsidRPr="006E6390" w14:paraId="565848EE" w14:textId="77777777" w:rsidTr="00D64BC1">
        <w:tc>
          <w:tcPr>
            <w:tcW w:w="3428" w:type="dxa"/>
          </w:tcPr>
          <w:p w14:paraId="2BB7356A"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2E88EF7D" w14:textId="77777777" w:rsidR="002F1045" w:rsidRPr="006E6390" w:rsidRDefault="002F1045" w:rsidP="0015318E">
            <w:pPr>
              <w:spacing w:after="120"/>
              <w:rPr>
                <w:rFonts w:cs="Arial"/>
              </w:rPr>
            </w:pPr>
            <w:r w:rsidRPr="006E6390">
              <w:rPr>
                <w:rFonts w:cs="Arial"/>
              </w:rPr>
              <w:t>Ninguno</w:t>
            </w:r>
          </w:p>
        </w:tc>
      </w:tr>
      <w:tr w:rsidR="002F1045" w:rsidRPr="00C73D08" w14:paraId="11A04681" w14:textId="77777777" w:rsidTr="00D64BC1">
        <w:tc>
          <w:tcPr>
            <w:tcW w:w="3428" w:type="dxa"/>
          </w:tcPr>
          <w:p w14:paraId="13F2A6FC" w14:textId="77777777" w:rsidR="002F1045" w:rsidRPr="006E6390" w:rsidRDefault="002F1045" w:rsidP="0015318E">
            <w:pPr>
              <w:spacing w:after="120"/>
              <w:rPr>
                <w:rFonts w:cs="Arial"/>
              </w:rPr>
            </w:pPr>
            <w:r w:rsidRPr="006E6390">
              <w:rPr>
                <w:rFonts w:cs="Arial"/>
              </w:rPr>
              <w:t>Currículum</w:t>
            </w:r>
          </w:p>
        </w:tc>
        <w:tc>
          <w:tcPr>
            <w:tcW w:w="5499" w:type="dxa"/>
          </w:tcPr>
          <w:p w14:paraId="5EFCC0D3" w14:textId="77777777" w:rsidR="00533B90" w:rsidRPr="00324A6D" w:rsidRDefault="00533B90" w:rsidP="00C43886">
            <w:pPr>
              <w:spacing w:after="120" w:line="240" w:lineRule="auto"/>
              <w:rPr>
                <w:rFonts w:cs="Arial"/>
                <w:color w:val="000000" w:themeColor="text1"/>
              </w:rPr>
            </w:pPr>
            <w:r w:rsidRPr="00324A6D">
              <w:rPr>
                <w:rFonts w:cs="Arial"/>
                <w:color w:val="000000" w:themeColor="text1"/>
              </w:rPr>
              <w:t>Licenciatura en Economía, Universidad Nacional (2001)</w:t>
            </w:r>
          </w:p>
          <w:p w14:paraId="217E5019" w14:textId="77777777" w:rsidR="00533B90" w:rsidRPr="00324A6D" w:rsidRDefault="00533B90" w:rsidP="00C43886">
            <w:pPr>
              <w:spacing w:after="120" w:line="240" w:lineRule="auto"/>
              <w:rPr>
                <w:rFonts w:cs="Arial"/>
                <w:color w:val="000000" w:themeColor="text1"/>
              </w:rPr>
            </w:pPr>
            <w:r w:rsidRPr="00324A6D">
              <w:rPr>
                <w:rFonts w:cs="Arial"/>
                <w:color w:val="000000" w:themeColor="text1"/>
              </w:rPr>
              <w:t>Magíster en Economía de la Regulación, Universidad de Costa Rica (2006)</w:t>
            </w:r>
          </w:p>
          <w:p w14:paraId="05D382B6" w14:textId="77777777" w:rsidR="00533B90" w:rsidRPr="00324A6D" w:rsidRDefault="001915B7" w:rsidP="00C43886">
            <w:pPr>
              <w:spacing w:after="120" w:line="240" w:lineRule="auto"/>
              <w:rPr>
                <w:rFonts w:cs="Arial"/>
                <w:color w:val="000000" w:themeColor="text1"/>
              </w:rPr>
            </w:pPr>
            <w:r w:rsidRPr="00324A6D">
              <w:rPr>
                <w:rFonts w:cs="Arial"/>
                <w:color w:val="000000" w:themeColor="text1"/>
              </w:rPr>
              <w:t>Bachiller</w:t>
            </w:r>
            <w:r w:rsidR="00533B90" w:rsidRPr="00324A6D">
              <w:rPr>
                <w:rFonts w:cs="Arial"/>
                <w:color w:val="000000" w:themeColor="text1"/>
              </w:rPr>
              <w:t xml:space="preserve"> en Economía, Universidad Nacional (</w:t>
            </w:r>
            <w:r w:rsidRPr="00324A6D">
              <w:rPr>
                <w:rFonts w:cs="Arial"/>
                <w:color w:val="000000" w:themeColor="text1"/>
              </w:rPr>
              <w:t>1999</w:t>
            </w:r>
            <w:r w:rsidR="00533B90" w:rsidRPr="00324A6D">
              <w:rPr>
                <w:rFonts w:cs="Arial"/>
                <w:color w:val="000000" w:themeColor="text1"/>
              </w:rPr>
              <w:t>)</w:t>
            </w:r>
          </w:p>
          <w:p w14:paraId="1E4A395D" w14:textId="77777777" w:rsidR="00533B90" w:rsidRPr="00324A6D" w:rsidRDefault="001915B7" w:rsidP="00C43886">
            <w:pPr>
              <w:spacing w:after="120" w:line="240" w:lineRule="auto"/>
              <w:rPr>
                <w:rFonts w:cs="Arial"/>
                <w:color w:val="000000" w:themeColor="text1"/>
              </w:rPr>
            </w:pPr>
            <w:r w:rsidRPr="00324A6D">
              <w:rPr>
                <w:rFonts w:cs="Arial"/>
                <w:color w:val="000000" w:themeColor="text1"/>
              </w:rPr>
              <w:t>Especialidad en Regulación de Combustibles Limpios</w:t>
            </w:r>
            <w:r w:rsidR="009D6337" w:rsidRPr="00324A6D">
              <w:rPr>
                <w:rFonts w:cs="Arial"/>
                <w:color w:val="000000" w:themeColor="text1"/>
              </w:rPr>
              <w:t>, Universidad ESAN</w:t>
            </w:r>
            <w:r w:rsidRPr="00324A6D">
              <w:rPr>
                <w:rFonts w:cs="Arial"/>
                <w:color w:val="000000" w:themeColor="text1"/>
              </w:rPr>
              <w:t xml:space="preserve"> (2022)</w:t>
            </w:r>
          </w:p>
          <w:p w14:paraId="208775EF" w14:textId="77777777" w:rsidR="001915B7" w:rsidRPr="00324A6D" w:rsidRDefault="009D6337" w:rsidP="00C43886">
            <w:pPr>
              <w:spacing w:after="120" w:line="240" w:lineRule="auto"/>
              <w:rPr>
                <w:rFonts w:cs="Arial"/>
                <w:color w:val="000000" w:themeColor="text1"/>
              </w:rPr>
            </w:pPr>
            <w:r w:rsidRPr="00324A6D">
              <w:rPr>
                <w:rFonts w:cs="Arial"/>
                <w:color w:val="000000" w:themeColor="text1"/>
              </w:rPr>
              <w:t>Especialidad en Derecho y Políticas de Competencia, Lead University (2020)</w:t>
            </w:r>
          </w:p>
          <w:p w14:paraId="07C420CD" w14:textId="77777777" w:rsidR="002F1045" w:rsidRDefault="00C73D08" w:rsidP="00C43886">
            <w:pPr>
              <w:spacing w:after="120" w:line="240" w:lineRule="auto"/>
            </w:pPr>
            <w:r>
              <w:t>Analista Económico-Regulatorio, Intendencia de Energía y Centro de Desarrollo de la Regulación, Autoridad Reguladora de los Servicios Públicos.</w:t>
            </w:r>
          </w:p>
          <w:p w14:paraId="0A2B1D2F" w14:textId="77777777" w:rsidR="00C73D08" w:rsidRDefault="00C73D08" w:rsidP="00C43886">
            <w:pPr>
              <w:spacing w:after="120" w:line="240" w:lineRule="auto"/>
              <w:rPr>
                <w:rFonts w:cs="Arial"/>
              </w:rPr>
            </w:pPr>
            <w:r>
              <w:t>Asesora del Intendente de Energía, Autoridad Reguladora de los Servicios Públicos</w:t>
            </w:r>
          </w:p>
          <w:p w14:paraId="330B5D35" w14:textId="77777777" w:rsidR="00C73D08" w:rsidRDefault="00C73D08" w:rsidP="00C43886">
            <w:pPr>
              <w:spacing w:after="120" w:line="240" w:lineRule="auto"/>
            </w:pPr>
            <w:r>
              <w:t>Analista Económico-Regulatorio, Dirección General de Asesoría Jurídica y Regulatoria. Autoridad Reguladora de los Servicios Públicos.</w:t>
            </w:r>
          </w:p>
          <w:p w14:paraId="56037885" w14:textId="77777777" w:rsidR="00C73D08" w:rsidRPr="003F2D48" w:rsidRDefault="00C73D08" w:rsidP="00C43886">
            <w:pPr>
              <w:spacing w:after="120" w:line="240" w:lineRule="auto"/>
            </w:pPr>
            <w:r w:rsidRPr="003F2D48">
              <w:t>Account Manager, Global Wholesale, AT&amp;T. Subcontratada por Manpower.</w:t>
            </w:r>
          </w:p>
          <w:p w14:paraId="5E335DFB" w14:textId="77777777" w:rsidR="00C73D08" w:rsidRDefault="00C73D08" w:rsidP="00C43886">
            <w:pPr>
              <w:spacing w:after="120" w:line="240" w:lineRule="auto"/>
            </w:pPr>
            <w:r>
              <w:lastRenderedPageBreak/>
              <w:t>Analista Tarifario del sector eléctrico y concesión de obra pública, Dirección de Servicios de Energía, Autoridad Reguladora de los Servicios Públicos.</w:t>
            </w:r>
          </w:p>
          <w:p w14:paraId="73A953F3" w14:textId="77777777" w:rsidR="00C73D08" w:rsidRPr="003F2D48" w:rsidRDefault="00DC223F" w:rsidP="00094023">
            <w:pPr>
              <w:spacing w:after="0" w:line="240" w:lineRule="auto"/>
            </w:pPr>
            <w:r>
              <w:t>Analista Financiero, Neeman ICIC S.A.</w:t>
            </w:r>
          </w:p>
          <w:p w14:paraId="42069573" w14:textId="77777777" w:rsidR="00C73D08" w:rsidRPr="00C73D08" w:rsidRDefault="00C73D08" w:rsidP="00C43886">
            <w:pPr>
              <w:spacing w:after="120" w:line="240" w:lineRule="auto"/>
              <w:rPr>
                <w:rFonts w:cs="Arial"/>
              </w:rPr>
            </w:pPr>
          </w:p>
        </w:tc>
      </w:tr>
      <w:tr w:rsidR="002F1045" w:rsidRPr="006E6390" w14:paraId="006627AD" w14:textId="77777777" w:rsidTr="00D64BC1">
        <w:tc>
          <w:tcPr>
            <w:tcW w:w="3428" w:type="dxa"/>
          </w:tcPr>
          <w:p w14:paraId="4CBD81A7"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1D23C5C0" w14:textId="77777777" w:rsidR="002F1045" w:rsidRPr="003F2D48" w:rsidRDefault="002F1045" w:rsidP="0015318E">
            <w:pPr>
              <w:spacing w:after="120"/>
              <w:rPr>
                <w:rFonts w:cs="Arial"/>
              </w:rPr>
            </w:pPr>
          </w:p>
        </w:tc>
      </w:tr>
    </w:tbl>
    <w:p w14:paraId="6A0CD1EA" w14:textId="77777777" w:rsidR="002F1045" w:rsidRPr="003F2D48" w:rsidRDefault="002F1045" w:rsidP="002F1045">
      <w:pPr>
        <w:rPr>
          <w:rFonts w:cs="Arial"/>
        </w:rPr>
      </w:pPr>
    </w:p>
    <w:p w14:paraId="08DDF573" w14:textId="77777777" w:rsidR="002F1045" w:rsidRPr="006E6390" w:rsidRDefault="002F1045" w:rsidP="002F1045">
      <w:pPr>
        <w:rPr>
          <w:rFonts w:cs="Arial"/>
        </w:rPr>
      </w:pPr>
      <w:r w:rsidRPr="00094023">
        <w:rPr>
          <w:rFonts w:cs="Arial"/>
          <w:b/>
          <w:bCs/>
        </w:rPr>
        <w:t>Gerente de Administración y Finanzas</w:t>
      </w:r>
      <w:r w:rsidRPr="006E6390">
        <w:rPr>
          <w:rFonts w:cs="Arial"/>
        </w:rPr>
        <w:t xml:space="preserve">: </w:t>
      </w:r>
      <w:r w:rsidR="003F2D48">
        <w:rPr>
          <w:rFonts w:cs="Arial"/>
        </w:rPr>
        <w:t>Lic. Germán Rodolfo González Blanco</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328E25F1" w14:textId="77777777" w:rsidTr="00D64BC1">
        <w:tc>
          <w:tcPr>
            <w:tcW w:w="3428" w:type="dxa"/>
          </w:tcPr>
          <w:p w14:paraId="461DECCE" w14:textId="77777777" w:rsidR="002F1045" w:rsidRPr="006E6390" w:rsidRDefault="002F1045" w:rsidP="0015318E">
            <w:pPr>
              <w:spacing w:after="120"/>
              <w:rPr>
                <w:rFonts w:cs="Arial"/>
              </w:rPr>
            </w:pPr>
            <w:r w:rsidRPr="006E6390">
              <w:rPr>
                <w:rFonts w:cs="Arial"/>
              </w:rPr>
              <w:t>Nacionalidad</w:t>
            </w:r>
          </w:p>
        </w:tc>
        <w:tc>
          <w:tcPr>
            <w:tcW w:w="5499" w:type="dxa"/>
          </w:tcPr>
          <w:p w14:paraId="0512853D" w14:textId="77777777" w:rsidR="002F1045" w:rsidRPr="006E6390" w:rsidRDefault="003F2D48" w:rsidP="0015318E">
            <w:pPr>
              <w:spacing w:after="120"/>
              <w:rPr>
                <w:rFonts w:cs="Arial"/>
              </w:rPr>
            </w:pPr>
            <w:r>
              <w:rPr>
                <w:rFonts w:cs="Arial"/>
              </w:rPr>
              <w:t>Costarricense</w:t>
            </w:r>
          </w:p>
        </w:tc>
      </w:tr>
      <w:tr w:rsidR="002F1045" w:rsidRPr="006E6390" w14:paraId="0E51177D" w14:textId="77777777" w:rsidTr="00D64BC1">
        <w:tc>
          <w:tcPr>
            <w:tcW w:w="3428" w:type="dxa"/>
          </w:tcPr>
          <w:p w14:paraId="12524B8C" w14:textId="77777777" w:rsidR="002F1045" w:rsidRPr="006E6390" w:rsidRDefault="002F1045" w:rsidP="0015318E">
            <w:pPr>
              <w:spacing w:after="120"/>
              <w:rPr>
                <w:rFonts w:cs="Arial"/>
              </w:rPr>
            </w:pPr>
            <w:r w:rsidRPr="006E6390">
              <w:rPr>
                <w:rFonts w:cs="Arial"/>
              </w:rPr>
              <w:t>Año de Nacimiento</w:t>
            </w:r>
          </w:p>
        </w:tc>
        <w:tc>
          <w:tcPr>
            <w:tcW w:w="5499" w:type="dxa"/>
          </w:tcPr>
          <w:p w14:paraId="7A28E7CA" w14:textId="77777777" w:rsidR="002F1045" w:rsidRPr="006E6390" w:rsidRDefault="00B93EED" w:rsidP="0015318E">
            <w:pPr>
              <w:spacing w:after="120"/>
              <w:rPr>
                <w:rFonts w:cs="Arial"/>
              </w:rPr>
            </w:pPr>
            <w:r w:rsidRPr="006E6390">
              <w:rPr>
                <w:rFonts w:cs="Arial"/>
              </w:rPr>
              <w:t>19</w:t>
            </w:r>
            <w:r>
              <w:rPr>
                <w:rFonts w:cs="Arial"/>
              </w:rPr>
              <w:t>5</w:t>
            </w:r>
            <w:r w:rsidRPr="006E6390">
              <w:rPr>
                <w:rFonts w:cs="Arial"/>
              </w:rPr>
              <w:t>8</w:t>
            </w:r>
          </w:p>
        </w:tc>
      </w:tr>
      <w:tr w:rsidR="002F1045" w:rsidRPr="006E6390" w14:paraId="4E7D6A9A" w14:textId="77777777" w:rsidTr="00D64BC1">
        <w:tc>
          <w:tcPr>
            <w:tcW w:w="3428" w:type="dxa"/>
          </w:tcPr>
          <w:p w14:paraId="57FEC77D" w14:textId="77777777" w:rsidR="002F1045" w:rsidRPr="006E6390" w:rsidRDefault="002F1045" w:rsidP="0015318E">
            <w:pPr>
              <w:spacing w:after="120"/>
              <w:rPr>
                <w:rFonts w:cs="Arial"/>
              </w:rPr>
            </w:pPr>
            <w:r w:rsidRPr="006E6390">
              <w:rPr>
                <w:rFonts w:cs="Arial"/>
              </w:rPr>
              <w:t>Poderes que ostenta</w:t>
            </w:r>
          </w:p>
        </w:tc>
        <w:tc>
          <w:tcPr>
            <w:tcW w:w="5499" w:type="dxa"/>
          </w:tcPr>
          <w:p w14:paraId="6437DF46" w14:textId="77777777" w:rsidR="002F1045" w:rsidRPr="006E6390" w:rsidRDefault="00A35BFE" w:rsidP="0015318E">
            <w:pPr>
              <w:spacing w:after="120"/>
              <w:rPr>
                <w:rFonts w:cs="Arial"/>
              </w:rPr>
            </w:pPr>
            <w:r>
              <w:rPr>
                <w:rFonts w:cs="Arial"/>
              </w:rPr>
              <w:t xml:space="preserve">Poder </w:t>
            </w:r>
            <w:r w:rsidR="00CA7000" w:rsidRPr="006E6390">
              <w:rPr>
                <w:rFonts w:cs="Arial"/>
              </w:rPr>
              <w:t>Generalísimo sin Límite de Suma</w:t>
            </w:r>
          </w:p>
        </w:tc>
      </w:tr>
      <w:tr w:rsidR="002F1045" w:rsidRPr="006E6390" w14:paraId="3F013327" w14:textId="77777777" w:rsidTr="00D64BC1">
        <w:tc>
          <w:tcPr>
            <w:tcW w:w="3428" w:type="dxa"/>
          </w:tcPr>
          <w:p w14:paraId="3C6F7E8C" w14:textId="77777777" w:rsidR="002F1045" w:rsidRPr="006E6390" w:rsidRDefault="002F1045" w:rsidP="0015318E">
            <w:pPr>
              <w:spacing w:after="120"/>
              <w:rPr>
                <w:rFonts w:cs="Arial"/>
              </w:rPr>
            </w:pPr>
            <w:r w:rsidRPr="006E6390">
              <w:rPr>
                <w:rFonts w:cs="Arial"/>
              </w:rPr>
              <w:t>Fecha de nombramiento</w:t>
            </w:r>
          </w:p>
        </w:tc>
        <w:tc>
          <w:tcPr>
            <w:tcW w:w="5499" w:type="dxa"/>
          </w:tcPr>
          <w:p w14:paraId="1C568A37" w14:textId="77777777" w:rsidR="002F1045" w:rsidRPr="006E6390" w:rsidRDefault="00D608D3" w:rsidP="0015318E">
            <w:pPr>
              <w:spacing w:after="120"/>
              <w:rPr>
                <w:rFonts w:cs="Arial"/>
              </w:rPr>
            </w:pPr>
            <w:r>
              <w:rPr>
                <w:rFonts w:cs="Arial"/>
              </w:rPr>
              <w:t>8</w:t>
            </w:r>
            <w:r w:rsidR="00E77AB0" w:rsidRPr="006E6390">
              <w:rPr>
                <w:rFonts w:cs="Arial"/>
              </w:rPr>
              <w:t xml:space="preserve"> </w:t>
            </w:r>
            <w:r w:rsidR="00962272" w:rsidRPr="006E6390">
              <w:rPr>
                <w:rFonts w:cs="Arial"/>
              </w:rPr>
              <w:t xml:space="preserve">de </w:t>
            </w:r>
            <w:r>
              <w:rPr>
                <w:rFonts w:cs="Arial"/>
              </w:rPr>
              <w:t>agost</w:t>
            </w:r>
            <w:r w:rsidR="00E77AB0" w:rsidRPr="006E6390">
              <w:rPr>
                <w:rFonts w:cs="Arial"/>
              </w:rPr>
              <w:t xml:space="preserve">o </w:t>
            </w:r>
            <w:r w:rsidR="006601C9" w:rsidRPr="006E6390">
              <w:rPr>
                <w:rFonts w:cs="Arial"/>
              </w:rPr>
              <w:t xml:space="preserve">de </w:t>
            </w:r>
            <w:r w:rsidR="00E77AB0" w:rsidRPr="006E6390">
              <w:rPr>
                <w:rFonts w:cs="Arial"/>
              </w:rPr>
              <w:t>202</w:t>
            </w:r>
            <w:r w:rsidR="00E77AB0">
              <w:rPr>
                <w:rFonts w:cs="Arial"/>
              </w:rPr>
              <w:t>2</w:t>
            </w:r>
          </w:p>
        </w:tc>
      </w:tr>
      <w:tr w:rsidR="002F1045" w:rsidRPr="006E6390" w14:paraId="60ED8AA7" w14:textId="77777777" w:rsidTr="00D64BC1">
        <w:tc>
          <w:tcPr>
            <w:tcW w:w="3428" w:type="dxa"/>
          </w:tcPr>
          <w:p w14:paraId="2C142A79"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1CAE2C7D" w14:textId="77777777" w:rsidR="002F1045" w:rsidRPr="006E6390" w:rsidRDefault="006601C9" w:rsidP="0015318E">
            <w:pPr>
              <w:spacing w:after="120"/>
              <w:rPr>
                <w:rFonts w:cs="Arial"/>
              </w:rPr>
            </w:pPr>
            <w:r w:rsidRPr="006E6390">
              <w:rPr>
                <w:rFonts w:cs="Arial"/>
              </w:rPr>
              <w:t>Indefinido</w:t>
            </w:r>
          </w:p>
        </w:tc>
      </w:tr>
      <w:tr w:rsidR="002F1045" w:rsidRPr="006E6390" w14:paraId="69CF8001" w14:textId="77777777" w:rsidTr="00D64BC1">
        <w:tc>
          <w:tcPr>
            <w:tcW w:w="3428" w:type="dxa"/>
          </w:tcPr>
          <w:p w14:paraId="13ED214E"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0B2371C0" w14:textId="77777777" w:rsidR="002F1045" w:rsidRPr="006E6390" w:rsidRDefault="002738E4" w:rsidP="0015318E">
            <w:pPr>
              <w:spacing w:after="120"/>
              <w:rPr>
                <w:rFonts w:cs="Arial"/>
              </w:rPr>
            </w:pPr>
            <w:r w:rsidRPr="006E6390">
              <w:rPr>
                <w:rFonts w:cs="Arial"/>
              </w:rPr>
              <w:t>No</w:t>
            </w:r>
          </w:p>
        </w:tc>
      </w:tr>
      <w:tr w:rsidR="002F1045" w:rsidRPr="006E6390" w14:paraId="59B64DD4" w14:textId="77777777" w:rsidTr="00D64BC1">
        <w:tc>
          <w:tcPr>
            <w:tcW w:w="3428" w:type="dxa"/>
          </w:tcPr>
          <w:p w14:paraId="586E9B7A" w14:textId="77777777" w:rsidR="002F1045" w:rsidRPr="006E6390" w:rsidRDefault="008610BB" w:rsidP="0015318E">
            <w:pPr>
              <w:spacing w:after="120"/>
              <w:rPr>
                <w:rFonts w:cs="Arial"/>
              </w:rPr>
            </w:pPr>
            <w:r w:rsidRPr="006E6390">
              <w:rPr>
                <w:rFonts w:cs="Arial"/>
              </w:rPr>
              <w:t>Currículum</w:t>
            </w:r>
          </w:p>
        </w:tc>
        <w:tc>
          <w:tcPr>
            <w:tcW w:w="5499" w:type="dxa"/>
          </w:tcPr>
          <w:p w14:paraId="264F6D7D" w14:textId="77777777" w:rsidR="003B6EC7" w:rsidRDefault="00C31AF5" w:rsidP="00E37215">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Licenciatura en </w:t>
            </w:r>
            <w:r w:rsidR="00787E13" w:rsidRPr="00026349">
              <w:rPr>
                <w:rFonts w:eastAsia="CIDFont+F3" w:cs="Arial"/>
              </w:rPr>
              <w:t>Economía</w:t>
            </w:r>
            <w:r w:rsidRPr="00026349">
              <w:rPr>
                <w:rFonts w:eastAsia="CIDFont+F3" w:cs="Arial"/>
              </w:rPr>
              <w:t xml:space="preserve"> (</w:t>
            </w:r>
            <w:r w:rsidR="00787E13" w:rsidRPr="00026349">
              <w:rPr>
                <w:rFonts w:eastAsia="CIDFont+F3" w:cs="Arial"/>
              </w:rPr>
              <w:t>Universidad de Costa Rica</w:t>
            </w:r>
            <w:r w:rsidRPr="00026349">
              <w:rPr>
                <w:rFonts w:eastAsia="CIDFont+F3" w:cs="Arial"/>
              </w:rPr>
              <w:t>)</w:t>
            </w:r>
            <w:r w:rsidR="00E34BA6" w:rsidRPr="00026349">
              <w:rPr>
                <w:rFonts w:eastAsia="CIDFont+F3" w:cs="Arial"/>
              </w:rPr>
              <w:t xml:space="preserve"> (</w:t>
            </w:r>
            <w:r w:rsidR="00787E13" w:rsidRPr="00026349">
              <w:rPr>
                <w:rFonts w:eastAsia="CIDFont+F3" w:cs="Arial"/>
              </w:rPr>
              <w:t>1981</w:t>
            </w:r>
            <w:r w:rsidR="00E34BA6" w:rsidRPr="00026349">
              <w:rPr>
                <w:rFonts w:eastAsia="CIDFont+F3" w:cs="Arial"/>
              </w:rPr>
              <w:t>)</w:t>
            </w:r>
          </w:p>
          <w:p w14:paraId="502829E7" w14:textId="77777777" w:rsidR="003B6EC7" w:rsidRDefault="003B6EC7" w:rsidP="00D27B63">
            <w:pPr>
              <w:pStyle w:val="Prrafodelista"/>
              <w:autoSpaceDE w:val="0"/>
              <w:autoSpaceDN w:val="0"/>
              <w:adjustRightInd w:val="0"/>
              <w:spacing w:after="120" w:line="240" w:lineRule="auto"/>
              <w:ind w:left="-104"/>
              <w:rPr>
                <w:rFonts w:eastAsia="CIDFont+F3" w:cs="Arial"/>
              </w:rPr>
            </w:pPr>
          </w:p>
          <w:p w14:paraId="2FDC666D" w14:textId="77777777" w:rsidR="003B6EC7" w:rsidRDefault="003B6EC7" w:rsidP="00404FB2">
            <w:pPr>
              <w:pStyle w:val="Prrafodelista"/>
              <w:numPr>
                <w:ilvl w:val="0"/>
                <w:numId w:val="59"/>
              </w:numPr>
              <w:autoSpaceDE w:val="0"/>
              <w:autoSpaceDN w:val="0"/>
              <w:adjustRightInd w:val="0"/>
              <w:spacing w:after="120" w:line="240" w:lineRule="auto"/>
              <w:ind w:left="-104" w:firstLine="0"/>
              <w:rPr>
                <w:rFonts w:eastAsia="CIDFont+F3" w:cs="Arial"/>
              </w:rPr>
            </w:pPr>
            <w:r w:rsidRPr="00A04FD2">
              <w:rPr>
                <w:rFonts w:eastAsia="CIDFont+F3" w:cs="Arial"/>
              </w:rPr>
              <w:t>Director General de Operaciones de la Autoridad Reguladora de los Servicios Públicos, de 9 de mayo de 2015 hasta el 30 de diciembre de 2020. A partir de esa fecha me acogí a la jubilación.</w:t>
            </w:r>
          </w:p>
          <w:p w14:paraId="35521F77" w14:textId="77777777" w:rsidR="003B6EC7" w:rsidRPr="00A04FD2" w:rsidRDefault="003B6EC7" w:rsidP="00774317">
            <w:pPr>
              <w:pStyle w:val="Prrafodelista"/>
              <w:autoSpaceDE w:val="0"/>
              <w:autoSpaceDN w:val="0"/>
              <w:adjustRightInd w:val="0"/>
              <w:spacing w:after="120" w:line="240" w:lineRule="auto"/>
              <w:ind w:left="-104"/>
              <w:rPr>
                <w:rFonts w:eastAsia="CIDFont+F3" w:cs="Arial"/>
              </w:rPr>
            </w:pPr>
          </w:p>
          <w:p w14:paraId="2A8DF717" w14:textId="77777777" w:rsidR="003B6EC7" w:rsidRDefault="003B6EC7" w:rsidP="004737F6">
            <w:pPr>
              <w:pStyle w:val="Prrafodelista"/>
              <w:numPr>
                <w:ilvl w:val="0"/>
                <w:numId w:val="59"/>
              </w:numPr>
              <w:autoSpaceDE w:val="0"/>
              <w:autoSpaceDN w:val="0"/>
              <w:adjustRightInd w:val="0"/>
              <w:spacing w:after="120" w:line="240" w:lineRule="auto"/>
              <w:ind w:left="-104" w:firstLine="0"/>
              <w:rPr>
                <w:rFonts w:eastAsia="CIDFont+F3" w:cs="Arial"/>
              </w:rPr>
            </w:pPr>
            <w:r w:rsidRPr="00A04FD2">
              <w:rPr>
                <w:rFonts w:eastAsia="CIDFont+F3" w:cs="Arial"/>
              </w:rPr>
              <w:t xml:space="preserve"> Gerente General de la Autoridad Reguladora de los Servicios Públicos, de 15 de diciembre de 2006 hasta el 8 de mayo de 2015.</w:t>
            </w:r>
          </w:p>
          <w:p w14:paraId="234D058C" w14:textId="77777777" w:rsidR="003B6EC7" w:rsidRPr="00A04FD2" w:rsidRDefault="003B6EC7" w:rsidP="00B845F2">
            <w:pPr>
              <w:pStyle w:val="Prrafodelista"/>
              <w:autoSpaceDE w:val="0"/>
              <w:autoSpaceDN w:val="0"/>
              <w:adjustRightInd w:val="0"/>
              <w:spacing w:after="120" w:line="240" w:lineRule="auto"/>
              <w:ind w:left="-104"/>
              <w:rPr>
                <w:rFonts w:eastAsia="CIDFont+F3" w:cs="Arial"/>
              </w:rPr>
            </w:pPr>
          </w:p>
          <w:p w14:paraId="5CDA9DAE" w14:textId="77777777" w:rsidR="001215B1" w:rsidRDefault="003B6EC7" w:rsidP="00534220">
            <w:pPr>
              <w:pStyle w:val="Prrafodelista"/>
              <w:numPr>
                <w:ilvl w:val="0"/>
                <w:numId w:val="59"/>
              </w:numPr>
              <w:autoSpaceDE w:val="0"/>
              <w:autoSpaceDN w:val="0"/>
              <w:adjustRightInd w:val="0"/>
              <w:spacing w:after="120" w:line="240" w:lineRule="auto"/>
              <w:ind w:left="-104" w:firstLine="0"/>
              <w:rPr>
                <w:rFonts w:eastAsia="CIDFont+F3" w:cs="Arial"/>
              </w:rPr>
            </w:pPr>
            <w:r w:rsidRPr="00A04FD2">
              <w:rPr>
                <w:rFonts w:eastAsia="CIDFont+F3" w:cs="Arial"/>
              </w:rPr>
              <w:t xml:space="preserve"> Consultor en la elaboración del plan estratégico de la Autoridad Reguladora de los</w:t>
            </w:r>
            <w:r w:rsidRPr="003B6EC7">
              <w:rPr>
                <w:rFonts w:eastAsia="CIDFont+F3" w:cs="Arial"/>
              </w:rPr>
              <w:t xml:space="preserve"> </w:t>
            </w:r>
            <w:r w:rsidRPr="00A04FD2">
              <w:rPr>
                <w:rFonts w:eastAsia="CIDFont+F3" w:cs="Arial"/>
              </w:rPr>
              <w:t>Servicios Públicos 2007 al 2010 y en el proyecto de preinversión para la modernización de la ARESEP con el Banco Centroamericano de Integración</w:t>
            </w:r>
            <w:r w:rsidRPr="003B6EC7">
              <w:rPr>
                <w:rFonts w:eastAsia="CIDFont+F3" w:cs="Arial"/>
              </w:rPr>
              <w:t xml:space="preserve"> </w:t>
            </w:r>
            <w:r w:rsidRPr="00A04FD2">
              <w:rPr>
                <w:rFonts w:eastAsia="CIDFont+F3" w:cs="Arial"/>
              </w:rPr>
              <w:t>Económica, de agosto a diciembre del 2006</w:t>
            </w:r>
          </w:p>
          <w:p w14:paraId="49E00389" w14:textId="77777777" w:rsidR="001215B1" w:rsidRPr="001215B1" w:rsidRDefault="001215B1" w:rsidP="00E37215">
            <w:pPr>
              <w:pStyle w:val="Prrafodelista"/>
              <w:spacing w:line="240" w:lineRule="auto"/>
              <w:rPr>
                <w:rFonts w:eastAsia="CIDFont+F3" w:cs="Arial"/>
              </w:rPr>
            </w:pPr>
          </w:p>
          <w:p w14:paraId="31F48B1E" w14:textId="77777777" w:rsidR="001215B1" w:rsidRPr="00083AC1" w:rsidRDefault="001215B1" w:rsidP="00E37215">
            <w:pPr>
              <w:pStyle w:val="Prrafodelista"/>
              <w:numPr>
                <w:ilvl w:val="0"/>
                <w:numId w:val="59"/>
              </w:numPr>
              <w:autoSpaceDE w:val="0"/>
              <w:autoSpaceDN w:val="0"/>
              <w:adjustRightInd w:val="0"/>
              <w:spacing w:after="120" w:line="240" w:lineRule="auto"/>
              <w:ind w:left="-104" w:firstLine="0"/>
              <w:rPr>
                <w:rFonts w:eastAsia="CIDFont+F3" w:cs="Arial"/>
              </w:rPr>
            </w:pPr>
            <w:r w:rsidRPr="001215B1">
              <w:rPr>
                <w:rFonts w:eastAsia="CIDFont+F3" w:cs="Arial"/>
              </w:rPr>
              <w:t xml:space="preserve"> </w:t>
            </w:r>
            <w:r w:rsidRPr="001915B7">
              <w:rPr>
                <w:rFonts w:eastAsia="CIDFont+F3" w:cs="Arial"/>
              </w:rPr>
              <w:t>Director Administrativo – Financiero y Gerente del Programa de Desarrollo Rural</w:t>
            </w:r>
            <w:r w:rsidRPr="001215B1">
              <w:rPr>
                <w:rFonts w:eastAsia="CIDFont+F3" w:cs="Arial"/>
              </w:rPr>
              <w:t xml:space="preserve"> </w:t>
            </w:r>
            <w:r w:rsidRPr="001915B7">
              <w:rPr>
                <w:rFonts w:eastAsia="CIDFont+F3" w:cs="Arial"/>
              </w:rPr>
              <w:t xml:space="preserve">del Ministerio de Producción. Asesor en Planeamiento Estratégico del </w:t>
            </w:r>
            <w:r w:rsidRPr="001915B7">
              <w:rPr>
                <w:rFonts w:eastAsia="CIDFont+F3" w:cs="Arial"/>
              </w:rPr>
              <w:lastRenderedPageBreak/>
              <w:t>Despacho</w:t>
            </w:r>
            <w:r w:rsidRPr="001215B1">
              <w:rPr>
                <w:rFonts w:eastAsia="CIDFont+F3" w:cs="Arial"/>
              </w:rPr>
              <w:t xml:space="preserve"> </w:t>
            </w:r>
            <w:r w:rsidRPr="00083AC1">
              <w:rPr>
                <w:rFonts w:eastAsia="CIDFont+F3" w:cs="Arial"/>
              </w:rPr>
              <w:t>del Ministro de Producción, de mayo a agosto del 2006.</w:t>
            </w:r>
          </w:p>
          <w:p w14:paraId="0D89CA67" w14:textId="77777777" w:rsidR="00E8243A" w:rsidRDefault="00E8243A" w:rsidP="00E37215">
            <w:pPr>
              <w:pStyle w:val="Prrafodelista"/>
              <w:autoSpaceDE w:val="0"/>
              <w:autoSpaceDN w:val="0"/>
              <w:adjustRightInd w:val="0"/>
              <w:spacing w:after="120" w:line="240" w:lineRule="auto"/>
              <w:ind w:left="-104"/>
              <w:rPr>
                <w:rFonts w:eastAsia="CIDFont+F3" w:cs="Arial"/>
              </w:rPr>
            </w:pPr>
          </w:p>
          <w:p w14:paraId="7A269659" w14:textId="77777777" w:rsidR="001215B1" w:rsidRDefault="00E8243A" w:rsidP="00D27B63">
            <w:pPr>
              <w:pStyle w:val="Prrafodelista"/>
              <w:numPr>
                <w:ilvl w:val="0"/>
                <w:numId w:val="59"/>
              </w:numPr>
              <w:autoSpaceDE w:val="0"/>
              <w:autoSpaceDN w:val="0"/>
              <w:adjustRightInd w:val="0"/>
              <w:spacing w:after="120" w:line="240" w:lineRule="auto"/>
              <w:ind w:left="-104" w:firstLine="0"/>
              <w:rPr>
                <w:rFonts w:eastAsia="CIDFont+F3" w:cs="Arial"/>
              </w:rPr>
            </w:pPr>
            <w:r>
              <w:rPr>
                <w:rFonts w:eastAsia="CIDFont+F3" w:cs="Arial"/>
              </w:rPr>
              <w:t xml:space="preserve"> </w:t>
            </w:r>
            <w:r w:rsidR="001215B1" w:rsidRPr="00083AC1">
              <w:rPr>
                <w:rFonts w:eastAsia="CIDFont+F3" w:cs="Arial"/>
              </w:rPr>
              <w:t>Asesor del Gerente, Banco Central de Costa Rica, de abril del 2005 a febrero del</w:t>
            </w:r>
            <w:r w:rsidR="001215B1">
              <w:rPr>
                <w:rFonts w:eastAsia="CIDFont+F3" w:cs="Arial"/>
              </w:rPr>
              <w:t xml:space="preserve"> </w:t>
            </w:r>
            <w:r w:rsidR="001215B1" w:rsidRPr="00083AC1">
              <w:rPr>
                <w:rFonts w:eastAsia="CIDFont+F3" w:cs="Arial"/>
              </w:rPr>
              <w:t xml:space="preserve">2006. Principalmente en Planeamiento Estratégico Control Interno y Presupuesto.  </w:t>
            </w:r>
          </w:p>
          <w:p w14:paraId="3562D8BB" w14:textId="77777777" w:rsidR="001215B1" w:rsidRDefault="001215B1" w:rsidP="00404FB2">
            <w:pPr>
              <w:pStyle w:val="Prrafodelista"/>
              <w:autoSpaceDE w:val="0"/>
              <w:autoSpaceDN w:val="0"/>
              <w:adjustRightInd w:val="0"/>
              <w:spacing w:after="120" w:line="240" w:lineRule="auto"/>
              <w:ind w:left="-104"/>
              <w:rPr>
                <w:rFonts w:eastAsia="CIDFont+F3" w:cs="Arial"/>
              </w:rPr>
            </w:pPr>
          </w:p>
          <w:p w14:paraId="2C215647" w14:textId="77777777" w:rsidR="001215B1" w:rsidRPr="00083AC1" w:rsidRDefault="00E8243A" w:rsidP="00774317">
            <w:pPr>
              <w:pStyle w:val="Prrafodelista"/>
              <w:numPr>
                <w:ilvl w:val="0"/>
                <w:numId w:val="59"/>
              </w:numPr>
              <w:autoSpaceDE w:val="0"/>
              <w:autoSpaceDN w:val="0"/>
              <w:adjustRightInd w:val="0"/>
              <w:spacing w:after="120" w:line="240" w:lineRule="auto"/>
              <w:ind w:left="-104" w:firstLine="0"/>
              <w:rPr>
                <w:rFonts w:eastAsia="CIDFont+F3" w:cs="Arial"/>
              </w:rPr>
            </w:pPr>
            <w:r>
              <w:rPr>
                <w:rFonts w:eastAsia="CIDFont+F3" w:cs="Arial"/>
              </w:rPr>
              <w:t xml:space="preserve"> </w:t>
            </w:r>
            <w:r w:rsidR="001215B1" w:rsidRPr="00083AC1">
              <w:rPr>
                <w:rFonts w:eastAsia="CIDFont+F3" w:cs="Arial"/>
              </w:rPr>
              <w:t>Asesor Despacho del Superintendente, Superintendencia General de Valores, de febrero del 2004 a abril del 2005. Especialmente en labores relacionadas con el Planeamiento Estratégico, Control Interno y Presupuesto.</w:t>
            </w:r>
          </w:p>
          <w:p w14:paraId="15F79B31" w14:textId="77777777" w:rsidR="001215B1" w:rsidRDefault="001215B1" w:rsidP="004737F6">
            <w:pPr>
              <w:pStyle w:val="Prrafodelista"/>
              <w:autoSpaceDE w:val="0"/>
              <w:autoSpaceDN w:val="0"/>
              <w:adjustRightInd w:val="0"/>
              <w:spacing w:after="120" w:line="240" w:lineRule="auto"/>
              <w:ind w:left="-104"/>
              <w:rPr>
                <w:rFonts w:eastAsia="CIDFont+F3" w:cs="Arial"/>
              </w:rPr>
            </w:pPr>
          </w:p>
          <w:p w14:paraId="57095F85" w14:textId="77777777" w:rsidR="001215B1" w:rsidRDefault="00E8243A" w:rsidP="00B845F2">
            <w:pPr>
              <w:pStyle w:val="Prrafodelista"/>
              <w:numPr>
                <w:ilvl w:val="0"/>
                <w:numId w:val="59"/>
              </w:numPr>
              <w:autoSpaceDE w:val="0"/>
              <w:autoSpaceDN w:val="0"/>
              <w:adjustRightInd w:val="0"/>
              <w:spacing w:after="120" w:line="240" w:lineRule="auto"/>
              <w:ind w:left="-104" w:firstLine="0"/>
              <w:rPr>
                <w:rFonts w:eastAsia="CIDFont+F3" w:cs="Arial"/>
              </w:rPr>
            </w:pPr>
            <w:r>
              <w:rPr>
                <w:rFonts w:eastAsia="CIDFont+F3" w:cs="Arial"/>
              </w:rPr>
              <w:t xml:space="preserve"> </w:t>
            </w:r>
            <w:r w:rsidR="001215B1" w:rsidRPr="00083AC1">
              <w:rPr>
                <w:rFonts w:eastAsia="CIDFont+F3" w:cs="Arial"/>
              </w:rPr>
              <w:t>Subgerente General, Banco Central de Costa Rica, octubre 1997 hasta enero de 2004.</w:t>
            </w:r>
          </w:p>
          <w:p w14:paraId="1DA25E6A" w14:textId="77777777" w:rsidR="001215B1" w:rsidRPr="00083AC1" w:rsidRDefault="001215B1">
            <w:pPr>
              <w:pStyle w:val="Prrafodelista"/>
              <w:autoSpaceDE w:val="0"/>
              <w:autoSpaceDN w:val="0"/>
              <w:adjustRightInd w:val="0"/>
              <w:spacing w:after="120" w:line="240" w:lineRule="auto"/>
              <w:ind w:left="-104"/>
              <w:rPr>
                <w:rFonts w:eastAsia="CIDFont+F3" w:cs="Arial"/>
              </w:rPr>
            </w:pPr>
          </w:p>
          <w:p w14:paraId="790CCDF7" w14:textId="77777777" w:rsidR="001215B1" w:rsidRPr="001215B1" w:rsidRDefault="00E8243A" w:rsidP="00534220">
            <w:pPr>
              <w:pStyle w:val="Prrafodelista"/>
              <w:numPr>
                <w:ilvl w:val="0"/>
                <w:numId w:val="59"/>
              </w:numPr>
              <w:autoSpaceDE w:val="0"/>
              <w:autoSpaceDN w:val="0"/>
              <w:adjustRightInd w:val="0"/>
              <w:spacing w:after="120" w:line="240" w:lineRule="auto"/>
              <w:ind w:left="-104" w:firstLine="0"/>
              <w:rPr>
                <w:rFonts w:eastAsia="CIDFont+F3" w:cs="Arial"/>
              </w:rPr>
            </w:pPr>
            <w:r>
              <w:rPr>
                <w:rFonts w:eastAsia="CIDFont+F3" w:cs="Arial"/>
              </w:rPr>
              <w:t xml:space="preserve"> </w:t>
            </w:r>
            <w:r w:rsidR="001215B1" w:rsidRPr="00083AC1">
              <w:rPr>
                <w:rFonts w:eastAsia="CIDFont+F3" w:cs="Arial"/>
              </w:rPr>
              <w:t>Viceministro de Egresos, Ministerio de Hacienda, abril 1996 a octubre 1997.</w:t>
            </w:r>
          </w:p>
          <w:p w14:paraId="7B46652D" w14:textId="77777777" w:rsidR="00150428" w:rsidRDefault="00150428">
            <w:pPr>
              <w:pStyle w:val="Prrafodelista"/>
              <w:autoSpaceDE w:val="0"/>
              <w:autoSpaceDN w:val="0"/>
              <w:adjustRightInd w:val="0"/>
              <w:spacing w:after="120" w:line="240" w:lineRule="auto"/>
              <w:ind w:left="-104"/>
              <w:rPr>
                <w:rFonts w:eastAsia="CIDFont+F3" w:cs="Arial"/>
              </w:rPr>
            </w:pPr>
          </w:p>
          <w:p w14:paraId="56A477A4"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Director General de Presupuesto Nacional a. i., de junio a agosto de 1995.</w:t>
            </w:r>
          </w:p>
          <w:p w14:paraId="7E8EB800" w14:textId="77777777" w:rsidR="005B7B53" w:rsidRPr="005B7B53" w:rsidRDefault="005B7B53">
            <w:pPr>
              <w:pStyle w:val="Prrafodelista"/>
              <w:autoSpaceDE w:val="0"/>
              <w:autoSpaceDN w:val="0"/>
              <w:adjustRightInd w:val="0"/>
              <w:spacing w:after="120" w:line="240" w:lineRule="auto"/>
              <w:ind w:left="-104"/>
              <w:rPr>
                <w:rFonts w:eastAsia="CIDFont+F3" w:cs="Arial"/>
              </w:rPr>
            </w:pPr>
          </w:p>
          <w:p w14:paraId="4435C7A5"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Director Ejecutivo de la Autoridad Presupuestaria, Ministerio de Hacienda, de</w:t>
            </w:r>
            <w:r w:rsidR="005B7B53" w:rsidRPr="005B7B53">
              <w:rPr>
                <w:rFonts w:eastAsia="CIDFont+F3" w:cs="Arial"/>
              </w:rPr>
              <w:t xml:space="preserve"> </w:t>
            </w:r>
            <w:r w:rsidRPr="005B7B53">
              <w:rPr>
                <w:rFonts w:eastAsia="CIDFont+F3" w:cs="Arial"/>
              </w:rPr>
              <w:t>febrero de 1995 a abril de 1996.</w:t>
            </w:r>
          </w:p>
          <w:p w14:paraId="5E38D14B" w14:textId="77777777" w:rsidR="005B7B53" w:rsidRPr="005B7B53" w:rsidRDefault="005B7B53">
            <w:pPr>
              <w:pStyle w:val="Prrafodelista"/>
              <w:autoSpaceDE w:val="0"/>
              <w:autoSpaceDN w:val="0"/>
              <w:adjustRightInd w:val="0"/>
              <w:spacing w:after="120" w:line="240" w:lineRule="auto"/>
              <w:ind w:left="-104"/>
              <w:rPr>
                <w:rFonts w:eastAsia="CIDFont+F3" w:cs="Arial"/>
              </w:rPr>
            </w:pPr>
          </w:p>
          <w:p w14:paraId="44C2079B"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Gerente Financiero Almacén La Granja, de setiembre de 1993 a febrero de 1995.</w:t>
            </w:r>
          </w:p>
          <w:p w14:paraId="62AAAB95" w14:textId="77777777" w:rsidR="00F121A9" w:rsidRPr="005B7B53" w:rsidRDefault="00F121A9">
            <w:pPr>
              <w:pStyle w:val="Prrafodelista"/>
              <w:autoSpaceDE w:val="0"/>
              <w:autoSpaceDN w:val="0"/>
              <w:adjustRightInd w:val="0"/>
              <w:spacing w:after="120" w:line="240" w:lineRule="auto"/>
              <w:ind w:left="-104"/>
              <w:rPr>
                <w:rFonts w:eastAsia="CIDFont+F3" w:cs="Arial"/>
              </w:rPr>
            </w:pPr>
          </w:p>
          <w:p w14:paraId="48857102"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Departamento de Presupuesto de la Refinadora Costarricense de Petróleo, de</w:t>
            </w:r>
            <w:r w:rsidR="005B7B53">
              <w:rPr>
                <w:rFonts w:eastAsia="CIDFont+F3" w:cs="Arial"/>
              </w:rPr>
              <w:t xml:space="preserve"> </w:t>
            </w:r>
            <w:r w:rsidRPr="005B7B53">
              <w:rPr>
                <w:rFonts w:eastAsia="CIDFont+F3" w:cs="Arial"/>
              </w:rPr>
              <w:t>agosto de 1988 a agosto de 1993.</w:t>
            </w:r>
          </w:p>
          <w:p w14:paraId="424D398F" w14:textId="77777777" w:rsidR="00F121A9" w:rsidRPr="005B7B53" w:rsidRDefault="00F121A9">
            <w:pPr>
              <w:pStyle w:val="Prrafodelista"/>
              <w:autoSpaceDE w:val="0"/>
              <w:autoSpaceDN w:val="0"/>
              <w:adjustRightInd w:val="0"/>
              <w:spacing w:after="120" w:line="240" w:lineRule="auto"/>
              <w:ind w:left="-104"/>
              <w:rPr>
                <w:rFonts w:eastAsia="CIDFont+F3" w:cs="Arial"/>
              </w:rPr>
            </w:pPr>
          </w:p>
          <w:p w14:paraId="27A60901"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Dirección de Presupuesto Nacional, Ministerio de Hacienda, enero de 1984 a julio</w:t>
            </w:r>
            <w:r w:rsidR="005B7B53" w:rsidRPr="005B7B53">
              <w:rPr>
                <w:rFonts w:eastAsia="CIDFont+F3" w:cs="Arial"/>
              </w:rPr>
              <w:t xml:space="preserve"> </w:t>
            </w:r>
            <w:r w:rsidRPr="005B7B53">
              <w:rPr>
                <w:rFonts w:eastAsia="CIDFont+F3" w:cs="Arial"/>
              </w:rPr>
              <w:t>de 1988.</w:t>
            </w:r>
          </w:p>
          <w:p w14:paraId="27B42DFA" w14:textId="77777777" w:rsidR="00F121A9" w:rsidRPr="005B7B53" w:rsidRDefault="00F121A9">
            <w:pPr>
              <w:pStyle w:val="Prrafodelista"/>
              <w:autoSpaceDE w:val="0"/>
              <w:autoSpaceDN w:val="0"/>
              <w:adjustRightInd w:val="0"/>
              <w:spacing w:after="120" w:line="240" w:lineRule="auto"/>
              <w:ind w:left="-104"/>
              <w:rPr>
                <w:rFonts w:eastAsia="CIDFont+F3" w:cs="Arial"/>
              </w:rPr>
            </w:pPr>
          </w:p>
          <w:p w14:paraId="465495A7" w14:textId="77777777" w:rsidR="00F121A9" w:rsidRPr="005B7B53" w:rsidRDefault="00F121A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B7B53">
              <w:rPr>
                <w:rFonts w:eastAsia="CIDFont+F3" w:cs="Arial"/>
              </w:rPr>
              <w:t>Departamento de Estadística del Ministerio de Planificación Nacional y Política Económica, de octubre de 1981 a diciembre de 1983.</w:t>
            </w:r>
          </w:p>
          <w:p w14:paraId="35FE0C99" w14:textId="77777777" w:rsidR="00F121A9" w:rsidRPr="00150428" w:rsidRDefault="0017490A">
            <w:pPr>
              <w:pStyle w:val="Prrafodelista"/>
              <w:autoSpaceDE w:val="0"/>
              <w:autoSpaceDN w:val="0"/>
              <w:adjustRightInd w:val="0"/>
              <w:spacing w:after="120" w:line="240" w:lineRule="auto"/>
              <w:ind w:left="-104"/>
              <w:rPr>
                <w:rFonts w:eastAsia="CIDFont+F3" w:cs="Arial"/>
              </w:rPr>
            </w:pPr>
            <w:r>
              <w:rPr>
                <w:rFonts w:eastAsia="CIDFont+F3" w:cs="Arial"/>
              </w:rPr>
              <w:t>6</w:t>
            </w:r>
          </w:p>
          <w:p w14:paraId="6E3616C1" w14:textId="77777777" w:rsidR="00787E13"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Instituto del Fondo Monetario Internacional, Washington DC. USA, Estadísticas de las Finanzas Públicas febrero - abril de 1985</w:t>
            </w:r>
          </w:p>
          <w:p w14:paraId="2C13EDC4" w14:textId="77777777" w:rsidR="00026349" w:rsidRPr="00026349" w:rsidRDefault="00026349">
            <w:pPr>
              <w:pStyle w:val="Prrafodelista"/>
              <w:autoSpaceDE w:val="0"/>
              <w:autoSpaceDN w:val="0"/>
              <w:adjustRightInd w:val="0"/>
              <w:spacing w:after="120" w:line="240" w:lineRule="auto"/>
              <w:ind w:left="-104"/>
              <w:rPr>
                <w:rFonts w:eastAsia="CIDFont+F3" w:cs="Arial"/>
              </w:rPr>
            </w:pPr>
          </w:p>
          <w:p w14:paraId="1395313A" w14:textId="77777777" w:rsidR="00026349" w:rsidRPr="00534220" w:rsidRDefault="00787E13" w:rsidP="00534220">
            <w:pPr>
              <w:pStyle w:val="Prrafodelista"/>
              <w:numPr>
                <w:ilvl w:val="0"/>
                <w:numId w:val="59"/>
              </w:numPr>
              <w:autoSpaceDE w:val="0"/>
              <w:autoSpaceDN w:val="0"/>
              <w:adjustRightInd w:val="0"/>
              <w:spacing w:after="120" w:line="240" w:lineRule="auto"/>
              <w:ind w:left="-104" w:firstLine="0"/>
              <w:rPr>
                <w:rFonts w:eastAsia="CIDFont+F3" w:cs="Arial"/>
                <w:lang w:val="en-US"/>
              </w:rPr>
            </w:pPr>
            <w:r w:rsidRPr="00083AC1">
              <w:rPr>
                <w:rFonts w:eastAsia="CIDFont+F3" w:cs="Arial"/>
              </w:rPr>
              <w:t xml:space="preserve"> </w:t>
            </w:r>
            <w:r w:rsidRPr="00534220">
              <w:rPr>
                <w:rFonts w:eastAsia="CIDFont+F3" w:cs="Arial"/>
                <w:lang w:val="en-US"/>
              </w:rPr>
              <w:t>Harvard University, Cambridge USA, Budgeting in the Public Sector, junio – agosto 1990</w:t>
            </w:r>
          </w:p>
          <w:p w14:paraId="5D8E3A50" w14:textId="77777777" w:rsidR="00026349" w:rsidRPr="00534220" w:rsidRDefault="00026349">
            <w:pPr>
              <w:pStyle w:val="Prrafodelista"/>
              <w:autoSpaceDE w:val="0"/>
              <w:autoSpaceDN w:val="0"/>
              <w:adjustRightInd w:val="0"/>
              <w:spacing w:after="120" w:line="240" w:lineRule="auto"/>
              <w:ind w:left="-104"/>
              <w:rPr>
                <w:rFonts w:eastAsia="CIDFont+F3" w:cs="Arial"/>
                <w:lang w:val="en-US"/>
              </w:rPr>
            </w:pPr>
          </w:p>
          <w:p w14:paraId="345FEA67" w14:textId="77777777" w:rsidR="00026349" w:rsidRPr="00026349"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534220">
              <w:rPr>
                <w:rFonts w:eastAsia="CIDFont+F3" w:cs="Arial"/>
                <w:lang w:val="en-US"/>
              </w:rPr>
              <w:t xml:space="preserve"> </w:t>
            </w:r>
            <w:r w:rsidRPr="00026349">
              <w:rPr>
                <w:rFonts w:eastAsia="CIDFont+F3" w:cs="Arial"/>
              </w:rPr>
              <w:t>Centro Cultural Costarricense Norteamericano, inglés Avanzado, 1991-1992</w:t>
            </w:r>
          </w:p>
          <w:p w14:paraId="5EB03500" w14:textId="77777777" w:rsidR="00026349" w:rsidRPr="00026349" w:rsidRDefault="00026349">
            <w:pPr>
              <w:pStyle w:val="Prrafodelista"/>
              <w:autoSpaceDE w:val="0"/>
              <w:autoSpaceDN w:val="0"/>
              <w:adjustRightInd w:val="0"/>
              <w:spacing w:after="120" w:line="240" w:lineRule="auto"/>
              <w:ind w:left="-104"/>
              <w:rPr>
                <w:rFonts w:eastAsia="CIDFont+F3" w:cs="Arial"/>
              </w:rPr>
            </w:pPr>
          </w:p>
          <w:p w14:paraId="28EE3B0F" w14:textId="77777777" w:rsidR="00026349" w:rsidRPr="00026349"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De la estrategia a la acción. INCAE, noviembre de 1999</w:t>
            </w:r>
          </w:p>
          <w:p w14:paraId="565C842B" w14:textId="77777777" w:rsidR="00026349" w:rsidRPr="00026349" w:rsidRDefault="00026349">
            <w:pPr>
              <w:pStyle w:val="Prrafodelista"/>
              <w:autoSpaceDE w:val="0"/>
              <w:autoSpaceDN w:val="0"/>
              <w:adjustRightInd w:val="0"/>
              <w:spacing w:after="120" w:line="240" w:lineRule="auto"/>
              <w:ind w:left="-104"/>
              <w:rPr>
                <w:rFonts w:eastAsia="CIDFont+F3" w:cs="Arial"/>
              </w:rPr>
            </w:pPr>
          </w:p>
          <w:p w14:paraId="364737AB" w14:textId="77777777" w:rsidR="00026349" w:rsidRPr="00026349"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Microsoft Project 2000, New Horizons, noviembre del 2001-enero de 2002.</w:t>
            </w:r>
          </w:p>
          <w:p w14:paraId="652F70FD" w14:textId="77777777" w:rsidR="00026349" w:rsidRPr="00026349" w:rsidRDefault="00026349">
            <w:pPr>
              <w:pStyle w:val="Prrafodelista"/>
              <w:autoSpaceDE w:val="0"/>
              <w:autoSpaceDN w:val="0"/>
              <w:adjustRightInd w:val="0"/>
              <w:spacing w:after="120" w:line="240" w:lineRule="auto"/>
              <w:ind w:left="-104"/>
              <w:rPr>
                <w:rFonts w:eastAsia="CIDFont+F3" w:cs="Arial"/>
              </w:rPr>
            </w:pPr>
          </w:p>
          <w:p w14:paraId="680E79E4" w14:textId="77777777" w:rsidR="00787E13"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Cómo prevenir y enfrentar crisis financieras. Academia de Centroamérica, setiembre de 2002</w:t>
            </w:r>
          </w:p>
          <w:p w14:paraId="0E6713D2" w14:textId="77777777" w:rsidR="00026349" w:rsidRPr="00026349" w:rsidRDefault="00026349">
            <w:pPr>
              <w:pStyle w:val="Prrafodelista"/>
              <w:autoSpaceDE w:val="0"/>
              <w:autoSpaceDN w:val="0"/>
              <w:adjustRightInd w:val="0"/>
              <w:spacing w:after="120" w:line="240" w:lineRule="auto"/>
              <w:ind w:left="-104"/>
              <w:rPr>
                <w:rFonts w:eastAsia="CIDFont+F3" w:cs="Arial"/>
              </w:rPr>
            </w:pPr>
          </w:p>
          <w:p w14:paraId="237019A9" w14:textId="77777777" w:rsidR="00787E13" w:rsidRPr="00026349"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Taller riesgo operativo. CEMLA, México, octubre del 2002.</w:t>
            </w:r>
          </w:p>
          <w:p w14:paraId="1E952EFB" w14:textId="77777777" w:rsidR="00787E13"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Congreso Bancario Nacional, Asociación Bancaria Costarricense, junio de 2003</w:t>
            </w:r>
          </w:p>
          <w:p w14:paraId="5C380AB4" w14:textId="77777777" w:rsidR="00E8243A" w:rsidRPr="00026349" w:rsidRDefault="00E8243A">
            <w:pPr>
              <w:pStyle w:val="Prrafodelista"/>
              <w:autoSpaceDE w:val="0"/>
              <w:autoSpaceDN w:val="0"/>
              <w:adjustRightInd w:val="0"/>
              <w:spacing w:after="120" w:line="240" w:lineRule="auto"/>
              <w:ind w:left="-104"/>
              <w:rPr>
                <w:rFonts w:eastAsia="CIDFont+F3" w:cs="Arial"/>
              </w:rPr>
            </w:pPr>
          </w:p>
          <w:p w14:paraId="6CFF8C15" w14:textId="77777777" w:rsidR="00787E13" w:rsidRDefault="00787E13"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Planificación estratégica en la banca: El papel de la alta Gerencia, INCAE, agosto de 2003</w:t>
            </w:r>
          </w:p>
          <w:p w14:paraId="22ADE2AA" w14:textId="77777777" w:rsidR="00E8243A" w:rsidRPr="00E8243A" w:rsidRDefault="00E8243A" w:rsidP="00E37215">
            <w:pPr>
              <w:pStyle w:val="Prrafodelista"/>
              <w:spacing w:line="240" w:lineRule="auto"/>
              <w:rPr>
                <w:rFonts w:eastAsia="CIDFont+F3" w:cs="Arial"/>
              </w:rPr>
            </w:pPr>
          </w:p>
          <w:p w14:paraId="03DD4FEE" w14:textId="77777777" w:rsidR="00787E13" w:rsidRDefault="00787E13" w:rsidP="00E37215">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Sistemas Financieros e indicadores macroprudenciales. CEMLA, Asunción Paraguay, octubre del 2003</w:t>
            </w:r>
            <w:r w:rsidR="00026349">
              <w:rPr>
                <w:rFonts w:eastAsia="CIDFont+F3" w:cs="Arial"/>
              </w:rPr>
              <w:t>.</w:t>
            </w:r>
          </w:p>
          <w:p w14:paraId="5C500B77" w14:textId="77777777" w:rsidR="00026349" w:rsidRPr="00026349" w:rsidRDefault="00026349" w:rsidP="00E37215">
            <w:pPr>
              <w:pStyle w:val="Prrafodelista"/>
              <w:autoSpaceDE w:val="0"/>
              <w:autoSpaceDN w:val="0"/>
              <w:adjustRightInd w:val="0"/>
              <w:spacing w:after="120" w:line="240" w:lineRule="auto"/>
              <w:ind w:left="-104"/>
              <w:rPr>
                <w:rFonts w:eastAsia="CIDFont+F3" w:cs="Arial"/>
              </w:rPr>
            </w:pPr>
          </w:p>
          <w:p w14:paraId="05D4C24E" w14:textId="77777777" w:rsidR="00026349" w:rsidRDefault="00026349" w:rsidP="00D27B63">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Implementación práctica del “Balanced Scorecard”. Van der Leer, octubre del 2003</w:t>
            </w:r>
          </w:p>
          <w:p w14:paraId="4E2ED74B" w14:textId="77777777" w:rsidR="00083AC1" w:rsidRPr="00026349" w:rsidRDefault="00083AC1" w:rsidP="00404FB2">
            <w:pPr>
              <w:pStyle w:val="Prrafodelista"/>
              <w:autoSpaceDE w:val="0"/>
              <w:autoSpaceDN w:val="0"/>
              <w:adjustRightInd w:val="0"/>
              <w:spacing w:after="120" w:line="240" w:lineRule="auto"/>
              <w:ind w:left="-104"/>
              <w:rPr>
                <w:rFonts w:eastAsia="CIDFont+F3" w:cs="Arial"/>
              </w:rPr>
            </w:pPr>
          </w:p>
          <w:p w14:paraId="7606317C" w14:textId="77777777" w:rsidR="00026349" w:rsidRDefault="00026349" w:rsidP="00774317">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IV Seminario de alto nivel I/ERG-Regulatel, Mejores prácticas: retos y dificultades regulatorias. Aprendiendo juntos. Barcelona, España, 4 y 5 de julio de 2007.</w:t>
            </w:r>
          </w:p>
          <w:p w14:paraId="66A548B2" w14:textId="77777777" w:rsidR="00083AC1" w:rsidRPr="00026349" w:rsidRDefault="00083AC1" w:rsidP="004737F6">
            <w:pPr>
              <w:pStyle w:val="Prrafodelista"/>
              <w:autoSpaceDE w:val="0"/>
              <w:autoSpaceDN w:val="0"/>
              <w:adjustRightInd w:val="0"/>
              <w:spacing w:after="120" w:line="240" w:lineRule="auto"/>
              <w:ind w:left="-104"/>
              <w:rPr>
                <w:rFonts w:eastAsia="CIDFont+F3" w:cs="Arial"/>
              </w:rPr>
            </w:pPr>
          </w:p>
          <w:p w14:paraId="6DE2CF2B" w14:textId="77777777" w:rsidR="00026349" w:rsidRDefault="00026349" w:rsidP="00B845F2">
            <w:pPr>
              <w:pStyle w:val="Prrafodelista"/>
              <w:numPr>
                <w:ilvl w:val="0"/>
                <w:numId w:val="59"/>
              </w:numPr>
              <w:autoSpaceDE w:val="0"/>
              <w:autoSpaceDN w:val="0"/>
              <w:adjustRightInd w:val="0"/>
              <w:spacing w:after="120" w:line="240" w:lineRule="auto"/>
              <w:ind w:left="-104" w:firstLine="0"/>
              <w:rPr>
                <w:rFonts w:eastAsia="CIDFont+F3" w:cs="Arial"/>
              </w:rPr>
            </w:pPr>
            <w:r w:rsidRPr="00083AC1">
              <w:rPr>
                <w:rFonts w:eastAsia="CIDFont+F3" w:cs="Arial"/>
              </w:rPr>
              <w:t xml:space="preserve"> X. Cumbre de Reguladores y Operadores, Regulatel-AHCIET, “Armonización y</w:t>
            </w:r>
            <w:r w:rsidR="00083AC1" w:rsidRPr="00083AC1">
              <w:rPr>
                <w:rFonts w:eastAsia="CIDFont+F3" w:cs="Arial"/>
              </w:rPr>
              <w:t xml:space="preserve"> </w:t>
            </w:r>
            <w:r w:rsidRPr="00083AC1">
              <w:rPr>
                <w:rFonts w:eastAsia="CIDFont+F3" w:cs="Arial"/>
              </w:rPr>
              <w:t>Universalización”, Madrid, Espa</w:t>
            </w:r>
            <w:r w:rsidRPr="00C45EE2">
              <w:rPr>
                <w:rFonts w:eastAsia="CIDFont+F3" w:cs="Arial"/>
              </w:rPr>
              <w:t>ña, 9 y 10 de julio de 2007.</w:t>
            </w:r>
          </w:p>
          <w:p w14:paraId="3132A426" w14:textId="77777777" w:rsidR="00083AC1" w:rsidRPr="00083AC1" w:rsidRDefault="00083AC1">
            <w:pPr>
              <w:pStyle w:val="Prrafodelista"/>
              <w:autoSpaceDE w:val="0"/>
              <w:autoSpaceDN w:val="0"/>
              <w:adjustRightInd w:val="0"/>
              <w:spacing w:after="120" w:line="240" w:lineRule="auto"/>
              <w:ind w:left="-104"/>
              <w:rPr>
                <w:rFonts w:eastAsia="CIDFont+F3" w:cs="Arial"/>
              </w:rPr>
            </w:pPr>
          </w:p>
          <w:p w14:paraId="7ED025A2" w14:textId="77777777" w:rsidR="00C31AF5" w:rsidRDefault="00026349" w:rsidP="00534220">
            <w:pPr>
              <w:pStyle w:val="Prrafodelista"/>
              <w:numPr>
                <w:ilvl w:val="0"/>
                <w:numId w:val="59"/>
              </w:numPr>
              <w:autoSpaceDE w:val="0"/>
              <w:autoSpaceDN w:val="0"/>
              <w:adjustRightInd w:val="0"/>
              <w:spacing w:after="120" w:line="240" w:lineRule="auto"/>
              <w:ind w:left="-104" w:firstLine="0"/>
              <w:rPr>
                <w:rFonts w:eastAsia="CIDFont+F3" w:cs="Arial"/>
              </w:rPr>
            </w:pPr>
            <w:r w:rsidRPr="00026349">
              <w:rPr>
                <w:rFonts w:eastAsia="CIDFont+F3" w:cs="Arial"/>
              </w:rPr>
              <w:t xml:space="preserve"> Seminario “Modelando el Negocio con software basado en estándares”, Club de</w:t>
            </w:r>
            <w:r>
              <w:rPr>
                <w:rFonts w:eastAsia="CIDFont+F3" w:cs="Arial"/>
              </w:rPr>
              <w:t xml:space="preserve"> </w:t>
            </w:r>
            <w:r w:rsidRPr="00026349">
              <w:rPr>
                <w:rFonts w:eastAsia="CIDFont+F3" w:cs="Arial"/>
              </w:rPr>
              <w:t>Investigación tecnológica, 9 de noviembre de 2007.</w:t>
            </w:r>
          </w:p>
          <w:p w14:paraId="1240C445" w14:textId="77777777" w:rsidR="00026349" w:rsidRPr="00026349" w:rsidRDefault="00026349">
            <w:pPr>
              <w:pStyle w:val="Prrafodelista"/>
              <w:autoSpaceDE w:val="0"/>
              <w:autoSpaceDN w:val="0"/>
              <w:adjustRightInd w:val="0"/>
              <w:spacing w:after="120" w:line="240" w:lineRule="auto"/>
              <w:ind w:left="-104"/>
              <w:rPr>
                <w:rFonts w:eastAsia="CIDFont+F3" w:cs="Arial"/>
              </w:rPr>
            </w:pPr>
          </w:p>
        </w:tc>
      </w:tr>
      <w:tr w:rsidR="002F1045" w:rsidRPr="006E6390" w14:paraId="28F9F5AE" w14:textId="77777777" w:rsidTr="00D64BC1">
        <w:tc>
          <w:tcPr>
            <w:tcW w:w="3428" w:type="dxa"/>
          </w:tcPr>
          <w:p w14:paraId="41D491C9"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12E9A8B5" w14:textId="77777777" w:rsidR="002F1045" w:rsidRPr="006E6390" w:rsidRDefault="007267FB" w:rsidP="0015318E">
            <w:pPr>
              <w:spacing w:after="120"/>
              <w:rPr>
                <w:rFonts w:cs="Arial"/>
              </w:rPr>
            </w:pPr>
            <w:r>
              <w:rPr>
                <w:rFonts w:cs="Arial"/>
              </w:rPr>
              <w:t>N</w:t>
            </w:r>
            <w:r w:rsidR="00A10919">
              <w:rPr>
                <w:rFonts w:cs="Arial"/>
              </w:rPr>
              <w:t>inguna</w:t>
            </w:r>
          </w:p>
        </w:tc>
      </w:tr>
    </w:tbl>
    <w:p w14:paraId="1852EA75" w14:textId="77777777" w:rsidR="002F1045" w:rsidRPr="006E6390" w:rsidRDefault="002F1045" w:rsidP="002F1045">
      <w:pPr>
        <w:rPr>
          <w:rFonts w:cs="Arial"/>
        </w:rPr>
      </w:pPr>
    </w:p>
    <w:p w14:paraId="3FF9409A" w14:textId="77777777" w:rsidR="002F1045" w:rsidRPr="006E6390" w:rsidRDefault="002F1045" w:rsidP="002F1045">
      <w:pPr>
        <w:rPr>
          <w:rFonts w:cs="Arial"/>
        </w:rPr>
      </w:pPr>
      <w:r w:rsidRPr="00094023">
        <w:rPr>
          <w:rFonts w:cs="Arial"/>
          <w:b/>
          <w:bCs/>
        </w:rPr>
        <w:t>Gerente de Servicios Técnicos:</w:t>
      </w:r>
      <w:r w:rsidRPr="006E6390">
        <w:rPr>
          <w:rFonts w:cs="Arial"/>
        </w:rPr>
        <w:t xml:space="preserve"> </w:t>
      </w:r>
      <w:r w:rsidR="0007564A">
        <w:rPr>
          <w:rFonts w:cs="Arial"/>
        </w:rPr>
        <w:t xml:space="preserve">Máster </w:t>
      </w:r>
      <w:r w:rsidR="00AB4579">
        <w:rPr>
          <w:rFonts w:cs="Arial"/>
        </w:rPr>
        <w:t>Alexander Davis Barquero</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1BC7809A" w14:textId="77777777" w:rsidTr="00D64BC1">
        <w:tc>
          <w:tcPr>
            <w:tcW w:w="3428" w:type="dxa"/>
          </w:tcPr>
          <w:p w14:paraId="58303354" w14:textId="77777777" w:rsidR="002F1045" w:rsidRPr="006E6390" w:rsidRDefault="002F1045" w:rsidP="0015318E">
            <w:pPr>
              <w:spacing w:after="120"/>
              <w:rPr>
                <w:rFonts w:cs="Arial"/>
              </w:rPr>
            </w:pPr>
            <w:r w:rsidRPr="006E6390">
              <w:rPr>
                <w:rFonts w:cs="Arial"/>
              </w:rPr>
              <w:t>Nacionalidad</w:t>
            </w:r>
          </w:p>
        </w:tc>
        <w:tc>
          <w:tcPr>
            <w:tcW w:w="5499" w:type="dxa"/>
          </w:tcPr>
          <w:p w14:paraId="4C2E001F" w14:textId="77777777" w:rsidR="002F1045" w:rsidRPr="006E6390" w:rsidRDefault="002F1045" w:rsidP="0015318E">
            <w:pPr>
              <w:spacing w:after="120"/>
              <w:rPr>
                <w:rFonts w:cs="Arial"/>
              </w:rPr>
            </w:pPr>
            <w:r w:rsidRPr="006E6390">
              <w:rPr>
                <w:rFonts w:cs="Arial"/>
              </w:rPr>
              <w:t>Costarricense</w:t>
            </w:r>
          </w:p>
        </w:tc>
      </w:tr>
      <w:tr w:rsidR="002F1045" w:rsidRPr="006E6390" w14:paraId="78C34B29" w14:textId="77777777" w:rsidTr="00D64BC1">
        <w:tc>
          <w:tcPr>
            <w:tcW w:w="3428" w:type="dxa"/>
          </w:tcPr>
          <w:p w14:paraId="4F9D5788" w14:textId="77777777" w:rsidR="002F1045" w:rsidRPr="006E6390" w:rsidRDefault="002F1045" w:rsidP="0015318E">
            <w:pPr>
              <w:spacing w:after="120"/>
              <w:rPr>
                <w:rFonts w:cs="Arial"/>
              </w:rPr>
            </w:pPr>
            <w:r w:rsidRPr="006E6390">
              <w:rPr>
                <w:rFonts w:cs="Arial"/>
              </w:rPr>
              <w:t>Año de Nacimiento</w:t>
            </w:r>
          </w:p>
        </w:tc>
        <w:tc>
          <w:tcPr>
            <w:tcW w:w="5499" w:type="dxa"/>
          </w:tcPr>
          <w:p w14:paraId="6233D019" w14:textId="77777777" w:rsidR="002F1045" w:rsidRPr="006E6390" w:rsidRDefault="00EA008C" w:rsidP="0015318E">
            <w:pPr>
              <w:spacing w:after="120"/>
              <w:rPr>
                <w:rFonts w:cs="Arial"/>
              </w:rPr>
            </w:pPr>
            <w:r w:rsidRPr="006E6390">
              <w:rPr>
                <w:rFonts w:cs="Arial"/>
              </w:rPr>
              <w:t>198</w:t>
            </w:r>
            <w:r>
              <w:rPr>
                <w:rFonts w:cs="Arial"/>
              </w:rPr>
              <w:t>6</w:t>
            </w:r>
          </w:p>
        </w:tc>
      </w:tr>
      <w:tr w:rsidR="002F1045" w:rsidRPr="006E6390" w14:paraId="57B774D1" w14:textId="77777777" w:rsidTr="00D64BC1">
        <w:tc>
          <w:tcPr>
            <w:tcW w:w="3428" w:type="dxa"/>
          </w:tcPr>
          <w:p w14:paraId="77275C4D" w14:textId="77777777" w:rsidR="002F1045" w:rsidRPr="006E6390" w:rsidRDefault="002F1045" w:rsidP="0015318E">
            <w:pPr>
              <w:spacing w:after="120"/>
              <w:rPr>
                <w:rFonts w:cs="Arial"/>
              </w:rPr>
            </w:pPr>
            <w:r w:rsidRPr="006E6390">
              <w:rPr>
                <w:rFonts w:cs="Arial"/>
              </w:rPr>
              <w:t>Poderes que ostenta</w:t>
            </w:r>
          </w:p>
        </w:tc>
        <w:tc>
          <w:tcPr>
            <w:tcW w:w="5499" w:type="dxa"/>
          </w:tcPr>
          <w:p w14:paraId="3C0CF247" w14:textId="77777777" w:rsidR="002F1045" w:rsidRPr="006E6390" w:rsidRDefault="002F1045" w:rsidP="0015318E">
            <w:pPr>
              <w:spacing w:after="120"/>
              <w:rPr>
                <w:rFonts w:cs="Arial"/>
              </w:rPr>
            </w:pPr>
            <w:r w:rsidRPr="006E6390">
              <w:rPr>
                <w:rFonts w:cs="Arial"/>
              </w:rPr>
              <w:t>Poder general sin límite de suma</w:t>
            </w:r>
          </w:p>
        </w:tc>
      </w:tr>
      <w:tr w:rsidR="002F1045" w:rsidRPr="006E6390" w14:paraId="1CB5F574" w14:textId="77777777" w:rsidTr="00D64BC1">
        <w:tc>
          <w:tcPr>
            <w:tcW w:w="3428" w:type="dxa"/>
          </w:tcPr>
          <w:p w14:paraId="34096CC3" w14:textId="77777777" w:rsidR="002F1045" w:rsidRPr="006E6390" w:rsidRDefault="002F1045" w:rsidP="0015318E">
            <w:pPr>
              <w:spacing w:after="120"/>
              <w:rPr>
                <w:rFonts w:cs="Arial"/>
              </w:rPr>
            </w:pPr>
            <w:r w:rsidRPr="006E6390">
              <w:rPr>
                <w:rFonts w:cs="Arial"/>
              </w:rPr>
              <w:lastRenderedPageBreak/>
              <w:t>Fecha de nombramiento</w:t>
            </w:r>
          </w:p>
        </w:tc>
        <w:tc>
          <w:tcPr>
            <w:tcW w:w="5499" w:type="dxa"/>
          </w:tcPr>
          <w:p w14:paraId="689E51D3" w14:textId="77777777" w:rsidR="002F1045" w:rsidRPr="006E6390" w:rsidRDefault="001A705A" w:rsidP="0015318E">
            <w:pPr>
              <w:spacing w:after="120"/>
              <w:rPr>
                <w:rFonts w:cs="Arial"/>
              </w:rPr>
            </w:pPr>
            <w:r>
              <w:rPr>
                <w:rFonts w:cs="Arial"/>
              </w:rPr>
              <w:t>21</w:t>
            </w:r>
            <w:r w:rsidRPr="006E6390">
              <w:rPr>
                <w:rFonts w:cs="Arial"/>
              </w:rPr>
              <w:t xml:space="preserve"> </w:t>
            </w:r>
            <w:r w:rsidR="002F1045" w:rsidRPr="006E6390">
              <w:rPr>
                <w:rFonts w:cs="Arial"/>
              </w:rPr>
              <w:t xml:space="preserve">de </w:t>
            </w:r>
            <w:r w:rsidR="00BF2644">
              <w:rPr>
                <w:rFonts w:cs="Arial"/>
              </w:rPr>
              <w:t>julio</w:t>
            </w:r>
            <w:r w:rsidR="00BF2644" w:rsidRPr="006E6390">
              <w:rPr>
                <w:rFonts w:cs="Arial"/>
              </w:rPr>
              <w:t xml:space="preserve"> </w:t>
            </w:r>
            <w:r w:rsidR="002F1045" w:rsidRPr="006E6390">
              <w:rPr>
                <w:rFonts w:cs="Arial"/>
              </w:rPr>
              <w:t xml:space="preserve">de </w:t>
            </w:r>
            <w:r w:rsidR="00BF2644" w:rsidRPr="006E6390">
              <w:rPr>
                <w:rFonts w:cs="Arial"/>
              </w:rPr>
              <w:t>202</w:t>
            </w:r>
            <w:r w:rsidR="00BF2644">
              <w:rPr>
                <w:rFonts w:cs="Arial"/>
              </w:rPr>
              <w:t>2</w:t>
            </w:r>
          </w:p>
        </w:tc>
      </w:tr>
      <w:tr w:rsidR="002F1045" w:rsidRPr="006E6390" w14:paraId="4E5DE240" w14:textId="77777777" w:rsidTr="00D64BC1">
        <w:tc>
          <w:tcPr>
            <w:tcW w:w="3428" w:type="dxa"/>
          </w:tcPr>
          <w:p w14:paraId="0B9628E7" w14:textId="77777777" w:rsidR="002F1045" w:rsidRPr="006E6390" w:rsidRDefault="002F1045" w:rsidP="0015318E">
            <w:pPr>
              <w:spacing w:after="120"/>
              <w:rPr>
                <w:rFonts w:cs="Arial"/>
              </w:rPr>
            </w:pPr>
            <w:r w:rsidRPr="006E6390">
              <w:rPr>
                <w:rFonts w:cs="Arial"/>
              </w:rPr>
              <w:t>Fecha de vencimiento del nombramiento</w:t>
            </w:r>
          </w:p>
        </w:tc>
        <w:tc>
          <w:tcPr>
            <w:tcW w:w="5499" w:type="dxa"/>
          </w:tcPr>
          <w:p w14:paraId="1AABDD84" w14:textId="77777777" w:rsidR="002F1045" w:rsidRPr="006E6390" w:rsidRDefault="002F1045" w:rsidP="0015318E">
            <w:pPr>
              <w:spacing w:after="120"/>
              <w:rPr>
                <w:rFonts w:cs="Arial"/>
              </w:rPr>
            </w:pPr>
            <w:r w:rsidRPr="006E6390">
              <w:rPr>
                <w:rFonts w:cs="Arial"/>
              </w:rPr>
              <w:t>Indefinido</w:t>
            </w:r>
          </w:p>
        </w:tc>
      </w:tr>
      <w:tr w:rsidR="002F1045" w:rsidRPr="006E6390" w14:paraId="4EC6B274" w14:textId="77777777" w:rsidTr="00D64BC1">
        <w:tc>
          <w:tcPr>
            <w:tcW w:w="3428" w:type="dxa"/>
          </w:tcPr>
          <w:p w14:paraId="02BD8E2A"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tcPr>
          <w:p w14:paraId="3D039DBA" w14:textId="77777777" w:rsidR="002F1045" w:rsidRPr="006E6390" w:rsidRDefault="002F1045" w:rsidP="0015318E">
            <w:pPr>
              <w:spacing w:after="120"/>
              <w:rPr>
                <w:rFonts w:cs="Arial"/>
              </w:rPr>
            </w:pPr>
            <w:r w:rsidRPr="006E6390">
              <w:rPr>
                <w:rFonts w:cs="Arial"/>
              </w:rPr>
              <w:t>Ninguna</w:t>
            </w:r>
          </w:p>
        </w:tc>
      </w:tr>
      <w:tr w:rsidR="002F1045" w:rsidRPr="006E6390" w14:paraId="61EF2644" w14:textId="77777777" w:rsidTr="00D64BC1">
        <w:tc>
          <w:tcPr>
            <w:tcW w:w="3428" w:type="dxa"/>
          </w:tcPr>
          <w:p w14:paraId="37B8DA5E" w14:textId="77777777" w:rsidR="002F1045" w:rsidRPr="006E6390" w:rsidRDefault="002F1045" w:rsidP="0015318E">
            <w:pPr>
              <w:spacing w:after="120"/>
              <w:rPr>
                <w:rFonts w:cs="Arial"/>
              </w:rPr>
            </w:pPr>
            <w:r w:rsidRPr="006E6390">
              <w:rPr>
                <w:rFonts w:cs="Arial"/>
              </w:rPr>
              <w:t>Currículum</w:t>
            </w:r>
          </w:p>
        </w:tc>
        <w:tc>
          <w:tcPr>
            <w:tcW w:w="5499" w:type="dxa"/>
          </w:tcPr>
          <w:p w14:paraId="499E13E7" w14:textId="77777777" w:rsidR="002F1045" w:rsidRPr="006E6390" w:rsidRDefault="002F1045" w:rsidP="0007564A">
            <w:pPr>
              <w:spacing w:after="120" w:line="240" w:lineRule="auto"/>
              <w:rPr>
                <w:rFonts w:cs="Arial"/>
              </w:rPr>
            </w:pPr>
            <w:r w:rsidRPr="006E6390">
              <w:rPr>
                <w:rFonts w:cs="Arial"/>
              </w:rPr>
              <w:t xml:space="preserve">Licenciado en Ingeniería </w:t>
            </w:r>
            <w:r w:rsidR="003E760A">
              <w:rPr>
                <w:rFonts w:cs="Arial"/>
              </w:rPr>
              <w:t>Química</w:t>
            </w:r>
            <w:r w:rsidRPr="006E6390">
              <w:rPr>
                <w:rFonts w:cs="Arial"/>
              </w:rPr>
              <w:t>, Costa Rica. Universidad Latinoamericana de Ciencia y Tecnología (</w:t>
            </w:r>
            <w:r w:rsidR="003E760A" w:rsidRPr="006E6390">
              <w:rPr>
                <w:rFonts w:cs="Arial"/>
              </w:rPr>
              <w:t>20</w:t>
            </w:r>
            <w:r w:rsidR="003E760A">
              <w:rPr>
                <w:rFonts w:cs="Arial"/>
              </w:rPr>
              <w:t>10</w:t>
            </w:r>
            <w:r w:rsidRPr="006E6390">
              <w:rPr>
                <w:rFonts w:cs="Arial"/>
              </w:rPr>
              <w:t>)</w:t>
            </w:r>
          </w:p>
          <w:p w14:paraId="506E50E5" w14:textId="77777777" w:rsidR="002F1045" w:rsidRPr="006E6390" w:rsidRDefault="002F1045" w:rsidP="0007564A">
            <w:pPr>
              <w:spacing w:after="120" w:line="240" w:lineRule="auto"/>
              <w:rPr>
                <w:rFonts w:cs="Arial"/>
              </w:rPr>
            </w:pPr>
            <w:r w:rsidRPr="006E6390">
              <w:rPr>
                <w:rFonts w:cs="Arial"/>
              </w:rPr>
              <w:t xml:space="preserve">Máster en </w:t>
            </w:r>
            <w:r w:rsidR="003E760A">
              <w:rPr>
                <w:rFonts w:cs="Arial"/>
              </w:rPr>
              <w:t>Energías Renovables y Eficiencia Energética</w:t>
            </w:r>
            <w:r w:rsidRPr="006E6390">
              <w:rPr>
                <w:rFonts w:cs="Arial"/>
              </w:rPr>
              <w:t xml:space="preserve"> (</w:t>
            </w:r>
            <w:r w:rsidR="003E760A" w:rsidRPr="006E6390">
              <w:rPr>
                <w:rFonts w:cs="Arial"/>
              </w:rPr>
              <w:t>20</w:t>
            </w:r>
            <w:r w:rsidR="003E760A">
              <w:rPr>
                <w:rFonts w:cs="Arial"/>
              </w:rPr>
              <w:t>18</w:t>
            </w:r>
            <w:r w:rsidRPr="006E6390">
              <w:rPr>
                <w:rFonts w:cs="Arial"/>
              </w:rPr>
              <w:t>)</w:t>
            </w:r>
          </w:p>
          <w:p w14:paraId="33224213" w14:textId="77777777" w:rsidR="00C45EE2" w:rsidRPr="00832F64" w:rsidRDefault="00C45EE2" w:rsidP="0007564A">
            <w:pPr>
              <w:autoSpaceDE w:val="0"/>
              <w:autoSpaceDN w:val="0"/>
              <w:adjustRightInd w:val="0"/>
              <w:spacing w:after="0" w:line="240" w:lineRule="auto"/>
              <w:rPr>
                <w:rFonts w:eastAsia="Calibri" w:cs="Arial"/>
                <w:color w:val="000000"/>
              </w:rPr>
            </w:pPr>
          </w:p>
          <w:p w14:paraId="444DA76C" w14:textId="77777777" w:rsidR="00832F64" w:rsidRPr="00832F64" w:rsidRDefault="00832F64" w:rsidP="0007564A">
            <w:pPr>
              <w:autoSpaceDE w:val="0"/>
              <w:autoSpaceDN w:val="0"/>
              <w:adjustRightInd w:val="0"/>
              <w:spacing w:after="0" w:line="240" w:lineRule="auto"/>
              <w:rPr>
                <w:rFonts w:eastAsia="Calibri" w:cs="Arial"/>
                <w:color w:val="000000"/>
              </w:rPr>
            </w:pPr>
            <w:r w:rsidRPr="00832F64">
              <w:rPr>
                <w:rFonts w:eastAsia="Calibri" w:cs="Arial"/>
                <w:color w:val="000000"/>
              </w:rPr>
              <w:t xml:space="preserve">Director de proyectos y Coordinador de Calidad, Autoridad Reguladora de los Servicios Públicos (ARESEP) Costa Rica, San José. </w:t>
            </w:r>
            <w:r>
              <w:rPr>
                <w:rFonts w:eastAsia="Calibri" w:cs="Arial"/>
                <w:color w:val="000000"/>
              </w:rPr>
              <w:t>(2011 en adelante)</w:t>
            </w:r>
          </w:p>
          <w:p w14:paraId="721CAFE0" w14:textId="77777777" w:rsidR="00832F64" w:rsidRDefault="00832F64" w:rsidP="00D27B63">
            <w:pPr>
              <w:autoSpaceDE w:val="0"/>
              <w:autoSpaceDN w:val="0"/>
              <w:adjustRightInd w:val="0"/>
              <w:spacing w:after="0" w:line="240" w:lineRule="auto"/>
              <w:rPr>
                <w:rFonts w:eastAsia="Calibri" w:cs="Arial"/>
                <w:color w:val="000000"/>
              </w:rPr>
            </w:pPr>
          </w:p>
          <w:p w14:paraId="519415D1" w14:textId="77777777" w:rsidR="00C21684" w:rsidRDefault="00C21684" w:rsidP="00404FB2">
            <w:pPr>
              <w:autoSpaceDE w:val="0"/>
              <w:autoSpaceDN w:val="0"/>
              <w:adjustRightInd w:val="0"/>
              <w:spacing w:after="0" w:line="240" w:lineRule="auto"/>
              <w:rPr>
                <w:rFonts w:eastAsia="Calibri" w:cs="Arial"/>
                <w:color w:val="000000"/>
              </w:rPr>
            </w:pPr>
            <w:r w:rsidRPr="00C21684">
              <w:rPr>
                <w:rFonts w:eastAsia="Calibri" w:cs="Arial"/>
                <w:color w:val="000000"/>
              </w:rPr>
              <w:t xml:space="preserve">Experto Energías Renovables, Facultad de Ingeniería, Universidad de Costa Rica, San José </w:t>
            </w:r>
            <w:r>
              <w:rPr>
                <w:rFonts w:eastAsia="Calibri" w:cs="Arial"/>
                <w:color w:val="000000"/>
              </w:rPr>
              <w:t>(2013 a 2019)</w:t>
            </w:r>
          </w:p>
          <w:p w14:paraId="3915CD11" w14:textId="77777777" w:rsidR="00C21684" w:rsidRDefault="00C21684" w:rsidP="00774317">
            <w:pPr>
              <w:autoSpaceDE w:val="0"/>
              <w:autoSpaceDN w:val="0"/>
              <w:adjustRightInd w:val="0"/>
              <w:spacing w:after="0" w:line="240" w:lineRule="auto"/>
              <w:rPr>
                <w:rFonts w:eastAsia="Calibri" w:cs="Arial"/>
                <w:color w:val="000000"/>
              </w:rPr>
            </w:pPr>
          </w:p>
          <w:p w14:paraId="1468CC5C" w14:textId="77777777" w:rsidR="00C21684" w:rsidRPr="00C21684" w:rsidRDefault="00C21684" w:rsidP="004737F6">
            <w:pPr>
              <w:autoSpaceDE w:val="0"/>
              <w:autoSpaceDN w:val="0"/>
              <w:adjustRightInd w:val="0"/>
              <w:spacing w:after="0" w:line="240" w:lineRule="auto"/>
              <w:rPr>
                <w:rFonts w:eastAsia="Calibri" w:cs="Arial"/>
                <w:color w:val="000000"/>
              </w:rPr>
            </w:pPr>
            <w:r w:rsidRPr="00C21684">
              <w:rPr>
                <w:rFonts w:eastAsia="Calibri" w:cs="Arial"/>
                <w:color w:val="000000"/>
              </w:rPr>
              <w:t xml:space="preserve">Coordinador Bioquímica y Química Orgánica, Facultad de Medicina. Universidad Hispanoamericana, San José </w:t>
            </w:r>
            <w:r>
              <w:rPr>
                <w:rFonts w:eastAsia="Calibri" w:cs="Arial"/>
                <w:color w:val="000000"/>
              </w:rPr>
              <w:t>(2010 a 2012)</w:t>
            </w:r>
          </w:p>
          <w:p w14:paraId="1374AE55" w14:textId="77777777" w:rsidR="00C21684" w:rsidRPr="00C21684" w:rsidRDefault="00C21684" w:rsidP="00B845F2">
            <w:pPr>
              <w:autoSpaceDE w:val="0"/>
              <w:autoSpaceDN w:val="0"/>
              <w:adjustRightInd w:val="0"/>
              <w:spacing w:after="0" w:line="240" w:lineRule="auto"/>
              <w:rPr>
                <w:rFonts w:eastAsia="Calibri" w:cs="Arial"/>
                <w:color w:val="000000"/>
              </w:rPr>
            </w:pPr>
          </w:p>
          <w:p w14:paraId="7E509C3C"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xml:space="preserve">Experto en Fiscalización de Procesos de Ingeniería Procura y Construcción en plantas de refinación de petróleo, Uonline, Chile. </w:t>
            </w:r>
            <w:r w:rsidR="00E32751" w:rsidRPr="00BC5F5A">
              <w:rPr>
                <w:rFonts w:eastAsia="Calibri" w:cs="Arial"/>
                <w:color w:val="000000"/>
              </w:rPr>
              <w:t>(</w:t>
            </w:r>
            <w:r w:rsidRPr="00BC5F5A">
              <w:rPr>
                <w:rFonts w:eastAsia="Calibri" w:cs="Arial"/>
                <w:color w:val="000000"/>
              </w:rPr>
              <w:t>2015</w:t>
            </w:r>
            <w:r w:rsidR="00E32751" w:rsidRPr="00BC5F5A">
              <w:rPr>
                <w:rFonts w:eastAsia="Calibri" w:cs="Arial"/>
                <w:color w:val="000000"/>
              </w:rPr>
              <w:t>)</w:t>
            </w:r>
            <w:r w:rsidRPr="00BC5F5A">
              <w:rPr>
                <w:rFonts w:eastAsia="Calibri" w:cs="Arial"/>
                <w:color w:val="000000"/>
              </w:rPr>
              <w:t xml:space="preserve"> </w:t>
            </w:r>
          </w:p>
          <w:p w14:paraId="7586B430" w14:textId="77777777" w:rsidR="002468D5" w:rsidRPr="00BC5F5A" w:rsidRDefault="002468D5">
            <w:pPr>
              <w:autoSpaceDE w:val="0"/>
              <w:autoSpaceDN w:val="0"/>
              <w:adjustRightInd w:val="0"/>
              <w:spacing w:after="0" w:line="240" w:lineRule="auto"/>
              <w:rPr>
                <w:rFonts w:eastAsia="Calibri" w:cs="Arial"/>
                <w:color w:val="000000"/>
              </w:rPr>
            </w:pPr>
          </w:p>
          <w:p w14:paraId="4BBB8228"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Capacitación en contratos Gas Natural, U.S. Trade and Development Agency, Mexico City.</w:t>
            </w:r>
            <w:r w:rsidR="00E32751" w:rsidRPr="00BC5F5A">
              <w:rPr>
                <w:rFonts w:eastAsia="Calibri" w:cs="Arial"/>
                <w:color w:val="000000"/>
              </w:rPr>
              <w:t xml:space="preserve"> (</w:t>
            </w:r>
            <w:r w:rsidRPr="00BC5F5A">
              <w:rPr>
                <w:rFonts w:eastAsia="Calibri" w:cs="Arial"/>
                <w:color w:val="000000"/>
              </w:rPr>
              <w:t>2018</w:t>
            </w:r>
            <w:r w:rsidR="00E32751" w:rsidRPr="00BC5F5A">
              <w:rPr>
                <w:rFonts w:eastAsia="Calibri" w:cs="Arial"/>
                <w:color w:val="000000"/>
              </w:rPr>
              <w:t>)</w:t>
            </w:r>
            <w:r w:rsidRPr="00BC5F5A">
              <w:rPr>
                <w:rFonts w:eastAsia="Calibri" w:cs="Arial"/>
                <w:color w:val="000000"/>
              </w:rPr>
              <w:t xml:space="preserve"> </w:t>
            </w:r>
          </w:p>
          <w:p w14:paraId="737D27F2" w14:textId="77777777" w:rsidR="002468D5" w:rsidRPr="00BC5F5A" w:rsidRDefault="002468D5">
            <w:pPr>
              <w:autoSpaceDE w:val="0"/>
              <w:autoSpaceDN w:val="0"/>
              <w:adjustRightInd w:val="0"/>
              <w:spacing w:after="0" w:line="240" w:lineRule="auto"/>
              <w:rPr>
                <w:rFonts w:eastAsia="Calibri" w:cs="Arial"/>
                <w:color w:val="000000"/>
              </w:rPr>
            </w:pPr>
          </w:p>
          <w:p w14:paraId="237272F1"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xml:space="preserve">- Capacitación en Gas Natural, sistemas de generación ciclo combinado, U.S. Trade and Development Agency, Panamá. </w:t>
            </w:r>
            <w:r w:rsidR="00E32751" w:rsidRPr="00BC5F5A">
              <w:rPr>
                <w:rFonts w:eastAsia="Calibri" w:cs="Arial"/>
                <w:color w:val="000000"/>
              </w:rPr>
              <w:t>(</w:t>
            </w:r>
            <w:r w:rsidRPr="00BC5F5A">
              <w:rPr>
                <w:rFonts w:eastAsia="Calibri" w:cs="Arial"/>
                <w:color w:val="000000"/>
              </w:rPr>
              <w:t>2018</w:t>
            </w:r>
            <w:r w:rsidR="00E32751" w:rsidRPr="00BC5F5A">
              <w:rPr>
                <w:rFonts w:eastAsia="Calibri" w:cs="Arial"/>
                <w:color w:val="000000"/>
              </w:rPr>
              <w:t>)</w:t>
            </w:r>
            <w:r w:rsidRPr="00BC5F5A">
              <w:rPr>
                <w:rFonts w:eastAsia="Calibri" w:cs="Arial"/>
                <w:color w:val="000000"/>
              </w:rPr>
              <w:t xml:space="preserve"> </w:t>
            </w:r>
          </w:p>
          <w:p w14:paraId="78B03D1F" w14:textId="77777777" w:rsidR="002468D5" w:rsidRPr="00BC5F5A" w:rsidRDefault="002468D5">
            <w:pPr>
              <w:autoSpaceDE w:val="0"/>
              <w:autoSpaceDN w:val="0"/>
              <w:adjustRightInd w:val="0"/>
              <w:spacing w:after="0" w:line="240" w:lineRule="auto"/>
              <w:rPr>
                <w:rFonts w:eastAsia="Calibri" w:cs="Arial"/>
                <w:color w:val="000000"/>
              </w:rPr>
            </w:pPr>
          </w:p>
          <w:p w14:paraId="1C25C999"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Capacitación en Gas Natural, sistemas de almacenamiento y distribución, U.S. Trade and Development Agency, Washington, D.C.  (2018)</w:t>
            </w:r>
          </w:p>
          <w:p w14:paraId="70B3A575" w14:textId="77777777" w:rsidR="002468D5" w:rsidRPr="00BC5F5A" w:rsidRDefault="002468D5">
            <w:pPr>
              <w:autoSpaceDE w:val="0"/>
              <w:autoSpaceDN w:val="0"/>
              <w:adjustRightInd w:val="0"/>
              <w:spacing w:after="0" w:line="240" w:lineRule="auto"/>
              <w:rPr>
                <w:rFonts w:eastAsia="Calibri" w:cs="Arial"/>
                <w:color w:val="000000"/>
              </w:rPr>
            </w:pPr>
          </w:p>
          <w:p w14:paraId="36DF6028" w14:textId="77777777" w:rsidR="00C45EE2" w:rsidRPr="00BC5F5A" w:rsidRDefault="00C45EE2">
            <w:pPr>
              <w:autoSpaceDE w:val="0"/>
              <w:autoSpaceDN w:val="0"/>
              <w:adjustRightInd w:val="0"/>
              <w:spacing w:after="0" w:line="240" w:lineRule="auto"/>
              <w:rPr>
                <w:rFonts w:eastAsia="Calibri" w:cs="Arial"/>
                <w:color w:val="000000"/>
                <w:lang w:val="en-US"/>
              </w:rPr>
            </w:pPr>
            <w:r w:rsidRPr="00BC5F5A">
              <w:rPr>
                <w:rFonts w:eastAsia="Calibri" w:cs="Arial"/>
                <w:color w:val="000000"/>
              </w:rPr>
              <w:t xml:space="preserve">- Pasantía en Calidad de Combustibles, K-Petro, Corea del Sur. </w:t>
            </w:r>
            <w:r w:rsidRPr="00534220">
              <w:rPr>
                <w:rFonts w:eastAsia="Calibri" w:cs="Arial"/>
                <w:color w:val="000000"/>
                <w:lang w:val="en-US"/>
              </w:rPr>
              <w:t>(</w:t>
            </w:r>
            <w:r w:rsidRPr="00BC5F5A">
              <w:rPr>
                <w:rFonts w:eastAsia="Calibri" w:cs="Arial"/>
                <w:color w:val="000000"/>
                <w:lang w:val="en-US"/>
              </w:rPr>
              <w:t xml:space="preserve">2017) </w:t>
            </w:r>
          </w:p>
          <w:p w14:paraId="3278B2AD" w14:textId="77777777" w:rsidR="002468D5" w:rsidRPr="00BC5F5A" w:rsidRDefault="002468D5">
            <w:pPr>
              <w:autoSpaceDE w:val="0"/>
              <w:autoSpaceDN w:val="0"/>
              <w:adjustRightInd w:val="0"/>
              <w:spacing w:after="0" w:line="240" w:lineRule="auto"/>
              <w:rPr>
                <w:rFonts w:eastAsia="Calibri" w:cs="Arial"/>
                <w:color w:val="000000"/>
                <w:lang w:val="en-US"/>
              </w:rPr>
            </w:pPr>
          </w:p>
          <w:p w14:paraId="5B6B7003"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lang w:val="en-US"/>
              </w:rPr>
              <w:t xml:space="preserve">- Certificado Six Sigma Black Belt, PXS. </w:t>
            </w:r>
            <w:r w:rsidRPr="0007564A">
              <w:rPr>
                <w:rFonts w:eastAsia="Calibri" w:cs="Arial"/>
                <w:color w:val="000000"/>
              </w:rPr>
              <w:t>(</w:t>
            </w:r>
            <w:r w:rsidRPr="00BC5F5A">
              <w:rPr>
                <w:rFonts w:eastAsia="Calibri" w:cs="Arial"/>
                <w:color w:val="000000"/>
              </w:rPr>
              <w:t xml:space="preserve">2017) </w:t>
            </w:r>
          </w:p>
          <w:p w14:paraId="43B502C6" w14:textId="77777777" w:rsidR="002468D5" w:rsidRPr="00BC5F5A" w:rsidRDefault="002468D5">
            <w:pPr>
              <w:autoSpaceDE w:val="0"/>
              <w:autoSpaceDN w:val="0"/>
              <w:adjustRightInd w:val="0"/>
              <w:spacing w:after="0" w:line="240" w:lineRule="auto"/>
              <w:rPr>
                <w:rFonts w:eastAsia="Calibri" w:cs="Arial"/>
                <w:color w:val="000000"/>
              </w:rPr>
            </w:pPr>
          </w:p>
          <w:p w14:paraId="12383E0C"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Certificado Six Sigma Green Belt, PXS. (2016)</w:t>
            </w:r>
          </w:p>
          <w:p w14:paraId="12B11D37" w14:textId="77777777" w:rsidR="002468D5" w:rsidRPr="00BC5F5A" w:rsidRDefault="002468D5">
            <w:pPr>
              <w:autoSpaceDE w:val="0"/>
              <w:autoSpaceDN w:val="0"/>
              <w:adjustRightInd w:val="0"/>
              <w:spacing w:after="0" w:line="240" w:lineRule="auto"/>
              <w:rPr>
                <w:rFonts w:eastAsia="Calibri" w:cs="Arial"/>
                <w:color w:val="000000"/>
              </w:rPr>
            </w:pPr>
          </w:p>
          <w:p w14:paraId="2FBA8C11"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xml:space="preserve">- Certificación NFPA 58 Código del GLP, NFPA. (2016) </w:t>
            </w:r>
          </w:p>
          <w:p w14:paraId="229C2DC9" w14:textId="77777777" w:rsidR="002468D5" w:rsidRPr="00BC5F5A" w:rsidRDefault="002468D5">
            <w:pPr>
              <w:autoSpaceDE w:val="0"/>
              <w:autoSpaceDN w:val="0"/>
              <w:adjustRightInd w:val="0"/>
              <w:spacing w:after="0" w:line="240" w:lineRule="auto"/>
              <w:rPr>
                <w:rFonts w:eastAsia="Calibri" w:cs="Arial"/>
                <w:color w:val="000000"/>
              </w:rPr>
            </w:pPr>
          </w:p>
          <w:p w14:paraId="5C95480B"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Capacitación en economía de los servicios públicos, INCAE Business School. (2015)</w:t>
            </w:r>
          </w:p>
          <w:p w14:paraId="65F9A789" w14:textId="77777777" w:rsidR="002468D5" w:rsidRPr="00BC5F5A" w:rsidRDefault="002468D5">
            <w:pPr>
              <w:autoSpaceDE w:val="0"/>
              <w:autoSpaceDN w:val="0"/>
              <w:adjustRightInd w:val="0"/>
              <w:spacing w:after="0" w:line="240" w:lineRule="auto"/>
              <w:rPr>
                <w:rFonts w:eastAsia="Calibri" w:cs="Arial"/>
                <w:color w:val="000000"/>
              </w:rPr>
            </w:pPr>
          </w:p>
          <w:p w14:paraId="359D0EEF"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Certificación en Sistemas de Potencia Eléctrica, Universidad de Costa Rica. (2015)</w:t>
            </w:r>
          </w:p>
          <w:p w14:paraId="6552AA55" w14:textId="77777777" w:rsidR="002468D5" w:rsidRPr="00BC5F5A" w:rsidRDefault="002468D5">
            <w:pPr>
              <w:autoSpaceDE w:val="0"/>
              <w:autoSpaceDN w:val="0"/>
              <w:adjustRightInd w:val="0"/>
              <w:spacing w:after="0" w:line="240" w:lineRule="auto"/>
              <w:rPr>
                <w:rFonts w:eastAsia="Calibri" w:cs="Arial"/>
                <w:color w:val="000000"/>
              </w:rPr>
            </w:pPr>
          </w:p>
          <w:p w14:paraId="2F5D71F8"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Capacitación en INTE-ISO-IEC 17025:2005, ECA. (2013)</w:t>
            </w:r>
          </w:p>
          <w:p w14:paraId="2EEA10EF" w14:textId="77777777" w:rsidR="00C45EE2" w:rsidRPr="00BC5F5A" w:rsidRDefault="00C45EE2">
            <w:pPr>
              <w:autoSpaceDE w:val="0"/>
              <w:autoSpaceDN w:val="0"/>
              <w:adjustRightInd w:val="0"/>
              <w:spacing w:after="0" w:line="240" w:lineRule="auto"/>
              <w:rPr>
                <w:rFonts w:eastAsia="Calibri" w:cs="Arial"/>
                <w:color w:val="000000"/>
              </w:rPr>
            </w:pPr>
          </w:p>
          <w:p w14:paraId="6498727F" w14:textId="77777777" w:rsidR="00C45EE2" w:rsidRPr="00832F64"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xml:space="preserve">- Certificación en Sistemas Industriales de Calentamiento, U.S. Department of Energy. </w:t>
            </w:r>
            <w:r w:rsidRPr="00832F64">
              <w:rPr>
                <w:rFonts w:eastAsia="Calibri" w:cs="Arial"/>
                <w:color w:val="000000"/>
              </w:rPr>
              <w:t xml:space="preserve">(2012) </w:t>
            </w:r>
          </w:p>
          <w:p w14:paraId="476D4B87" w14:textId="77777777" w:rsidR="002468D5" w:rsidRPr="00BC5F5A" w:rsidRDefault="002468D5">
            <w:pPr>
              <w:autoSpaceDE w:val="0"/>
              <w:autoSpaceDN w:val="0"/>
              <w:adjustRightInd w:val="0"/>
              <w:spacing w:after="0" w:line="240" w:lineRule="auto"/>
              <w:rPr>
                <w:rFonts w:eastAsia="Calibri" w:cs="Arial"/>
                <w:color w:val="000000"/>
              </w:rPr>
            </w:pPr>
          </w:p>
          <w:p w14:paraId="46F74845" w14:textId="77777777" w:rsidR="00C45EE2" w:rsidRPr="00BC5F5A" w:rsidRDefault="00C45EE2">
            <w:pPr>
              <w:autoSpaceDE w:val="0"/>
              <w:autoSpaceDN w:val="0"/>
              <w:adjustRightInd w:val="0"/>
              <w:spacing w:after="0" w:line="240" w:lineRule="auto"/>
              <w:rPr>
                <w:rFonts w:eastAsia="Calibri" w:cs="Arial"/>
                <w:color w:val="000000"/>
              </w:rPr>
            </w:pPr>
            <w:r w:rsidRPr="00BC5F5A">
              <w:rPr>
                <w:rFonts w:eastAsia="Calibri" w:cs="Arial"/>
                <w:color w:val="000000"/>
              </w:rPr>
              <w:t>- Certificación en Sistemas Industriales de Vapor, U.S. Department of Energy.</w:t>
            </w:r>
            <w:r w:rsidR="002468D5" w:rsidRPr="00BC5F5A">
              <w:rPr>
                <w:rFonts w:eastAsia="Calibri" w:cs="Arial"/>
                <w:color w:val="000000"/>
              </w:rPr>
              <w:t xml:space="preserve"> (2012)</w:t>
            </w:r>
          </w:p>
          <w:p w14:paraId="179C4AD2" w14:textId="77777777" w:rsidR="002F1045" w:rsidRPr="006E6390" w:rsidRDefault="002F1045" w:rsidP="0007564A">
            <w:pPr>
              <w:spacing w:after="120" w:line="240" w:lineRule="auto"/>
              <w:rPr>
                <w:rFonts w:cs="Arial"/>
              </w:rPr>
            </w:pPr>
          </w:p>
        </w:tc>
      </w:tr>
      <w:tr w:rsidR="002F1045" w:rsidRPr="006E6390" w14:paraId="41A012BC" w14:textId="77777777" w:rsidTr="00D64BC1">
        <w:tc>
          <w:tcPr>
            <w:tcW w:w="3428" w:type="dxa"/>
          </w:tcPr>
          <w:p w14:paraId="2E9BDF96" w14:textId="77777777" w:rsidR="002F1045" w:rsidRPr="006E6390" w:rsidRDefault="002F1045" w:rsidP="0015318E">
            <w:pPr>
              <w:spacing w:after="120"/>
              <w:rPr>
                <w:rFonts w:cs="Arial"/>
              </w:rPr>
            </w:pPr>
            <w:r w:rsidRPr="006E6390">
              <w:rPr>
                <w:rFonts w:cs="Arial"/>
              </w:rPr>
              <w:t>Miembro de otras Juntas Directivas</w:t>
            </w:r>
          </w:p>
        </w:tc>
        <w:tc>
          <w:tcPr>
            <w:tcW w:w="5499" w:type="dxa"/>
          </w:tcPr>
          <w:p w14:paraId="2CDD5203" w14:textId="77777777" w:rsidR="002F1045" w:rsidRPr="006E6390" w:rsidRDefault="00C92E83" w:rsidP="0015318E">
            <w:pPr>
              <w:spacing w:after="120"/>
              <w:rPr>
                <w:rFonts w:cs="Arial"/>
              </w:rPr>
            </w:pPr>
            <w:r>
              <w:rPr>
                <w:rFonts w:cs="Arial"/>
                <w:color w:val="222222"/>
                <w:shd w:val="clear" w:color="auto" w:fill="FFFFFF"/>
              </w:rPr>
              <w:t>3-101-678053 S.A. (de carácter familiar)</w:t>
            </w:r>
          </w:p>
        </w:tc>
      </w:tr>
    </w:tbl>
    <w:p w14:paraId="34FB8160" w14:textId="77777777" w:rsidR="002F1045" w:rsidRPr="006E6390" w:rsidRDefault="002F1045" w:rsidP="002F1045">
      <w:pPr>
        <w:rPr>
          <w:rFonts w:cs="Arial"/>
        </w:rPr>
      </w:pPr>
    </w:p>
    <w:p w14:paraId="2F9F19DD" w14:textId="77777777" w:rsidR="002F1045" w:rsidRPr="006E6390" w:rsidRDefault="002F1045" w:rsidP="002F1045">
      <w:pPr>
        <w:rPr>
          <w:rFonts w:cs="Arial"/>
        </w:rPr>
      </w:pPr>
      <w:r w:rsidRPr="00094023">
        <w:rPr>
          <w:rFonts w:cs="Arial"/>
          <w:b/>
          <w:bCs/>
        </w:rPr>
        <w:t>Gerente de Operaciones:</w:t>
      </w:r>
      <w:r w:rsidRPr="006E6390">
        <w:rPr>
          <w:rFonts w:cs="Arial"/>
        </w:rPr>
        <w:t xml:space="preserve"> </w:t>
      </w:r>
      <w:r w:rsidR="00CB55A4" w:rsidRPr="006E6390">
        <w:rPr>
          <w:rFonts w:cs="Arial"/>
        </w:rPr>
        <w:t>Ing</w:t>
      </w:r>
      <w:r w:rsidRPr="006E6390">
        <w:rPr>
          <w:rFonts w:cs="Arial"/>
        </w:rPr>
        <w:t xml:space="preserve">. </w:t>
      </w:r>
      <w:r w:rsidR="00DF60A5" w:rsidRPr="006E6390">
        <w:rPr>
          <w:rFonts w:cs="Arial"/>
        </w:rPr>
        <w:t>Patricia Camacho Castro</w:t>
      </w:r>
    </w:p>
    <w:tbl>
      <w:tblPr>
        <w:tblW w:w="892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428"/>
        <w:gridCol w:w="5499"/>
      </w:tblGrid>
      <w:tr w:rsidR="002F1045" w:rsidRPr="006E6390" w14:paraId="5CCD5494" w14:textId="77777777" w:rsidTr="00D64BC1">
        <w:tc>
          <w:tcPr>
            <w:tcW w:w="3428" w:type="dxa"/>
          </w:tcPr>
          <w:p w14:paraId="05B012E6" w14:textId="77777777" w:rsidR="002F1045" w:rsidRPr="006E6390" w:rsidRDefault="002F1045" w:rsidP="0015318E">
            <w:pPr>
              <w:spacing w:after="120"/>
              <w:rPr>
                <w:rFonts w:cs="Arial"/>
              </w:rPr>
            </w:pPr>
            <w:r w:rsidRPr="006E6390">
              <w:rPr>
                <w:rFonts w:cs="Arial"/>
              </w:rPr>
              <w:t>Nacionalidad</w:t>
            </w:r>
          </w:p>
        </w:tc>
        <w:tc>
          <w:tcPr>
            <w:tcW w:w="5499" w:type="dxa"/>
          </w:tcPr>
          <w:p w14:paraId="4ED1AC57" w14:textId="77777777" w:rsidR="002F1045" w:rsidRPr="006E6390" w:rsidRDefault="002F1045" w:rsidP="0015318E">
            <w:pPr>
              <w:spacing w:after="120"/>
              <w:rPr>
                <w:rFonts w:cs="Arial"/>
              </w:rPr>
            </w:pPr>
            <w:r w:rsidRPr="006E6390">
              <w:rPr>
                <w:rFonts w:cs="Arial"/>
              </w:rPr>
              <w:t>Costarricense</w:t>
            </w:r>
          </w:p>
        </w:tc>
      </w:tr>
      <w:tr w:rsidR="002F1045" w:rsidRPr="006E6390" w14:paraId="3D7DBB6D" w14:textId="77777777" w:rsidTr="00D64BC1">
        <w:tc>
          <w:tcPr>
            <w:tcW w:w="3428" w:type="dxa"/>
          </w:tcPr>
          <w:p w14:paraId="4C329CD6" w14:textId="77777777" w:rsidR="002F1045" w:rsidRPr="006E6390" w:rsidRDefault="002F1045" w:rsidP="0015318E">
            <w:pPr>
              <w:spacing w:after="120"/>
              <w:rPr>
                <w:rFonts w:cs="Arial"/>
              </w:rPr>
            </w:pPr>
            <w:r w:rsidRPr="006E6390">
              <w:rPr>
                <w:rFonts w:cs="Arial"/>
              </w:rPr>
              <w:t>Año de Nacimiento</w:t>
            </w:r>
          </w:p>
        </w:tc>
        <w:tc>
          <w:tcPr>
            <w:tcW w:w="5499" w:type="dxa"/>
          </w:tcPr>
          <w:p w14:paraId="4CB7AD3C" w14:textId="77777777" w:rsidR="002F1045" w:rsidRPr="006E6390" w:rsidRDefault="00DF60A5" w:rsidP="0015318E">
            <w:pPr>
              <w:spacing w:after="120"/>
              <w:rPr>
                <w:rFonts w:cs="Arial"/>
              </w:rPr>
            </w:pPr>
            <w:r w:rsidRPr="006E6390">
              <w:rPr>
                <w:rFonts w:cs="Arial"/>
              </w:rPr>
              <w:t>19</w:t>
            </w:r>
            <w:r w:rsidR="00CB55A4" w:rsidRPr="006E6390">
              <w:rPr>
                <w:rFonts w:cs="Arial"/>
              </w:rPr>
              <w:t>62</w:t>
            </w:r>
          </w:p>
        </w:tc>
      </w:tr>
      <w:tr w:rsidR="002F1045" w:rsidRPr="006E6390" w14:paraId="50E723FB" w14:textId="77777777" w:rsidTr="00D64BC1">
        <w:tc>
          <w:tcPr>
            <w:tcW w:w="3428" w:type="dxa"/>
          </w:tcPr>
          <w:p w14:paraId="1B8C1C44" w14:textId="77777777" w:rsidR="002F1045" w:rsidRPr="006E6390" w:rsidRDefault="002F1045" w:rsidP="0015318E">
            <w:pPr>
              <w:spacing w:after="120"/>
              <w:rPr>
                <w:rFonts w:cs="Arial"/>
              </w:rPr>
            </w:pPr>
            <w:r w:rsidRPr="006E6390">
              <w:rPr>
                <w:rFonts w:cs="Arial"/>
              </w:rPr>
              <w:t>Poderes que ostenta</w:t>
            </w:r>
          </w:p>
        </w:tc>
        <w:tc>
          <w:tcPr>
            <w:tcW w:w="5499" w:type="dxa"/>
            <w:vAlign w:val="center"/>
          </w:tcPr>
          <w:p w14:paraId="6925241C" w14:textId="77777777" w:rsidR="002F1045" w:rsidRPr="006E6390" w:rsidRDefault="00DE3445" w:rsidP="0015318E">
            <w:pPr>
              <w:spacing w:after="120"/>
              <w:rPr>
                <w:rFonts w:cs="Arial"/>
              </w:rPr>
            </w:pPr>
            <w:r>
              <w:rPr>
                <w:rFonts w:cs="Arial"/>
              </w:rPr>
              <w:t>Poder</w:t>
            </w:r>
            <w:r w:rsidRPr="006E6390">
              <w:rPr>
                <w:rFonts w:cs="Arial"/>
              </w:rPr>
              <w:t xml:space="preserve"> </w:t>
            </w:r>
            <w:r w:rsidR="002F1045" w:rsidRPr="006E6390">
              <w:rPr>
                <w:rFonts w:cs="Arial"/>
              </w:rPr>
              <w:t>General sin límite de suma</w:t>
            </w:r>
          </w:p>
        </w:tc>
      </w:tr>
      <w:tr w:rsidR="002F1045" w:rsidRPr="006E6390" w14:paraId="30F8CE68" w14:textId="77777777" w:rsidTr="00D64BC1">
        <w:tc>
          <w:tcPr>
            <w:tcW w:w="3428" w:type="dxa"/>
          </w:tcPr>
          <w:p w14:paraId="4E5C3DE8" w14:textId="77777777" w:rsidR="002F1045" w:rsidRPr="006E6390" w:rsidRDefault="002F1045" w:rsidP="0015318E">
            <w:pPr>
              <w:spacing w:after="120"/>
              <w:rPr>
                <w:rFonts w:cs="Arial"/>
              </w:rPr>
            </w:pPr>
            <w:r w:rsidRPr="006E6390">
              <w:rPr>
                <w:rFonts w:cs="Arial"/>
              </w:rPr>
              <w:t>Fecha de nombramiento</w:t>
            </w:r>
          </w:p>
        </w:tc>
        <w:tc>
          <w:tcPr>
            <w:tcW w:w="5499" w:type="dxa"/>
            <w:vAlign w:val="center"/>
          </w:tcPr>
          <w:p w14:paraId="43BFD26F" w14:textId="77777777" w:rsidR="002F1045" w:rsidRPr="006E6390" w:rsidRDefault="00CB55A4" w:rsidP="0015318E">
            <w:pPr>
              <w:spacing w:after="120"/>
              <w:rPr>
                <w:rFonts w:cs="Arial"/>
              </w:rPr>
            </w:pPr>
            <w:r w:rsidRPr="006E6390">
              <w:rPr>
                <w:rFonts w:cs="Arial"/>
              </w:rPr>
              <w:t xml:space="preserve">12 </w:t>
            </w:r>
            <w:r w:rsidR="002F1045" w:rsidRPr="006E6390">
              <w:rPr>
                <w:rFonts w:cs="Arial"/>
              </w:rPr>
              <w:t xml:space="preserve">de </w:t>
            </w:r>
            <w:r w:rsidRPr="006E6390">
              <w:rPr>
                <w:rFonts w:cs="Arial"/>
              </w:rPr>
              <w:t xml:space="preserve">noviembre </w:t>
            </w:r>
            <w:r w:rsidR="002F1045" w:rsidRPr="006E6390">
              <w:rPr>
                <w:rFonts w:cs="Arial"/>
              </w:rPr>
              <w:t>de 2020</w:t>
            </w:r>
          </w:p>
        </w:tc>
      </w:tr>
      <w:tr w:rsidR="002F1045" w:rsidRPr="006E6390" w14:paraId="5D4260B9" w14:textId="77777777" w:rsidTr="00D64BC1">
        <w:tc>
          <w:tcPr>
            <w:tcW w:w="3428" w:type="dxa"/>
          </w:tcPr>
          <w:p w14:paraId="54133CB4" w14:textId="77777777" w:rsidR="002F1045" w:rsidRPr="006E6390" w:rsidRDefault="002F1045" w:rsidP="0015318E">
            <w:pPr>
              <w:spacing w:after="120"/>
              <w:rPr>
                <w:rFonts w:cs="Arial"/>
              </w:rPr>
            </w:pPr>
            <w:r w:rsidRPr="006E6390">
              <w:rPr>
                <w:rFonts w:cs="Arial"/>
              </w:rPr>
              <w:t>Fecha de vencimiento del nombramiento</w:t>
            </w:r>
          </w:p>
        </w:tc>
        <w:tc>
          <w:tcPr>
            <w:tcW w:w="5499" w:type="dxa"/>
            <w:vAlign w:val="center"/>
          </w:tcPr>
          <w:p w14:paraId="010CA5D4" w14:textId="77777777" w:rsidR="002F1045" w:rsidRPr="006E6390" w:rsidRDefault="002F1045" w:rsidP="0015318E">
            <w:pPr>
              <w:spacing w:after="120"/>
              <w:rPr>
                <w:rFonts w:cs="Arial"/>
              </w:rPr>
            </w:pPr>
            <w:r w:rsidRPr="006E6390">
              <w:rPr>
                <w:rFonts w:cs="Arial"/>
              </w:rPr>
              <w:t>Indefinido</w:t>
            </w:r>
          </w:p>
        </w:tc>
      </w:tr>
      <w:tr w:rsidR="002F1045" w:rsidRPr="006E6390" w14:paraId="6594DF8C" w14:textId="77777777" w:rsidTr="00D64BC1">
        <w:tc>
          <w:tcPr>
            <w:tcW w:w="3428" w:type="dxa"/>
          </w:tcPr>
          <w:p w14:paraId="56858794" w14:textId="77777777" w:rsidR="002F1045" w:rsidRPr="006E6390" w:rsidRDefault="002F1045" w:rsidP="0015318E">
            <w:pPr>
              <w:spacing w:after="120"/>
              <w:rPr>
                <w:rFonts w:cs="Arial"/>
                <w:u w:val="single"/>
              </w:rPr>
            </w:pPr>
            <w:r w:rsidRPr="006E6390">
              <w:rPr>
                <w:rFonts w:cs="Arial"/>
              </w:rPr>
              <w:t>Relación de parentesco con otro miembro del Consejo Directivo, Gerencia y personal de nivel ejecutivo</w:t>
            </w:r>
          </w:p>
        </w:tc>
        <w:tc>
          <w:tcPr>
            <w:tcW w:w="5499" w:type="dxa"/>
            <w:vAlign w:val="center"/>
          </w:tcPr>
          <w:p w14:paraId="5BAF0D0F" w14:textId="77777777" w:rsidR="002F1045" w:rsidRPr="006E6390" w:rsidRDefault="002F1045" w:rsidP="0015318E">
            <w:pPr>
              <w:spacing w:after="120"/>
              <w:rPr>
                <w:rFonts w:cs="Arial"/>
              </w:rPr>
            </w:pPr>
            <w:r w:rsidRPr="006E6390">
              <w:rPr>
                <w:rFonts w:cs="Arial"/>
              </w:rPr>
              <w:t>Ninguno</w:t>
            </w:r>
          </w:p>
        </w:tc>
      </w:tr>
      <w:tr w:rsidR="002F1045" w:rsidRPr="006E6390" w14:paraId="4C0C16EC" w14:textId="77777777" w:rsidTr="00D64BC1">
        <w:tc>
          <w:tcPr>
            <w:tcW w:w="3428" w:type="dxa"/>
          </w:tcPr>
          <w:p w14:paraId="1B50FBAB" w14:textId="77777777" w:rsidR="002F1045" w:rsidRPr="006E6390" w:rsidRDefault="00534220" w:rsidP="0015318E">
            <w:pPr>
              <w:spacing w:after="120"/>
              <w:rPr>
                <w:rFonts w:cs="Arial"/>
              </w:rPr>
            </w:pPr>
            <w:r w:rsidRPr="006E6390">
              <w:rPr>
                <w:rFonts w:cs="Arial"/>
              </w:rPr>
              <w:t>Currículo</w:t>
            </w:r>
          </w:p>
        </w:tc>
        <w:tc>
          <w:tcPr>
            <w:tcW w:w="5499" w:type="dxa"/>
            <w:vAlign w:val="center"/>
          </w:tcPr>
          <w:p w14:paraId="0CD381A0" w14:textId="77777777" w:rsidR="002F1045" w:rsidRPr="006E6390" w:rsidRDefault="00CB55A4" w:rsidP="0015318E">
            <w:pPr>
              <w:spacing w:after="120"/>
              <w:rPr>
                <w:rFonts w:cs="Arial"/>
                <w:shd w:val="clear" w:color="auto" w:fill="FFFFFF"/>
              </w:rPr>
            </w:pPr>
            <w:r w:rsidRPr="006E6390">
              <w:rPr>
                <w:rFonts w:cs="Arial"/>
                <w:shd w:val="clear" w:color="auto" w:fill="FFFFFF"/>
              </w:rPr>
              <w:t>Maestría en Administración de Negocios</w:t>
            </w:r>
            <w:r w:rsidR="002F1045" w:rsidRPr="006E6390">
              <w:rPr>
                <w:rFonts w:cs="Arial"/>
                <w:shd w:val="clear" w:color="auto" w:fill="FFFFFF"/>
              </w:rPr>
              <w:t xml:space="preserve"> </w:t>
            </w:r>
            <w:r w:rsidRPr="006E6390">
              <w:rPr>
                <w:rFonts w:cs="Arial"/>
                <w:shd w:val="clear" w:color="auto" w:fill="FFFFFF"/>
              </w:rPr>
              <w:t>(</w:t>
            </w:r>
            <w:r w:rsidR="002F1045" w:rsidRPr="006E6390">
              <w:rPr>
                <w:rFonts w:cs="Arial"/>
                <w:shd w:val="clear" w:color="auto" w:fill="FFFFFF"/>
              </w:rPr>
              <w:t>Universidad de Costa Rica</w:t>
            </w:r>
            <w:r w:rsidRPr="006E6390">
              <w:rPr>
                <w:rFonts w:cs="Arial"/>
                <w:shd w:val="clear" w:color="auto" w:fill="FFFFFF"/>
              </w:rPr>
              <w:t>).</w:t>
            </w:r>
          </w:p>
          <w:p w14:paraId="29209AF0" w14:textId="77777777" w:rsidR="00CB55A4" w:rsidRPr="006E6390" w:rsidRDefault="00CB55A4" w:rsidP="0015318E">
            <w:pPr>
              <w:spacing w:after="120"/>
              <w:rPr>
                <w:rFonts w:cs="Arial"/>
                <w:shd w:val="clear" w:color="auto" w:fill="FFFFFF"/>
              </w:rPr>
            </w:pPr>
            <w:r w:rsidRPr="006E6390">
              <w:rPr>
                <w:rFonts w:cs="Arial"/>
                <w:shd w:val="clear" w:color="auto" w:fill="FFFFFF"/>
              </w:rPr>
              <w:t>Licenciada en Ingeniería Química (Universidad de Costa Rica).</w:t>
            </w:r>
          </w:p>
          <w:p w14:paraId="62E4AB6C" w14:textId="77777777" w:rsidR="00CB55A4" w:rsidRPr="006E6390" w:rsidRDefault="00CB55A4" w:rsidP="00A3272A">
            <w:pPr>
              <w:spacing w:after="120"/>
              <w:rPr>
                <w:rFonts w:cs="Arial"/>
                <w:shd w:val="clear" w:color="auto" w:fill="FFFFFF"/>
              </w:rPr>
            </w:pPr>
            <w:r w:rsidRPr="006E6390">
              <w:rPr>
                <w:rFonts w:cs="Arial"/>
                <w:shd w:val="clear" w:color="auto" w:fill="FFFFFF"/>
              </w:rPr>
              <w:t>Jefe de los departamentos de Transacciones Internacionales y Negociaciones Comerciales, en la Dirección de Comercio Internacional de RECOPE.</w:t>
            </w:r>
          </w:p>
          <w:p w14:paraId="79913DF3" w14:textId="77777777" w:rsidR="00CB55A4" w:rsidRPr="006E6390" w:rsidRDefault="00CB55A4" w:rsidP="00A3272A">
            <w:pPr>
              <w:spacing w:after="120"/>
              <w:rPr>
                <w:rFonts w:cs="Arial"/>
                <w:shd w:val="clear" w:color="auto" w:fill="FFFFFF"/>
              </w:rPr>
            </w:pPr>
            <w:r w:rsidRPr="006E6390">
              <w:rPr>
                <w:rFonts w:cs="Arial"/>
                <w:shd w:val="clear" w:color="auto" w:fill="FFFFFF"/>
              </w:rPr>
              <w:t xml:space="preserve">Bunker Trader (comercialización de combustibles marinos en Centroamérica, el Caribe y algunos países </w:t>
            </w:r>
            <w:r w:rsidRPr="006E6390">
              <w:rPr>
                <w:rFonts w:cs="Arial"/>
                <w:shd w:val="clear" w:color="auto" w:fill="FFFFFF"/>
              </w:rPr>
              <w:lastRenderedPageBreak/>
              <w:t>de Sur América desde la oficina en Costa Rica - WORLD FUEL SERVICES).</w:t>
            </w:r>
          </w:p>
          <w:p w14:paraId="54028CCF" w14:textId="77777777" w:rsidR="00CB55A4" w:rsidRPr="006E6390" w:rsidRDefault="00CB55A4" w:rsidP="00094023">
            <w:pPr>
              <w:spacing w:after="0"/>
              <w:rPr>
                <w:rFonts w:cs="Arial"/>
                <w:shd w:val="clear" w:color="auto" w:fill="FFFFFF"/>
              </w:rPr>
            </w:pPr>
            <w:r w:rsidRPr="006E6390">
              <w:rPr>
                <w:rFonts w:cs="Arial"/>
                <w:shd w:val="clear" w:color="auto" w:fill="FFFFFF"/>
              </w:rPr>
              <w:t>Profesora Escuela de Ingeniería Química, Universidad de Costa Rica.</w:t>
            </w:r>
          </w:p>
          <w:p w14:paraId="00E0D305" w14:textId="77777777" w:rsidR="002F1045" w:rsidRPr="006E6390" w:rsidRDefault="002F1045" w:rsidP="0015318E">
            <w:pPr>
              <w:spacing w:after="120"/>
              <w:rPr>
                <w:rFonts w:cs="Arial"/>
              </w:rPr>
            </w:pPr>
          </w:p>
        </w:tc>
      </w:tr>
      <w:tr w:rsidR="002F1045" w:rsidRPr="006E6390" w14:paraId="507B8CAC" w14:textId="77777777" w:rsidTr="00D64BC1">
        <w:tc>
          <w:tcPr>
            <w:tcW w:w="3428" w:type="dxa"/>
          </w:tcPr>
          <w:p w14:paraId="06D826BE" w14:textId="77777777" w:rsidR="002F1045" w:rsidRPr="006E6390" w:rsidRDefault="002F1045" w:rsidP="0015318E">
            <w:pPr>
              <w:spacing w:after="120"/>
              <w:rPr>
                <w:rFonts w:cs="Arial"/>
              </w:rPr>
            </w:pPr>
            <w:r w:rsidRPr="006E6390">
              <w:rPr>
                <w:rFonts w:cs="Arial"/>
              </w:rPr>
              <w:lastRenderedPageBreak/>
              <w:t>Miembro de otras Juntas Directivas</w:t>
            </w:r>
          </w:p>
        </w:tc>
        <w:tc>
          <w:tcPr>
            <w:tcW w:w="5499" w:type="dxa"/>
          </w:tcPr>
          <w:p w14:paraId="2D52FF25" w14:textId="77777777" w:rsidR="00782BCA" w:rsidRPr="00782BCA" w:rsidRDefault="00782BCA" w:rsidP="0015318E">
            <w:pPr>
              <w:spacing w:after="120"/>
              <w:rPr>
                <w:rFonts w:cs="Arial"/>
                <w:i/>
                <w:iCs/>
                <w:color w:val="222222"/>
                <w:shd w:val="clear" w:color="auto" w:fill="FFFFFF"/>
              </w:rPr>
            </w:pPr>
            <w:r w:rsidRPr="00782BCA">
              <w:rPr>
                <w:rFonts w:cs="Arial"/>
                <w:i/>
                <w:iCs/>
                <w:color w:val="222222"/>
                <w:shd w:val="clear" w:color="auto" w:fill="FFFFFF"/>
              </w:rPr>
              <w:t>VILLACAM DE ESCAZÚ S.A. /</w:t>
            </w:r>
          </w:p>
          <w:p w14:paraId="64130A27" w14:textId="77777777" w:rsidR="00782BCA" w:rsidRPr="00404FB2" w:rsidRDefault="00782BCA" w:rsidP="0015318E">
            <w:pPr>
              <w:spacing w:after="120"/>
              <w:rPr>
                <w:rFonts w:cs="Arial"/>
                <w:i/>
                <w:iCs/>
                <w:color w:val="222222"/>
                <w:shd w:val="clear" w:color="auto" w:fill="FFFFFF"/>
              </w:rPr>
            </w:pPr>
            <w:r w:rsidRPr="00D27B63">
              <w:rPr>
                <w:rFonts w:cs="Arial"/>
                <w:i/>
                <w:iCs/>
                <w:color w:val="222222"/>
                <w:shd w:val="clear" w:color="auto" w:fill="FFFFFF"/>
              </w:rPr>
              <w:t>J</w:t>
            </w:r>
            <w:r w:rsidRPr="00495327">
              <w:rPr>
                <w:rFonts w:cs="Arial"/>
                <w:i/>
                <w:iCs/>
                <w:color w:val="222222"/>
                <w:shd w:val="clear" w:color="auto" w:fill="FFFFFF"/>
              </w:rPr>
              <w:t>AI INVERSIONES S.A.</w:t>
            </w:r>
          </w:p>
          <w:p w14:paraId="49796098" w14:textId="77777777" w:rsidR="002F1045" w:rsidRPr="006E6390" w:rsidRDefault="00782BCA" w:rsidP="0015318E">
            <w:pPr>
              <w:spacing w:after="120"/>
              <w:rPr>
                <w:rFonts w:cs="Arial"/>
              </w:rPr>
            </w:pPr>
            <w:r w:rsidRPr="00774317">
              <w:rPr>
                <w:rFonts w:cs="Arial"/>
                <w:i/>
                <w:iCs/>
                <w:color w:val="222222"/>
                <w:shd w:val="clear" w:color="auto" w:fill="FFFFFF"/>
              </w:rPr>
              <w:t>VILLA ESCAZU COLONIAL GLADIOLA DIECINUEVE SOCIEDAD ANONIMA.</w:t>
            </w:r>
            <w:r w:rsidRPr="004737F6">
              <w:rPr>
                <w:rFonts w:cs="Arial"/>
                <w:i/>
                <w:iCs/>
                <w:color w:val="222222"/>
                <w:shd w:val="clear" w:color="auto" w:fill="FFFFFF"/>
              </w:rPr>
              <w:t xml:space="preserve"> (todas de carácter familiar)</w:t>
            </w:r>
          </w:p>
        </w:tc>
      </w:tr>
    </w:tbl>
    <w:p w14:paraId="6653CEA8" w14:textId="77777777" w:rsidR="002F1045" w:rsidRPr="006E6390" w:rsidRDefault="002F1045" w:rsidP="002F1045">
      <w:pPr>
        <w:rPr>
          <w:rFonts w:cs="Arial"/>
          <w:lang w:eastAsia="es-MX"/>
        </w:rPr>
      </w:pPr>
    </w:p>
    <w:p w14:paraId="382BE33D" w14:textId="77777777" w:rsidR="002F1045" w:rsidRPr="006E6390" w:rsidRDefault="002F1045" w:rsidP="002F1045">
      <w:pPr>
        <w:rPr>
          <w:rFonts w:cs="Arial"/>
          <w:b/>
          <w:lang w:eastAsia="es-MX"/>
        </w:rPr>
      </w:pPr>
      <w:r w:rsidRPr="006E6390">
        <w:rPr>
          <w:rFonts w:cs="Arial"/>
          <w:b/>
          <w:lang w:eastAsia="es-MX"/>
        </w:rPr>
        <w:t>Personal</w:t>
      </w:r>
    </w:p>
    <w:p w14:paraId="06B97DB2" w14:textId="7C64D572" w:rsidR="00D96093" w:rsidRDefault="002F1045" w:rsidP="00094023">
      <w:pPr>
        <w:spacing w:after="0"/>
        <w:rPr>
          <w:rFonts w:cs="Arial"/>
        </w:rPr>
      </w:pPr>
      <w:r w:rsidRPr="006E6390">
        <w:rPr>
          <w:rFonts w:cs="Arial"/>
        </w:rPr>
        <w:t xml:space="preserve">A </w:t>
      </w:r>
      <w:r w:rsidR="00A3272A" w:rsidRPr="006E6390">
        <w:rPr>
          <w:rFonts w:cs="Arial"/>
        </w:rPr>
        <w:t>continuación,</w:t>
      </w:r>
      <w:r w:rsidRPr="006E6390">
        <w:rPr>
          <w:rFonts w:cs="Arial"/>
        </w:rPr>
        <w:t xml:space="preserve"> se muestra un comparativo de la cantidad de empleados de RECOPE, las cuales se distribuyen de la siguiente manera:</w:t>
      </w:r>
    </w:p>
    <w:p w14:paraId="435D641C" w14:textId="77777777" w:rsidR="008C6A2B" w:rsidRPr="006E6390" w:rsidRDefault="008C6A2B" w:rsidP="002F1045">
      <w:pPr>
        <w:rPr>
          <w:rFonts w:cs="Arial"/>
        </w:rPr>
      </w:pPr>
    </w:p>
    <w:p w14:paraId="1517C3AC" w14:textId="161941E1" w:rsidR="002F1045" w:rsidRPr="006E6390" w:rsidRDefault="002F1045" w:rsidP="002F1045">
      <w:pPr>
        <w:pStyle w:val="Ttuloscuadros"/>
        <w:tabs>
          <w:tab w:val="left" w:pos="9270"/>
        </w:tabs>
        <w:rPr>
          <w:rFonts w:cs="Arial"/>
        </w:rPr>
      </w:pPr>
      <w:r w:rsidRPr="006E6390">
        <w:rPr>
          <w:rFonts w:cs="Arial"/>
        </w:rPr>
        <w:t>Cuadro N°</w:t>
      </w:r>
      <w:r w:rsidR="0044062B">
        <w:rPr>
          <w:rFonts w:cs="Arial"/>
        </w:rPr>
        <w:t>30</w:t>
      </w:r>
    </w:p>
    <w:p w14:paraId="4BBA6531" w14:textId="77777777" w:rsidR="002F1045" w:rsidRPr="006E6390" w:rsidRDefault="002F1045" w:rsidP="002F1045">
      <w:pPr>
        <w:pStyle w:val="Ttuloscuadros"/>
        <w:tabs>
          <w:tab w:val="left" w:pos="9270"/>
        </w:tabs>
        <w:rPr>
          <w:rFonts w:cs="Arial"/>
        </w:rPr>
      </w:pPr>
      <w:r w:rsidRPr="006E6390">
        <w:rPr>
          <w:rFonts w:cs="Arial"/>
        </w:rPr>
        <w:t xml:space="preserve">RECOPE: Número de plazas remuneradas al cierre de cada año, </w:t>
      </w:r>
    </w:p>
    <w:p w14:paraId="48C8DC1F" w14:textId="5CFFA6A8" w:rsidR="002F1045" w:rsidRPr="006E6390" w:rsidRDefault="008C6A2B" w:rsidP="002F1045">
      <w:pPr>
        <w:pStyle w:val="Ttuloscuadros"/>
        <w:tabs>
          <w:tab w:val="left" w:pos="9270"/>
        </w:tabs>
        <w:spacing w:after="120"/>
        <w:rPr>
          <w:rFonts w:cs="Arial"/>
        </w:rPr>
      </w:pPr>
      <w:r w:rsidRPr="006E6390">
        <w:rPr>
          <w:rFonts w:cs="Arial"/>
        </w:rPr>
        <w:t>201</w:t>
      </w:r>
      <w:r>
        <w:rPr>
          <w:rFonts w:cs="Arial"/>
        </w:rPr>
        <w:t>6</w:t>
      </w:r>
      <w:r w:rsidR="002F1045" w:rsidRPr="008C47B4">
        <w:rPr>
          <w:rFonts w:cs="Arial"/>
        </w:rPr>
        <w:t>-</w:t>
      </w:r>
      <w:r w:rsidRPr="008C47B4">
        <w:rPr>
          <w:rFonts w:cs="Arial"/>
        </w:rPr>
        <w:t>2022</w:t>
      </w:r>
    </w:p>
    <w:tbl>
      <w:tblPr>
        <w:tblStyle w:val="Tablanormal1"/>
        <w:tblW w:w="8926" w:type="dxa"/>
        <w:tblLayout w:type="fixed"/>
        <w:tblLook w:val="04A0" w:firstRow="1" w:lastRow="0" w:firstColumn="1" w:lastColumn="0" w:noHBand="0" w:noVBand="1"/>
      </w:tblPr>
      <w:tblGrid>
        <w:gridCol w:w="2263"/>
        <w:gridCol w:w="951"/>
        <w:gridCol w:w="952"/>
        <w:gridCol w:w="952"/>
        <w:gridCol w:w="952"/>
        <w:gridCol w:w="952"/>
        <w:gridCol w:w="952"/>
        <w:gridCol w:w="952"/>
      </w:tblGrid>
      <w:tr w:rsidR="00F7183A" w:rsidRPr="006E6390" w14:paraId="0B1FE166" w14:textId="77777777" w:rsidTr="00F718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5CB16A80" w14:textId="56A95B17" w:rsidR="00F7183A" w:rsidRPr="00D96093" w:rsidRDefault="00F7183A" w:rsidP="00F06706">
            <w:pPr>
              <w:spacing w:after="0" w:line="240" w:lineRule="auto"/>
              <w:jc w:val="left"/>
              <w:rPr>
                <w:rFonts w:cs="Arial"/>
                <w:sz w:val="20"/>
                <w:szCs w:val="20"/>
                <w:lang w:val="es-ES" w:eastAsia="es-ES"/>
              </w:rPr>
            </w:pPr>
            <w:r>
              <w:rPr>
                <w:rFonts w:cs="Arial"/>
                <w:sz w:val="20"/>
                <w:szCs w:val="20"/>
                <w:lang w:eastAsia="es-ES"/>
              </w:rPr>
              <w:t>Tipo de plaza</w:t>
            </w:r>
          </w:p>
        </w:tc>
        <w:tc>
          <w:tcPr>
            <w:tcW w:w="951" w:type="dxa"/>
          </w:tcPr>
          <w:p w14:paraId="5A19CCC0" w14:textId="398B3B79"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D96093">
              <w:rPr>
                <w:rFonts w:cs="Arial"/>
                <w:sz w:val="20"/>
                <w:szCs w:val="20"/>
                <w:lang w:eastAsia="es-ES"/>
              </w:rPr>
              <w:t>2016</w:t>
            </w:r>
          </w:p>
        </w:tc>
        <w:tc>
          <w:tcPr>
            <w:tcW w:w="952" w:type="dxa"/>
          </w:tcPr>
          <w:p w14:paraId="2AD0B73F" w14:textId="2D757211"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D96093">
              <w:rPr>
                <w:rFonts w:cs="Arial"/>
                <w:sz w:val="20"/>
                <w:szCs w:val="20"/>
                <w:lang w:eastAsia="es-ES"/>
              </w:rPr>
              <w:t>2017</w:t>
            </w:r>
          </w:p>
        </w:tc>
        <w:tc>
          <w:tcPr>
            <w:tcW w:w="952" w:type="dxa"/>
          </w:tcPr>
          <w:p w14:paraId="2412A908" w14:textId="0DA5B93D"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D96093">
              <w:rPr>
                <w:rFonts w:cs="Arial"/>
                <w:sz w:val="20"/>
                <w:szCs w:val="20"/>
                <w:lang w:val="es-ES" w:eastAsia="es-ES"/>
              </w:rPr>
              <w:t>2018</w:t>
            </w:r>
          </w:p>
        </w:tc>
        <w:tc>
          <w:tcPr>
            <w:tcW w:w="952" w:type="dxa"/>
          </w:tcPr>
          <w:p w14:paraId="7AEB53C5" w14:textId="29C02271"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D96093">
              <w:rPr>
                <w:rFonts w:cs="Arial"/>
                <w:sz w:val="20"/>
                <w:szCs w:val="20"/>
                <w:lang w:val="es-ES" w:eastAsia="es-ES"/>
              </w:rPr>
              <w:t>2019</w:t>
            </w:r>
          </w:p>
        </w:tc>
        <w:tc>
          <w:tcPr>
            <w:tcW w:w="952" w:type="dxa"/>
          </w:tcPr>
          <w:p w14:paraId="30F9B1CA" w14:textId="4AF61541"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D96093">
              <w:rPr>
                <w:rFonts w:cs="Arial"/>
                <w:sz w:val="20"/>
                <w:szCs w:val="20"/>
                <w:lang w:val="es-ES" w:eastAsia="es-ES"/>
              </w:rPr>
              <w:t>2020</w:t>
            </w:r>
          </w:p>
        </w:tc>
        <w:tc>
          <w:tcPr>
            <w:tcW w:w="952" w:type="dxa"/>
            <w:hideMark/>
          </w:tcPr>
          <w:p w14:paraId="1D4F9727" w14:textId="3A1855F3"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D96093">
              <w:rPr>
                <w:rFonts w:cs="Arial"/>
                <w:sz w:val="20"/>
                <w:szCs w:val="20"/>
                <w:lang w:eastAsia="es-ES"/>
              </w:rPr>
              <w:t>20</w:t>
            </w:r>
            <w:r>
              <w:rPr>
                <w:rFonts w:cs="Arial"/>
                <w:sz w:val="20"/>
                <w:szCs w:val="20"/>
                <w:lang w:eastAsia="es-ES"/>
              </w:rPr>
              <w:t>21</w:t>
            </w:r>
          </w:p>
        </w:tc>
        <w:tc>
          <w:tcPr>
            <w:tcW w:w="952" w:type="dxa"/>
            <w:hideMark/>
          </w:tcPr>
          <w:p w14:paraId="1166872A" w14:textId="52A627E3" w:rsidR="00F7183A" w:rsidRPr="00D96093" w:rsidRDefault="00F7183A" w:rsidP="00F718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D96093">
              <w:rPr>
                <w:rFonts w:cs="Arial"/>
                <w:sz w:val="20"/>
                <w:szCs w:val="20"/>
                <w:lang w:eastAsia="es-ES"/>
              </w:rPr>
              <w:t>20</w:t>
            </w:r>
            <w:r>
              <w:rPr>
                <w:rFonts w:cs="Arial"/>
                <w:sz w:val="20"/>
                <w:szCs w:val="20"/>
                <w:lang w:eastAsia="es-ES"/>
              </w:rPr>
              <w:t>22</w:t>
            </w:r>
          </w:p>
        </w:tc>
      </w:tr>
      <w:tr w:rsidR="003D1663" w:rsidRPr="006E6390" w14:paraId="2B60E7EF" w14:textId="77777777" w:rsidTr="00F718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116AC91" w14:textId="4B551CC9"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Administrativo</w:t>
            </w:r>
          </w:p>
        </w:tc>
        <w:tc>
          <w:tcPr>
            <w:tcW w:w="0" w:type="dxa"/>
            <w:vAlign w:val="center"/>
          </w:tcPr>
          <w:p w14:paraId="3AD91AF7" w14:textId="369E3346"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229</w:t>
            </w:r>
          </w:p>
        </w:tc>
        <w:tc>
          <w:tcPr>
            <w:tcW w:w="0" w:type="dxa"/>
            <w:vAlign w:val="center"/>
          </w:tcPr>
          <w:p w14:paraId="35EC54F7" w14:textId="21CF2BF8"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229</w:t>
            </w:r>
          </w:p>
        </w:tc>
        <w:tc>
          <w:tcPr>
            <w:tcW w:w="0" w:type="dxa"/>
            <w:vAlign w:val="center"/>
          </w:tcPr>
          <w:p w14:paraId="46845C66" w14:textId="77FCAD1F"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229</w:t>
            </w:r>
          </w:p>
        </w:tc>
        <w:tc>
          <w:tcPr>
            <w:tcW w:w="0" w:type="dxa"/>
            <w:vAlign w:val="center"/>
          </w:tcPr>
          <w:p w14:paraId="5ED998A2" w14:textId="5F90561A"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229</w:t>
            </w:r>
          </w:p>
        </w:tc>
        <w:tc>
          <w:tcPr>
            <w:tcW w:w="0" w:type="dxa"/>
            <w:vAlign w:val="center"/>
          </w:tcPr>
          <w:p w14:paraId="5CC1680D" w14:textId="303E7556"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129</w:t>
            </w:r>
          </w:p>
        </w:tc>
        <w:tc>
          <w:tcPr>
            <w:tcW w:w="0" w:type="dxa"/>
            <w:vAlign w:val="center"/>
          </w:tcPr>
          <w:p w14:paraId="3DE71E74" w14:textId="1B3E2563"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129</w:t>
            </w:r>
          </w:p>
        </w:tc>
        <w:tc>
          <w:tcPr>
            <w:tcW w:w="0" w:type="dxa"/>
            <w:vAlign w:val="center"/>
          </w:tcPr>
          <w:p w14:paraId="66881191" w14:textId="3A2CFCB0"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122</w:t>
            </w:r>
          </w:p>
        </w:tc>
      </w:tr>
      <w:tr w:rsidR="00F7183A" w:rsidRPr="006E6390" w14:paraId="23D5C080" w14:textId="77777777" w:rsidTr="000E341C">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3FAE7DD6" w14:textId="6AE6CED7"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Ejecutivo</w:t>
            </w:r>
          </w:p>
        </w:tc>
        <w:tc>
          <w:tcPr>
            <w:tcW w:w="0" w:type="dxa"/>
            <w:vAlign w:val="center"/>
          </w:tcPr>
          <w:p w14:paraId="578FA86E" w14:textId="596F38C6"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66</w:t>
            </w:r>
          </w:p>
        </w:tc>
        <w:tc>
          <w:tcPr>
            <w:tcW w:w="0" w:type="dxa"/>
            <w:vAlign w:val="center"/>
          </w:tcPr>
          <w:p w14:paraId="3D3D78A1" w14:textId="6886A365"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66</w:t>
            </w:r>
          </w:p>
        </w:tc>
        <w:tc>
          <w:tcPr>
            <w:tcW w:w="0" w:type="dxa"/>
            <w:vAlign w:val="center"/>
          </w:tcPr>
          <w:p w14:paraId="7A497BD8" w14:textId="36B155AA"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66</w:t>
            </w:r>
          </w:p>
        </w:tc>
        <w:tc>
          <w:tcPr>
            <w:tcW w:w="0" w:type="dxa"/>
            <w:vAlign w:val="center"/>
          </w:tcPr>
          <w:p w14:paraId="702118FC" w14:textId="714D3884"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66</w:t>
            </w:r>
          </w:p>
        </w:tc>
        <w:tc>
          <w:tcPr>
            <w:tcW w:w="0" w:type="dxa"/>
            <w:vAlign w:val="center"/>
          </w:tcPr>
          <w:p w14:paraId="40C85DC7" w14:textId="140ECB6C"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56</w:t>
            </w:r>
          </w:p>
        </w:tc>
        <w:tc>
          <w:tcPr>
            <w:tcW w:w="0" w:type="dxa"/>
            <w:vAlign w:val="center"/>
          </w:tcPr>
          <w:p w14:paraId="241E558F" w14:textId="339A0551"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56</w:t>
            </w:r>
          </w:p>
        </w:tc>
        <w:tc>
          <w:tcPr>
            <w:tcW w:w="0" w:type="dxa"/>
            <w:vAlign w:val="center"/>
          </w:tcPr>
          <w:p w14:paraId="3AC5081F" w14:textId="36CACDF7"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52</w:t>
            </w:r>
          </w:p>
        </w:tc>
      </w:tr>
      <w:tr w:rsidR="003D1663" w:rsidRPr="006E6390" w14:paraId="54E3EC7B" w14:textId="77777777" w:rsidTr="00F718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A46C364" w14:textId="1D4C58E5"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Profesional</w:t>
            </w:r>
          </w:p>
        </w:tc>
        <w:tc>
          <w:tcPr>
            <w:tcW w:w="0" w:type="dxa"/>
            <w:vAlign w:val="center"/>
          </w:tcPr>
          <w:p w14:paraId="7CD7E23A" w14:textId="1DB4C594"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408</w:t>
            </w:r>
          </w:p>
        </w:tc>
        <w:tc>
          <w:tcPr>
            <w:tcW w:w="0" w:type="dxa"/>
            <w:vAlign w:val="center"/>
          </w:tcPr>
          <w:p w14:paraId="010EBF23" w14:textId="677C06B6"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408</w:t>
            </w:r>
          </w:p>
        </w:tc>
        <w:tc>
          <w:tcPr>
            <w:tcW w:w="0" w:type="dxa"/>
            <w:vAlign w:val="center"/>
          </w:tcPr>
          <w:p w14:paraId="2DC76321" w14:textId="3A94A600"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408</w:t>
            </w:r>
          </w:p>
        </w:tc>
        <w:tc>
          <w:tcPr>
            <w:tcW w:w="0" w:type="dxa"/>
            <w:vAlign w:val="center"/>
          </w:tcPr>
          <w:p w14:paraId="5532B26B" w14:textId="6E5234C6"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408</w:t>
            </w:r>
          </w:p>
        </w:tc>
        <w:tc>
          <w:tcPr>
            <w:tcW w:w="0" w:type="dxa"/>
            <w:vAlign w:val="center"/>
          </w:tcPr>
          <w:p w14:paraId="14F39884" w14:textId="69FDBA9D"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431</w:t>
            </w:r>
          </w:p>
        </w:tc>
        <w:tc>
          <w:tcPr>
            <w:tcW w:w="0" w:type="dxa"/>
            <w:vAlign w:val="center"/>
          </w:tcPr>
          <w:p w14:paraId="67C2CBD0" w14:textId="14FB0CB4"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431</w:t>
            </w:r>
          </w:p>
        </w:tc>
        <w:tc>
          <w:tcPr>
            <w:tcW w:w="0" w:type="dxa"/>
            <w:vAlign w:val="center"/>
          </w:tcPr>
          <w:p w14:paraId="3711C766" w14:textId="7E23221D"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435</w:t>
            </w:r>
          </w:p>
        </w:tc>
      </w:tr>
      <w:tr w:rsidR="00F7183A" w:rsidRPr="006E6390" w14:paraId="332B5EBE" w14:textId="77777777" w:rsidTr="000E341C">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6F417C7" w14:textId="24E0B2BD"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Servicios</w:t>
            </w:r>
          </w:p>
        </w:tc>
        <w:tc>
          <w:tcPr>
            <w:tcW w:w="0" w:type="dxa"/>
            <w:vAlign w:val="center"/>
          </w:tcPr>
          <w:p w14:paraId="7A0DFB7C" w14:textId="74B12839"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315</w:t>
            </w:r>
          </w:p>
        </w:tc>
        <w:tc>
          <w:tcPr>
            <w:tcW w:w="0" w:type="dxa"/>
            <w:vAlign w:val="center"/>
          </w:tcPr>
          <w:p w14:paraId="0575B80A" w14:textId="62FA6A9A"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332</w:t>
            </w:r>
          </w:p>
        </w:tc>
        <w:tc>
          <w:tcPr>
            <w:tcW w:w="0" w:type="dxa"/>
            <w:vAlign w:val="center"/>
          </w:tcPr>
          <w:p w14:paraId="10221201" w14:textId="7AB25344"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332</w:t>
            </w:r>
          </w:p>
        </w:tc>
        <w:tc>
          <w:tcPr>
            <w:tcW w:w="0" w:type="dxa"/>
            <w:vAlign w:val="center"/>
          </w:tcPr>
          <w:p w14:paraId="061976F3" w14:textId="4A433C47"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332</w:t>
            </w:r>
          </w:p>
        </w:tc>
        <w:tc>
          <w:tcPr>
            <w:tcW w:w="0" w:type="dxa"/>
            <w:vAlign w:val="center"/>
          </w:tcPr>
          <w:p w14:paraId="19F4FFCD" w14:textId="252C3F35"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337</w:t>
            </w:r>
          </w:p>
        </w:tc>
        <w:tc>
          <w:tcPr>
            <w:tcW w:w="0" w:type="dxa"/>
            <w:vAlign w:val="center"/>
          </w:tcPr>
          <w:p w14:paraId="1D41191E" w14:textId="5B35CE68"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337</w:t>
            </w:r>
          </w:p>
        </w:tc>
        <w:tc>
          <w:tcPr>
            <w:tcW w:w="0" w:type="dxa"/>
            <w:vAlign w:val="center"/>
          </w:tcPr>
          <w:p w14:paraId="656D55FC" w14:textId="3A3C4C24"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337</w:t>
            </w:r>
          </w:p>
        </w:tc>
      </w:tr>
      <w:tr w:rsidR="003D1663" w:rsidRPr="006E6390" w14:paraId="4A2414B5" w14:textId="77777777" w:rsidTr="00F718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1DE604A" w14:textId="3641CB2F"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Superior</w:t>
            </w:r>
          </w:p>
        </w:tc>
        <w:tc>
          <w:tcPr>
            <w:tcW w:w="0" w:type="dxa"/>
            <w:vAlign w:val="center"/>
          </w:tcPr>
          <w:p w14:paraId="71E50A81" w14:textId="1899B233"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8</w:t>
            </w:r>
          </w:p>
        </w:tc>
        <w:tc>
          <w:tcPr>
            <w:tcW w:w="0" w:type="dxa"/>
            <w:vAlign w:val="center"/>
          </w:tcPr>
          <w:p w14:paraId="7AD0D951" w14:textId="10C24D92"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8</w:t>
            </w:r>
          </w:p>
        </w:tc>
        <w:tc>
          <w:tcPr>
            <w:tcW w:w="0" w:type="dxa"/>
            <w:vAlign w:val="center"/>
          </w:tcPr>
          <w:p w14:paraId="392DEC57" w14:textId="254F66CD"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8</w:t>
            </w:r>
          </w:p>
        </w:tc>
        <w:tc>
          <w:tcPr>
            <w:tcW w:w="0" w:type="dxa"/>
            <w:vAlign w:val="center"/>
          </w:tcPr>
          <w:p w14:paraId="31D09F72" w14:textId="73C83F8B"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8</w:t>
            </w:r>
          </w:p>
        </w:tc>
        <w:tc>
          <w:tcPr>
            <w:tcW w:w="0" w:type="dxa"/>
            <w:vAlign w:val="center"/>
          </w:tcPr>
          <w:p w14:paraId="2B81AA16" w14:textId="3B6122E1"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eastAsia="es-ES"/>
              </w:rPr>
            </w:pPr>
            <w:r w:rsidRPr="005E63DA">
              <w:rPr>
                <w:rFonts w:cs="Arial"/>
                <w:color w:val="000000"/>
                <w:sz w:val="20"/>
                <w:szCs w:val="20"/>
              </w:rPr>
              <w:t>8</w:t>
            </w:r>
          </w:p>
        </w:tc>
        <w:tc>
          <w:tcPr>
            <w:tcW w:w="0" w:type="dxa"/>
            <w:vAlign w:val="center"/>
          </w:tcPr>
          <w:p w14:paraId="6B20B260" w14:textId="151C9634"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8</w:t>
            </w:r>
          </w:p>
        </w:tc>
        <w:tc>
          <w:tcPr>
            <w:tcW w:w="0" w:type="dxa"/>
            <w:vAlign w:val="center"/>
          </w:tcPr>
          <w:p w14:paraId="6067EF41" w14:textId="04BB115A" w:rsidR="00F7183A" w:rsidRPr="006E6390"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lang w:val="es-ES" w:eastAsia="es-ES"/>
              </w:rPr>
            </w:pPr>
            <w:r w:rsidRPr="005E63DA">
              <w:rPr>
                <w:rFonts w:cs="Arial"/>
                <w:color w:val="000000"/>
                <w:sz w:val="20"/>
                <w:szCs w:val="20"/>
              </w:rPr>
              <w:t>8</w:t>
            </w:r>
          </w:p>
        </w:tc>
      </w:tr>
      <w:tr w:rsidR="00F7183A" w:rsidRPr="006E6390" w14:paraId="2E972514" w14:textId="77777777" w:rsidTr="000E341C">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53B34C0" w14:textId="17954F9D" w:rsidR="00F7183A" w:rsidRPr="006E6390" w:rsidRDefault="00F7183A" w:rsidP="00F7183A">
            <w:pPr>
              <w:spacing w:after="0" w:line="240" w:lineRule="auto"/>
              <w:jc w:val="left"/>
              <w:rPr>
                <w:rFonts w:cs="Arial"/>
                <w:b w:val="0"/>
                <w:bCs w:val="0"/>
                <w:sz w:val="20"/>
                <w:szCs w:val="20"/>
                <w:lang w:val="es-ES" w:eastAsia="es-ES"/>
              </w:rPr>
            </w:pPr>
            <w:r>
              <w:rPr>
                <w:rFonts w:cs="Arial"/>
                <w:b w:val="0"/>
                <w:bCs w:val="0"/>
                <w:sz w:val="20"/>
                <w:szCs w:val="20"/>
                <w:lang w:eastAsia="es-ES"/>
              </w:rPr>
              <w:t>Técnico</w:t>
            </w:r>
          </w:p>
        </w:tc>
        <w:tc>
          <w:tcPr>
            <w:tcW w:w="0" w:type="dxa"/>
            <w:vAlign w:val="center"/>
          </w:tcPr>
          <w:p w14:paraId="0EC768D4" w14:textId="52540B55"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716</w:t>
            </w:r>
          </w:p>
        </w:tc>
        <w:tc>
          <w:tcPr>
            <w:tcW w:w="0" w:type="dxa"/>
            <w:vAlign w:val="center"/>
          </w:tcPr>
          <w:p w14:paraId="130D58C5" w14:textId="278E0617"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756</w:t>
            </w:r>
          </w:p>
        </w:tc>
        <w:tc>
          <w:tcPr>
            <w:tcW w:w="0" w:type="dxa"/>
            <w:vAlign w:val="center"/>
          </w:tcPr>
          <w:p w14:paraId="0213498C" w14:textId="3D91E956"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756</w:t>
            </w:r>
          </w:p>
        </w:tc>
        <w:tc>
          <w:tcPr>
            <w:tcW w:w="0" w:type="dxa"/>
            <w:vAlign w:val="center"/>
          </w:tcPr>
          <w:p w14:paraId="38F93A61" w14:textId="2E4E82D1"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756</w:t>
            </w:r>
          </w:p>
        </w:tc>
        <w:tc>
          <w:tcPr>
            <w:tcW w:w="0" w:type="dxa"/>
            <w:vAlign w:val="center"/>
          </w:tcPr>
          <w:p w14:paraId="4C416FC2" w14:textId="57F6A4B8"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sidRPr="005E63DA">
              <w:rPr>
                <w:rFonts w:cs="Arial"/>
                <w:color w:val="000000"/>
                <w:sz w:val="20"/>
                <w:szCs w:val="20"/>
              </w:rPr>
              <w:t>840</w:t>
            </w:r>
          </w:p>
        </w:tc>
        <w:tc>
          <w:tcPr>
            <w:tcW w:w="0" w:type="dxa"/>
            <w:vAlign w:val="center"/>
          </w:tcPr>
          <w:p w14:paraId="2B639127" w14:textId="561BEA10"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840</w:t>
            </w:r>
          </w:p>
        </w:tc>
        <w:tc>
          <w:tcPr>
            <w:tcW w:w="0" w:type="dxa"/>
            <w:vAlign w:val="center"/>
          </w:tcPr>
          <w:p w14:paraId="25C4521F" w14:textId="07EF5237" w:rsidR="00F7183A" w:rsidRPr="006E6390" w:rsidRDefault="00F7183A" w:rsidP="00F7183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sz w:val="20"/>
                <w:szCs w:val="20"/>
                <w:lang w:val="es-ES" w:eastAsia="es-ES"/>
              </w:rPr>
            </w:pPr>
            <w:r w:rsidRPr="005E63DA">
              <w:rPr>
                <w:rFonts w:cs="Arial"/>
                <w:color w:val="000000"/>
                <w:sz w:val="20"/>
                <w:szCs w:val="20"/>
              </w:rPr>
              <w:t>838</w:t>
            </w:r>
          </w:p>
        </w:tc>
      </w:tr>
      <w:tr w:rsidR="003D1663" w:rsidRPr="006E6390" w14:paraId="015E18ED" w14:textId="77777777" w:rsidTr="00F718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7763F29" w14:textId="77777777" w:rsidR="00F7183A" w:rsidRPr="006E6390" w:rsidRDefault="00F7183A" w:rsidP="00F7183A">
            <w:pPr>
              <w:spacing w:after="0" w:line="240" w:lineRule="auto"/>
              <w:jc w:val="left"/>
              <w:rPr>
                <w:rFonts w:cs="Arial"/>
                <w:sz w:val="20"/>
                <w:szCs w:val="20"/>
                <w:lang w:val="es-ES" w:eastAsia="es-ES"/>
              </w:rPr>
            </w:pPr>
            <w:r w:rsidRPr="006E6390">
              <w:rPr>
                <w:rFonts w:cs="Arial"/>
                <w:sz w:val="20"/>
                <w:szCs w:val="20"/>
                <w:lang w:eastAsia="es-ES"/>
              </w:rPr>
              <w:t>TOTAL</w:t>
            </w:r>
          </w:p>
        </w:tc>
        <w:tc>
          <w:tcPr>
            <w:tcW w:w="0" w:type="dxa"/>
            <w:vAlign w:val="center"/>
          </w:tcPr>
          <w:p w14:paraId="348057A3" w14:textId="4FF5731E" w:rsidR="00F7183A" w:rsidRPr="00F7183A"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742</w:t>
            </w:r>
          </w:p>
        </w:tc>
        <w:tc>
          <w:tcPr>
            <w:tcW w:w="0" w:type="dxa"/>
            <w:vAlign w:val="center"/>
          </w:tcPr>
          <w:p w14:paraId="3AAEE307" w14:textId="18AC9A36" w:rsidR="00F7183A" w:rsidRPr="00F7183A"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799</w:t>
            </w:r>
          </w:p>
        </w:tc>
        <w:tc>
          <w:tcPr>
            <w:tcW w:w="0" w:type="dxa"/>
            <w:vAlign w:val="center"/>
          </w:tcPr>
          <w:p w14:paraId="62486313" w14:textId="2337CF2A" w:rsidR="00F7183A" w:rsidRPr="00F7183A"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799</w:t>
            </w:r>
          </w:p>
        </w:tc>
        <w:tc>
          <w:tcPr>
            <w:tcW w:w="0" w:type="dxa"/>
            <w:vAlign w:val="center"/>
          </w:tcPr>
          <w:p w14:paraId="0E0DC073" w14:textId="3C34F4BA" w:rsidR="00F7183A" w:rsidRPr="00F7183A"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799</w:t>
            </w:r>
          </w:p>
        </w:tc>
        <w:tc>
          <w:tcPr>
            <w:tcW w:w="0" w:type="dxa"/>
            <w:vAlign w:val="center"/>
          </w:tcPr>
          <w:p w14:paraId="409CA883" w14:textId="2AB10F17" w:rsidR="00F7183A" w:rsidRPr="00F7183A"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801</w:t>
            </w:r>
          </w:p>
        </w:tc>
        <w:tc>
          <w:tcPr>
            <w:tcW w:w="0" w:type="dxa"/>
            <w:vAlign w:val="center"/>
          </w:tcPr>
          <w:p w14:paraId="0E62125E" w14:textId="0331B8C3" w:rsidR="00F7183A" w:rsidRPr="00F06706"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s-ES"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801</w:t>
            </w:r>
          </w:p>
        </w:tc>
        <w:tc>
          <w:tcPr>
            <w:tcW w:w="0" w:type="dxa"/>
            <w:vAlign w:val="center"/>
          </w:tcPr>
          <w:p w14:paraId="63674709" w14:textId="2589CDD5" w:rsidR="00F7183A" w:rsidRPr="00F06706" w:rsidRDefault="00F7183A" w:rsidP="00F7183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val="es-ES" w:eastAsia="es-ES"/>
              </w:rPr>
            </w:pPr>
            <w:r w:rsidRPr="005E63DA">
              <w:rPr>
                <w:rFonts w:cs="Arial"/>
                <w:b/>
                <w:bCs/>
                <w:color w:val="000000"/>
                <w:sz w:val="20"/>
                <w:szCs w:val="20"/>
              </w:rPr>
              <w:t>1</w:t>
            </w:r>
            <w:r>
              <w:rPr>
                <w:rFonts w:cs="Arial"/>
                <w:b/>
                <w:bCs/>
                <w:color w:val="000000"/>
                <w:sz w:val="20"/>
                <w:szCs w:val="20"/>
              </w:rPr>
              <w:t xml:space="preserve"> </w:t>
            </w:r>
            <w:r w:rsidRPr="005E63DA">
              <w:rPr>
                <w:rFonts w:cs="Arial"/>
                <w:b/>
                <w:bCs/>
                <w:color w:val="000000"/>
                <w:sz w:val="20"/>
                <w:szCs w:val="20"/>
              </w:rPr>
              <w:t>792</w:t>
            </w:r>
          </w:p>
        </w:tc>
      </w:tr>
    </w:tbl>
    <w:p w14:paraId="11EEEE74" w14:textId="77777777" w:rsidR="002F1045" w:rsidRPr="0036414A" w:rsidRDefault="002F1045" w:rsidP="002F1045">
      <w:pPr>
        <w:pStyle w:val="piedepgina0"/>
        <w:tabs>
          <w:tab w:val="left" w:pos="9270"/>
        </w:tabs>
        <w:rPr>
          <w:rFonts w:cs="Arial"/>
          <w:sz w:val="20"/>
          <w:szCs w:val="20"/>
        </w:rPr>
      </w:pPr>
      <w:r w:rsidRPr="0036414A">
        <w:rPr>
          <w:rFonts w:cs="Arial"/>
          <w:sz w:val="20"/>
          <w:szCs w:val="20"/>
        </w:rPr>
        <w:t xml:space="preserve">  Fuente: RECOPE</w:t>
      </w:r>
    </w:p>
    <w:p w14:paraId="163E8E05" w14:textId="7A90C3B7" w:rsidR="002F1045" w:rsidRDefault="002F1045" w:rsidP="00F06706">
      <w:pPr>
        <w:tabs>
          <w:tab w:val="left" w:pos="9270"/>
        </w:tabs>
        <w:spacing w:after="0"/>
        <w:rPr>
          <w:rFonts w:cs="Arial"/>
        </w:rPr>
      </w:pPr>
      <w:r w:rsidRPr="006E6390">
        <w:rPr>
          <w:rFonts w:cs="Arial"/>
        </w:rPr>
        <w:t>Históricamente, el promedio anual de número de empleados de RECOPE ha sido:</w:t>
      </w:r>
    </w:p>
    <w:p w14:paraId="1EB13839" w14:textId="77777777" w:rsidR="004012EE" w:rsidRPr="006E6390" w:rsidRDefault="004012EE" w:rsidP="002F1045">
      <w:pPr>
        <w:tabs>
          <w:tab w:val="left" w:pos="9270"/>
        </w:tabs>
        <w:rPr>
          <w:rFonts w:cs="Arial"/>
        </w:rPr>
      </w:pPr>
    </w:p>
    <w:p w14:paraId="78DB056E" w14:textId="474D1C97" w:rsidR="002F1045" w:rsidRPr="006E6390" w:rsidRDefault="002F1045" w:rsidP="002F1045">
      <w:pPr>
        <w:pStyle w:val="Ttuloscuadros"/>
        <w:tabs>
          <w:tab w:val="left" w:pos="9270"/>
        </w:tabs>
        <w:rPr>
          <w:rFonts w:cs="Arial"/>
        </w:rPr>
      </w:pPr>
      <w:r w:rsidRPr="006E6390">
        <w:rPr>
          <w:rFonts w:cs="Arial"/>
        </w:rPr>
        <w:t>Cuadro N°</w:t>
      </w:r>
      <w:r w:rsidR="0044062B" w:rsidRPr="006E6390">
        <w:rPr>
          <w:rFonts w:cs="Arial"/>
        </w:rPr>
        <w:t>3</w:t>
      </w:r>
      <w:r w:rsidR="0044062B">
        <w:rPr>
          <w:rFonts w:cs="Arial"/>
        </w:rPr>
        <w:t>1</w:t>
      </w:r>
    </w:p>
    <w:p w14:paraId="056C4A95" w14:textId="295F8F70" w:rsidR="002F1045" w:rsidRPr="006E6390" w:rsidRDefault="002F1045" w:rsidP="002F1045">
      <w:pPr>
        <w:pStyle w:val="Ttuloscuadros"/>
        <w:tabs>
          <w:tab w:val="left" w:pos="9270"/>
        </w:tabs>
        <w:rPr>
          <w:rFonts w:cs="Arial"/>
        </w:rPr>
      </w:pPr>
      <w:r w:rsidRPr="006E6390">
        <w:rPr>
          <w:rFonts w:cs="Arial"/>
        </w:rPr>
        <w:t xml:space="preserve">Promedio anual de número de empleados en RECOPE </w:t>
      </w:r>
      <w:r w:rsidR="004012EE" w:rsidRPr="00134FDF">
        <w:rPr>
          <w:rFonts w:cs="Arial"/>
        </w:rPr>
        <w:t>2015</w:t>
      </w:r>
      <w:r w:rsidRPr="00134FDF">
        <w:rPr>
          <w:rFonts w:cs="Arial"/>
        </w:rPr>
        <w:t>-</w:t>
      </w:r>
      <w:r w:rsidR="004012EE" w:rsidRPr="00134FDF">
        <w:rPr>
          <w:rFonts w:cs="Arial"/>
        </w:rPr>
        <w:t>2022</w:t>
      </w:r>
    </w:p>
    <w:tbl>
      <w:tblPr>
        <w:tblStyle w:val="Tablanormal1"/>
        <w:tblW w:w="4975" w:type="pct"/>
        <w:tblLayout w:type="fixed"/>
        <w:tblLook w:val="04A0" w:firstRow="1" w:lastRow="0" w:firstColumn="1" w:lastColumn="0" w:noHBand="0" w:noVBand="1"/>
      </w:tblPr>
      <w:tblGrid>
        <w:gridCol w:w="976"/>
        <w:gridCol w:w="976"/>
        <w:gridCol w:w="976"/>
        <w:gridCol w:w="976"/>
        <w:gridCol w:w="976"/>
        <w:gridCol w:w="976"/>
        <w:gridCol w:w="976"/>
        <w:gridCol w:w="976"/>
        <w:gridCol w:w="976"/>
      </w:tblGrid>
      <w:tr w:rsidR="00134FDF" w:rsidRPr="006E6390" w14:paraId="672E687B" w14:textId="77777777" w:rsidTr="000E34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2675EA81" w14:textId="77777777" w:rsidR="00134FDF" w:rsidRPr="006E6390" w:rsidRDefault="00134FDF" w:rsidP="00134FDF">
            <w:pPr>
              <w:spacing w:after="0" w:line="240" w:lineRule="auto"/>
              <w:jc w:val="left"/>
              <w:rPr>
                <w:rFonts w:cs="Arial"/>
                <w:sz w:val="20"/>
                <w:szCs w:val="20"/>
                <w:lang w:val="es-ES" w:eastAsia="es-ES"/>
              </w:rPr>
            </w:pPr>
            <w:r w:rsidRPr="006E6390">
              <w:rPr>
                <w:rFonts w:cs="Arial"/>
                <w:sz w:val="20"/>
                <w:szCs w:val="20"/>
                <w:lang w:eastAsia="es-ES"/>
              </w:rPr>
              <w:t> </w:t>
            </w:r>
          </w:p>
        </w:tc>
        <w:tc>
          <w:tcPr>
            <w:tcW w:w="0" w:type="pct"/>
            <w:hideMark/>
          </w:tcPr>
          <w:p w14:paraId="12D25D44" w14:textId="520E7DEC"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2015</w:t>
            </w:r>
          </w:p>
        </w:tc>
        <w:tc>
          <w:tcPr>
            <w:tcW w:w="0" w:type="pct"/>
            <w:hideMark/>
          </w:tcPr>
          <w:p w14:paraId="2B50A610" w14:textId="1101B675"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2016</w:t>
            </w:r>
          </w:p>
        </w:tc>
        <w:tc>
          <w:tcPr>
            <w:tcW w:w="0" w:type="pct"/>
            <w:hideMark/>
          </w:tcPr>
          <w:p w14:paraId="4FFF7BAB" w14:textId="09C15351"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2017</w:t>
            </w:r>
          </w:p>
        </w:tc>
        <w:tc>
          <w:tcPr>
            <w:tcW w:w="0" w:type="pct"/>
            <w:hideMark/>
          </w:tcPr>
          <w:p w14:paraId="17383061" w14:textId="58A5EF5D"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2018</w:t>
            </w:r>
          </w:p>
        </w:tc>
        <w:tc>
          <w:tcPr>
            <w:tcW w:w="0" w:type="pct"/>
            <w:hideMark/>
          </w:tcPr>
          <w:p w14:paraId="61A4CA3C" w14:textId="70DCB1AD"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2019</w:t>
            </w:r>
          </w:p>
        </w:tc>
        <w:tc>
          <w:tcPr>
            <w:tcW w:w="0" w:type="pct"/>
            <w:hideMark/>
          </w:tcPr>
          <w:p w14:paraId="09EF4734" w14:textId="5D993374"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s-ES" w:eastAsia="es-ES"/>
              </w:rPr>
            </w:pPr>
            <w:r w:rsidRPr="00134FDF">
              <w:rPr>
                <w:rFonts w:cs="Arial"/>
                <w:sz w:val="20"/>
                <w:szCs w:val="20"/>
                <w:lang w:eastAsia="es-ES"/>
              </w:rPr>
              <w:t>2020</w:t>
            </w:r>
          </w:p>
        </w:tc>
        <w:tc>
          <w:tcPr>
            <w:tcW w:w="0" w:type="pct"/>
          </w:tcPr>
          <w:p w14:paraId="3B8B3C7B" w14:textId="5957E1D9"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134FDF">
              <w:rPr>
                <w:rFonts w:cs="Arial"/>
                <w:sz w:val="20"/>
                <w:szCs w:val="20"/>
                <w:lang w:eastAsia="es-ES"/>
              </w:rPr>
              <w:t>2021</w:t>
            </w:r>
          </w:p>
        </w:tc>
        <w:tc>
          <w:tcPr>
            <w:tcW w:w="0" w:type="pct"/>
          </w:tcPr>
          <w:p w14:paraId="679C0310" w14:textId="1B803393" w:rsidR="00134FDF" w:rsidRPr="00F06706" w:rsidRDefault="00134FDF" w:rsidP="00134F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ES"/>
              </w:rPr>
            </w:pPr>
            <w:r w:rsidRPr="00134FDF">
              <w:rPr>
                <w:rFonts w:cs="Arial"/>
                <w:sz w:val="20"/>
                <w:szCs w:val="20"/>
                <w:lang w:eastAsia="es-ES"/>
              </w:rPr>
              <w:t>202</w:t>
            </w:r>
            <w:r>
              <w:rPr>
                <w:rFonts w:cs="Arial"/>
                <w:sz w:val="20"/>
                <w:szCs w:val="20"/>
                <w:lang w:eastAsia="es-ES"/>
              </w:rPr>
              <w:t>2</w:t>
            </w:r>
          </w:p>
        </w:tc>
      </w:tr>
      <w:tr w:rsidR="003D1663" w:rsidRPr="006E6390" w14:paraId="1298D033" w14:textId="77777777" w:rsidTr="00134FD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0" w:type="pct"/>
            <w:hideMark/>
          </w:tcPr>
          <w:p w14:paraId="7A6B378F" w14:textId="77777777" w:rsidR="00134FDF" w:rsidRPr="006E6390" w:rsidRDefault="00134FDF" w:rsidP="00134FDF">
            <w:pPr>
              <w:spacing w:after="0" w:line="240" w:lineRule="auto"/>
              <w:jc w:val="left"/>
              <w:rPr>
                <w:rFonts w:cs="Arial"/>
                <w:sz w:val="20"/>
                <w:szCs w:val="20"/>
                <w:lang w:val="es-ES" w:eastAsia="es-ES"/>
              </w:rPr>
            </w:pPr>
            <w:r w:rsidRPr="006E6390">
              <w:rPr>
                <w:rFonts w:cs="Arial"/>
                <w:sz w:val="20"/>
                <w:szCs w:val="20"/>
                <w:lang w:eastAsia="es-ES"/>
              </w:rPr>
              <w:t>Promedio de empleados al año</w:t>
            </w:r>
          </w:p>
        </w:tc>
        <w:tc>
          <w:tcPr>
            <w:tcW w:w="0" w:type="pct"/>
          </w:tcPr>
          <w:p w14:paraId="5E5EF532" w14:textId="20475DE7"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1 826</w:t>
            </w:r>
          </w:p>
        </w:tc>
        <w:tc>
          <w:tcPr>
            <w:tcW w:w="0" w:type="pct"/>
          </w:tcPr>
          <w:p w14:paraId="7BF157CD" w14:textId="6CEA360A"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1 781</w:t>
            </w:r>
          </w:p>
        </w:tc>
        <w:tc>
          <w:tcPr>
            <w:tcW w:w="0" w:type="pct"/>
          </w:tcPr>
          <w:p w14:paraId="74C24F1A" w14:textId="702816A4"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eastAsia="es-ES"/>
              </w:rPr>
              <w:t>1 772</w:t>
            </w:r>
          </w:p>
        </w:tc>
        <w:tc>
          <w:tcPr>
            <w:tcW w:w="0" w:type="pct"/>
          </w:tcPr>
          <w:p w14:paraId="5D618D8F" w14:textId="4CF978E7"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1 732</w:t>
            </w:r>
          </w:p>
        </w:tc>
        <w:tc>
          <w:tcPr>
            <w:tcW w:w="0" w:type="pct"/>
          </w:tcPr>
          <w:p w14:paraId="02807D32" w14:textId="19A02258"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1 723</w:t>
            </w:r>
          </w:p>
        </w:tc>
        <w:tc>
          <w:tcPr>
            <w:tcW w:w="0" w:type="pct"/>
          </w:tcPr>
          <w:p w14:paraId="164F9D44" w14:textId="2F523714"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1 704</w:t>
            </w:r>
          </w:p>
        </w:tc>
        <w:tc>
          <w:tcPr>
            <w:tcW w:w="0" w:type="pct"/>
          </w:tcPr>
          <w:p w14:paraId="0750F2BB" w14:textId="0017BB15"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1 669</w:t>
            </w:r>
          </w:p>
        </w:tc>
        <w:tc>
          <w:tcPr>
            <w:tcW w:w="0" w:type="pct"/>
          </w:tcPr>
          <w:p w14:paraId="477C9CD1" w14:textId="2970CCAD" w:rsidR="00134FDF" w:rsidRPr="006E6390" w:rsidRDefault="00134FDF" w:rsidP="00134F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lang w:val="es-ES" w:eastAsia="es-ES"/>
              </w:rPr>
            </w:pPr>
            <w:r w:rsidRPr="006E6390">
              <w:rPr>
                <w:rFonts w:cs="Arial"/>
                <w:sz w:val="20"/>
                <w:szCs w:val="20"/>
                <w:lang w:val="es-ES" w:eastAsia="es-ES"/>
              </w:rPr>
              <w:t>1 6</w:t>
            </w:r>
            <w:r>
              <w:rPr>
                <w:rFonts w:cs="Arial"/>
                <w:sz w:val="20"/>
                <w:szCs w:val="20"/>
                <w:lang w:val="es-ES" w:eastAsia="es-ES"/>
              </w:rPr>
              <w:t>5</w:t>
            </w:r>
            <w:r w:rsidR="00AF62C4">
              <w:rPr>
                <w:rFonts w:cs="Arial"/>
                <w:sz w:val="20"/>
                <w:szCs w:val="20"/>
                <w:lang w:val="es-ES" w:eastAsia="es-ES"/>
              </w:rPr>
              <w:t>4</w:t>
            </w:r>
          </w:p>
        </w:tc>
      </w:tr>
    </w:tbl>
    <w:p w14:paraId="0B77F8F1" w14:textId="77777777" w:rsidR="002F1045" w:rsidRPr="0036414A" w:rsidRDefault="002F1045" w:rsidP="002F1045">
      <w:pPr>
        <w:pStyle w:val="piedepgina0"/>
        <w:tabs>
          <w:tab w:val="left" w:pos="9270"/>
        </w:tabs>
        <w:rPr>
          <w:rFonts w:cs="Arial"/>
          <w:sz w:val="20"/>
        </w:rPr>
      </w:pPr>
      <w:r w:rsidRPr="006E6390">
        <w:rPr>
          <w:rFonts w:cs="Arial"/>
          <w:sz w:val="20"/>
        </w:rPr>
        <w:t xml:space="preserve">  </w:t>
      </w:r>
      <w:r w:rsidRPr="0036414A">
        <w:rPr>
          <w:rFonts w:cs="Arial"/>
          <w:sz w:val="20"/>
        </w:rPr>
        <w:t>Fuente: RECOPE</w:t>
      </w:r>
    </w:p>
    <w:p w14:paraId="1495E2CF" w14:textId="77777777" w:rsidR="002F1045" w:rsidRPr="006E6390" w:rsidRDefault="002F1045" w:rsidP="002F1045">
      <w:pPr>
        <w:pStyle w:val="Ttulo2"/>
        <w:rPr>
          <w:rFonts w:cs="Arial"/>
        </w:rPr>
      </w:pPr>
      <w:bookmarkStart w:id="327" w:name="_Toc38630850"/>
      <w:r w:rsidRPr="006E6390">
        <w:rPr>
          <w:rFonts w:cs="Arial"/>
        </w:rPr>
        <w:lastRenderedPageBreak/>
        <w:t>6.3. Organizaciones de trabajadores</w:t>
      </w:r>
      <w:bookmarkEnd w:id="327"/>
    </w:p>
    <w:p w14:paraId="552AEDF3" w14:textId="6EF8C8F3" w:rsidR="002F1045" w:rsidRDefault="002F1045" w:rsidP="00F06706">
      <w:pPr>
        <w:spacing w:after="0"/>
        <w:rPr>
          <w:rFonts w:cs="Arial"/>
          <w:lang w:eastAsia="es-MX"/>
        </w:rPr>
      </w:pPr>
      <w:r w:rsidRPr="006E6390">
        <w:rPr>
          <w:rFonts w:cs="Arial"/>
          <w:lang w:eastAsia="es-MX"/>
        </w:rPr>
        <w:t>RECOPE cuenta con varias organizaciones de trabajadores, donde incluso, funcionarios pertenecen a varias simultáneamente.</w:t>
      </w:r>
    </w:p>
    <w:p w14:paraId="5941F482" w14:textId="77777777" w:rsidR="004012EE" w:rsidRPr="006E6390" w:rsidRDefault="004012EE" w:rsidP="002F1045">
      <w:pPr>
        <w:rPr>
          <w:rFonts w:cs="Arial"/>
          <w:lang w:eastAsia="es-MX"/>
        </w:rPr>
      </w:pPr>
    </w:p>
    <w:p w14:paraId="6AF75971" w14:textId="77777777" w:rsidR="002F1045" w:rsidRPr="006E6390" w:rsidRDefault="002F1045" w:rsidP="002F1045">
      <w:pPr>
        <w:tabs>
          <w:tab w:val="left" w:pos="9270"/>
        </w:tabs>
        <w:rPr>
          <w:rFonts w:cs="Arial"/>
          <w:b/>
          <w:lang w:eastAsia="es-MX"/>
        </w:rPr>
      </w:pPr>
      <w:r w:rsidRPr="006E6390">
        <w:rPr>
          <w:rFonts w:cs="Arial"/>
          <w:b/>
          <w:lang w:eastAsia="es-MX"/>
        </w:rPr>
        <w:t>Organizaciones gremiales</w:t>
      </w:r>
    </w:p>
    <w:p w14:paraId="2E2F3FE9" w14:textId="692D2359" w:rsidR="002F1045" w:rsidRPr="006E6390" w:rsidRDefault="002F1045" w:rsidP="002F1045">
      <w:pPr>
        <w:tabs>
          <w:tab w:val="left" w:pos="9270"/>
        </w:tabs>
        <w:rPr>
          <w:rFonts w:cs="Arial"/>
          <w:lang w:eastAsia="es-MX"/>
        </w:rPr>
      </w:pPr>
      <w:r w:rsidRPr="000E3FF5">
        <w:rPr>
          <w:rFonts w:cs="Arial"/>
          <w:u w:val="single"/>
          <w:lang w:eastAsia="es-MX"/>
        </w:rPr>
        <w:t>SITRAPEQUIA (</w:t>
      </w:r>
      <w:r w:rsidR="000E3FF5" w:rsidRPr="00F06706">
        <w:rPr>
          <w:rFonts w:cs="Arial"/>
          <w:u w:val="single"/>
          <w:lang w:eastAsia="es-MX"/>
        </w:rPr>
        <w:t>890</w:t>
      </w:r>
      <w:r w:rsidR="000E3FF5" w:rsidRPr="000E3FF5">
        <w:rPr>
          <w:rFonts w:cs="Arial"/>
          <w:u w:val="single"/>
          <w:lang w:eastAsia="es-MX"/>
        </w:rPr>
        <w:t xml:space="preserve"> </w:t>
      </w:r>
      <w:r w:rsidRPr="000E3FF5">
        <w:rPr>
          <w:rFonts w:cs="Arial"/>
          <w:u w:val="single"/>
          <w:lang w:eastAsia="es-MX"/>
        </w:rPr>
        <w:t xml:space="preserve">miembros, a diciembre </w:t>
      </w:r>
      <w:r w:rsidR="000E3FF5" w:rsidRPr="000E3FF5">
        <w:rPr>
          <w:rFonts w:cs="Arial"/>
          <w:u w:val="single"/>
          <w:lang w:eastAsia="es-MX"/>
        </w:rPr>
        <w:t>202</w:t>
      </w:r>
      <w:r w:rsidR="000E3FF5" w:rsidRPr="00F06706">
        <w:rPr>
          <w:rFonts w:cs="Arial"/>
          <w:u w:val="single"/>
          <w:lang w:eastAsia="es-MX"/>
        </w:rPr>
        <w:t>2</w:t>
      </w:r>
      <w:r w:rsidRPr="000E3FF5">
        <w:rPr>
          <w:rFonts w:cs="Arial"/>
          <w:u w:val="single"/>
          <w:lang w:eastAsia="es-MX"/>
        </w:rPr>
        <w:t>)</w:t>
      </w:r>
      <w:r w:rsidRPr="000E3FF5">
        <w:rPr>
          <w:rFonts w:cs="Arial"/>
          <w:lang w:eastAsia="es-MX"/>
        </w:rPr>
        <w:t xml:space="preserve"> -</w:t>
      </w:r>
      <w:r w:rsidRPr="006E6390">
        <w:rPr>
          <w:rFonts w:cs="Arial"/>
          <w:lang w:eastAsia="es-MX"/>
        </w:rPr>
        <w:t xml:space="preserve"> Sindicato de Trabajadores (as) Petroleros Químicos y Afines. Organización creada el 9 de marzo de 1969. Este es el mayor sindicato de la empresa y está relacionado con la Confederación Rerum Novarum y está compuesto por los siguientes órganos:</w:t>
      </w:r>
    </w:p>
    <w:p w14:paraId="65B38ADC"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La Asamblea, que reúne a todos los afiliados al menos una vez al año.</w:t>
      </w:r>
    </w:p>
    <w:p w14:paraId="33E3031F"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La Junta Directiva, conformado por 11 secretarios propietarios y dos suplentes y que se reúnen dos meses por mes.</w:t>
      </w:r>
    </w:p>
    <w:p w14:paraId="26FB9700"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Consejo Consultivo, formada por delegados de los centros de trabajo y la Junta Directiva y que sesiona cada dos meses.</w:t>
      </w:r>
    </w:p>
    <w:p w14:paraId="1CDCB391"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 xml:space="preserve">Fiscalía: que participa con </w:t>
      </w:r>
      <w:r w:rsidR="00787CD5" w:rsidRPr="006E6390">
        <w:rPr>
          <w:rFonts w:cs="Arial"/>
          <w:lang w:eastAsia="es-MX"/>
        </w:rPr>
        <w:t>voz,</w:t>
      </w:r>
      <w:r w:rsidRPr="006E6390">
        <w:rPr>
          <w:rFonts w:cs="Arial"/>
          <w:lang w:eastAsia="es-MX"/>
        </w:rPr>
        <w:t xml:space="preserve"> pero sin voto en la Junta Directiva y Consejo Consultivo.</w:t>
      </w:r>
    </w:p>
    <w:p w14:paraId="59E18FF9"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Tribunal de Ética y Disciplina, que lo integran cinco miembros propietarios.</w:t>
      </w:r>
    </w:p>
    <w:p w14:paraId="3D5D3C8B" w14:textId="77777777" w:rsidR="002F1045" w:rsidRPr="006E6390" w:rsidRDefault="002F1045" w:rsidP="002F1045">
      <w:pPr>
        <w:pStyle w:val="Prrafodelista"/>
        <w:numPr>
          <w:ilvl w:val="3"/>
          <w:numId w:val="35"/>
        </w:numPr>
        <w:tabs>
          <w:tab w:val="left" w:pos="9270"/>
        </w:tabs>
        <w:spacing w:after="120"/>
        <w:ind w:left="426" w:hanging="284"/>
        <w:contextualSpacing w:val="0"/>
        <w:rPr>
          <w:rFonts w:cs="Arial"/>
          <w:lang w:eastAsia="es-MX"/>
        </w:rPr>
      </w:pPr>
      <w:r w:rsidRPr="006E6390">
        <w:rPr>
          <w:rFonts w:cs="Arial"/>
          <w:lang w:eastAsia="es-MX"/>
        </w:rPr>
        <w:t>Tribunal Electoral: Igual que al anterior pero que solo funciona en período electoral.</w:t>
      </w:r>
    </w:p>
    <w:p w14:paraId="3CE8685A" w14:textId="77777777" w:rsidR="002F1045" w:rsidRPr="006E6390" w:rsidRDefault="002F1045" w:rsidP="002F1045">
      <w:pPr>
        <w:pStyle w:val="Prrafodelista"/>
        <w:numPr>
          <w:ilvl w:val="3"/>
          <w:numId w:val="35"/>
        </w:numPr>
        <w:tabs>
          <w:tab w:val="left" w:pos="9270"/>
        </w:tabs>
        <w:ind w:left="426" w:hanging="284"/>
        <w:contextualSpacing w:val="0"/>
        <w:rPr>
          <w:rFonts w:cs="Arial"/>
          <w:lang w:eastAsia="es-MX"/>
        </w:rPr>
      </w:pPr>
      <w:r w:rsidRPr="006E6390">
        <w:rPr>
          <w:rFonts w:cs="Arial"/>
          <w:lang w:eastAsia="es-MX"/>
        </w:rPr>
        <w:t>Comisiones, que están conformadas por representantes patronales y del sindicato.</w:t>
      </w:r>
    </w:p>
    <w:p w14:paraId="3AF825F4" w14:textId="77777777" w:rsidR="002F1045" w:rsidRPr="006E6390" w:rsidRDefault="002F1045" w:rsidP="002F1045">
      <w:pPr>
        <w:tabs>
          <w:tab w:val="left" w:pos="9270"/>
        </w:tabs>
        <w:rPr>
          <w:rFonts w:cs="Arial"/>
          <w:b/>
          <w:lang w:eastAsia="es-MX"/>
        </w:rPr>
      </w:pPr>
      <w:r w:rsidRPr="006E6390">
        <w:rPr>
          <w:rFonts w:cs="Arial"/>
          <w:b/>
          <w:lang w:eastAsia="es-MX"/>
        </w:rPr>
        <w:t>Organizaciones solidaristas</w:t>
      </w:r>
    </w:p>
    <w:p w14:paraId="5CD4D2A3" w14:textId="28768330" w:rsidR="002F1045" w:rsidRDefault="002F1045" w:rsidP="00F06706">
      <w:pPr>
        <w:tabs>
          <w:tab w:val="left" w:pos="9270"/>
        </w:tabs>
        <w:spacing w:after="0"/>
        <w:rPr>
          <w:rFonts w:cs="Arial"/>
          <w:u w:val="single"/>
          <w:lang w:eastAsia="es-MX"/>
        </w:rPr>
      </w:pPr>
      <w:r w:rsidRPr="006E6390">
        <w:rPr>
          <w:rFonts w:cs="Arial"/>
          <w:u w:val="single"/>
          <w:lang w:eastAsia="es-MX"/>
        </w:rPr>
        <w:t>Fondo de Ahorro; Préstamo; Vivienda, Recreación y Garantía de los Trabajadores de RECOPE – FONAPRE (La totalidad de empleados son miembros)</w:t>
      </w:r>
      <w:r w:rsidR="004012EE">
        <w:rPr>
          <w:rFonts w:cs="Arial"/>
          <w:u w:val="single"/>
          <w:lang w:eastAsia="es-MX"/>
        </w:rPr>
        <w:t>.</w:t>
      </w:r>
    </w:p>
    <w:p w14:paraId="663DD329" w14:textId="77777777" w:rsidR="004012EE" w:rsidRPr="006E6390" w:rsidRDefault="004012EE" w:rsidP="00F06706">
      <w:pPr>
        <w:tabs>
          <w:tab w:val="left" w:pos="9270"/>
        </w:tabs>
        <w:spacing w:after="0"/>
        <w:rPr>
          <w:rFonts w:cs="Arial"/>
          <w:u w:val="single"/>
          <w:lang w:eastAsia="es-MX"/>
        </w:rPr>
      </w:pPr>
    </w:p>
    <w:p w14:paraId="6BA19E9D" w14:textId="02417B29" w:rsidR="002F1045" w:rsidRDefault="002F1045" w:rsidP="00F06706">
      <w:pPr>
        <w:tabs>
          <w:tab w:val="left" w:pos="9270"/>
        </w:tabs>
        <w:spacing w:after="0"/>
        <w:rPr>
          <w:rFonts w:cs="Arial"/>
          <w:lang w:eastAsia="es-MX"/>
        </w:rPr>
      </w:pPr>
      <w:r w:rsidRPr="006E6390">
        <w:rPr>
          <w:rFonts w:cs="Arial"/>
          <w:lang w:eastAsia="es-MX"/>
        </w:rPr>
        <w:t>El Fondo “es una entidad sin fines de lucro, dedicada a la administración de los recursos de los beneficiarios, para destinarlos a créditos de vivienda, personales y la recreación, que promuevan el bienestar de los beneficiarios y sus familias.” En el fondo participan todos los empleados de RECOPE. Se rige por la Ley No. 8847 de 28 de julio de 2010, quien determinó su personería jurídica distinta de la de RECOPE, su organización y otros aspectos.</w:t>
      </w:r>
    </w:p>
    <w:p w14:paraId="251E7397" w14:textId="77777777" w:rsidR="004012EE" w:rsidRPr="006E6390" w:rsidRDefault="004012EE" w:rsidP="002F1045">
      <w:pPr>
        <w:tabs>
          <w:tab w:val="left" w:pos="9270"/>
        </w:tabs>
        <w:rPr>
          <w:rFonts w:cs="Arial"/>
          <w:lang w:eastAsia="es-MX"/>
        </w:rPr>
      </w:pPr>
    </w:p>
    <w:p w14:paraId="324EE05A" w14:textId="3DA5E55F" w:rsidR="00BB50C6" w:rsidRPr="006E6390" w:rsidRDefault="00BB50C6" w:rsidP="002F1045">
      <w:pPr>
        <w:tabs>
          <w:tab w:val="left" w:pos="9270"/>
        </w:tabs>
        <w:rPr>
          <w:rFonts w:cs="Arial"/>
          <w:u w:val="single"/>
          <w:lang w:eastAsia="es-MX"/>
        </w:rPr>
      </w:pPr>
      <w:r w:rsidRPr="00D471BC">
        <w:rPr>
          <w:rFonts w:cs="Arial"/>
          <w:u w:val="single"/>
          <w:lang w:eastAsia="es-MX"/>
        </w:rPr>
        <w:t>Asociación Solidarista de Empleados de RECOPE (ASORECOPE)</w:t>
      </w:r>
      <w:r w:rsidR="00D471BC" w:rsidRPr="00D471BC">
        <w:rPr>
          <w:rFonts w:cs="Arial"/>
          <w:u w:val="single"/>
          <w:lang w:eastAsia="es-MX"/>
        </w:rPr>
        <w:t xml:space="preserve"> – 383 miembros</w:t>
      </w:r>
      <w:r w:rsidR="00D471BC">
        <w:rPr>
          <w:rFonts w:cs="Arial"/>
          <w:u w:val="single"/>
          <w:lang w:eastAsia="es-MX"/>
        </w:rPr>
        <w:t>.</w:t>
      </w:r>
    </w:p>
    <w:p w14:paraId="1701A527" w14:textId="4C10562C" w:rsidR="009D0E9F" w:rsidRDefault="00F80797" w:rsidP="00421A17">
      <w:pPr>
        <w:spacing w:after="0"/>
        <w:rPr>
          <w:rFonts w:cs="Arial"/>
          <w:lang w:eastAsia="es-MX"/>
        </w:rPr>
      </w:pPr>
      <w:r w:rsidRPr="006E6390">
        <w:rPr>
          <w:rFonts w:cs="Arial"/>
        </w:rPr>
        <w:t>Las asociaciones solidaristas son organizaciones sociales que se inspiran en una actitud humana, por medio de la cual el hombre se identifica con las necesidades y aspiraciones de sus semejantes, comprometiendo el aporte de sus recursos y esfuerzos para satisfacer esas necesidades y aspiraciones de manera justa y pacífica. Su gobierno y su administración competen exclusivamente a los trabajadores afiliados a ellas. L</w:t>
      </w:r>
      <w:r w:rsidR="00BB50C6" w:rsidRPr="006E6390">
        <w:rPr>
          <w:rFonts w:cs="Arial"/>
        </w:rPr>
        <w:t xml:space="preserve">a creación </w:t>
      </w:r>
      <w:r w:rsidR="00BB50C6" w:rsidRPr="006E6390">
        <w:rPr>
          <w:rFonts w:cs="Arial"/>
        </w:rPr>
        <w:lastRenderedPageBreak/>
        <w:t>de la Asociación Solidarista de Empleados de RECOPE (ASORECOPE) según acuerdo tomado por la Junta Directiva, en el Artículo N°6 de la Sesión Ordinaria N°5122-94, celebrada el lunes 18 de noviembre de 2019; corresponde para esta partida el 5,33 % sobre el salario devengado por cada afiliado.</w:t>
      </w:r>
      <w:r w:rsidRPr="006E6390">
        <w:rPr>
          <w:rFonts w:cs="Arial"/>
        </w:rPr>
        <w:t xml:space="preserve"> </w:t>
      </w:r>
      <w:r w:rsidR="00965276">
        <w:rPr>
          <w:rFonts w:cs="Arial"/>
        </w:rPr>
        <w:t xml:space="preserve"> </w:t>
      </w:r>
      <w:r w:rsidRPr="006E6390">
        <w:rPr>
          <w:rFonts w:cs="Arial"/>
          <w:lang w:eastAsia="es-MX"/>
        </w:rPr>
        <w:t>Se rige por la Ley No. 6970 de Asociaciones Solidaristas, quien determinó su personería jurídica distinta de la de RECOPE, su organización y otros aspectos.</w:t>
      </w:r>
    </w:p>
    <w:p w14:paraId="29C6B7B1" w14:textId="77777777" w:rsidR="004012EE" w:rsidRPr="006E6390" w:rsidRDefault="004012EE" w:rsidP="00421A17">
      <w:pPr>
        <w:spacing w:after="0"/>
        <w:rPr>
          <w:rFonts w:cs="Arial"/>
        </w:rPr>
      </w:pPr>
    </w:p>
    <w:p w14:paraId="17570CCF" w14:textId="77777777" w:rsidR="002F1045" w:rsidRPr="006E6390" w:rsidRDefault="002F1045" w:rsidP="002F1045">
      <w:pPr>
        <w:tabs>
          <w:tab w:val="left" w:pos="9270"/>
        </w:tabs>
        <w:rPr>
          <w:rFonts w:cs="Arial"/>
          <w:b/>
          <w:lang w:eastAsia="es-MX"/>
        </w:rPr>
      </w:pPr>
      <w:r w:rsidRPr="006E6390">
        <w:rPr>
          <w:rFonts w:cs="Arial"/>
          <w:b/>
          <w:lang w:eastAsia="es-MX"/>
        </w:rPr>
        <w:t>Organizaciones de bienestar social</w:t>
      </w:r>
    </w:p>
    <w:p w14:paraId="0193253D" w14:textId="4C15C32F" w:rsidR="002F1045" w:rsidRPr="006E6390" w:rsidRDefault="002F1045" w:rsidP="002F1045">
      <w:pPr>
        <w:tabs>
          <w:tab w:val="left" w:pos="9270"/>
        </w:tabs>
        <w:rPr>
          <w:rFonts w:cs="Arial"/>
          <w:u w:val="single"/>
          <w:lang w:eastAsia="es-MX"/>
        </w:rPr>
      </w:pPr>
      <w:r w:rsidRPr="00BB5A76">
        <w:rPr>
          <w:rFonts w:cs="Arial"/>
          <w:u w:val="single"/>
          <w:lang w:eastAsia="es-MX"/>
        </w:rPr>
        <w:t>Asociación de Técnicos de RECOPE en Limón (ATEREL) (</w:t>
      </w:r>
      <w:r w:rsidR="00BB5A76" w:rsidRPr="00BB5A76">
        <w:rPr>
          <w:rFonts w:cs="Arial"/>
          <w:u w:val="single"/>
          <w:lang w:eastAsia="es-MX"/>
        </w:rPr>
        <w:t>3</w:t>
      </w:r>
      <w:r w:rsidR="00BB5A76" w:rsidRPr="00F06706">
        <w:rPr>
          <w:rFonts w:cs="Arial"/>
          <w:u w:val="single"/>
          <w:lang w:eastAsia="es-MX"/>
        </w:rPr>
        <w:t>2</w:t>
      </w:r>
      <w:r w:rsidR="00BB5A76" w:rsidRPr="00BB5A76">
        <w:rPr>
          <w:rFonts w:cs="Arial"/>
          <w:u w:val="single"/>
          <w:lang w:eastAsia="es-MX"/>
        </w:rPr>
        <w:t xml:space="preserve"> </w:t>
      </w:r>
      <w:r w:rsidRPr="00BB5A76">
        <w:rPr>
          <w:rFonts w:cs="Arial"/>
          <w:u w:val="single"/>
          <w:lang w:eastAsia="es-MX"/>
        </w:rPr>
        <w:t>miembros)</w:t>
      </w:r>
    </w:p>
    <w:p w14:paraId="050845F1" w14:textId="2E2F3611" w:rsidR="002F1045" w:rsidRDefault="002F1045" w:rsidP="002F1045">
      <w:pPr>
        <w:tabs>
          <w:tab w:val="left" w:pos="9270"/>
        </w:tabs>
        <w:rPr>
          <w:rFonts w:cs="Arial"/>
          <w:lang w:eastAsia="es-MX"/>
        </w:rPr>
      </w:pPr>
      <w:r w:rsidRPr="006E6390">
        <w:rPr>
          <w:rFonts w:cs="Arial"/>
          <w:lang w:eastAsia="es-MX"/>
        </w:rPr>
        <w:t>Fundada en el año 1987 con el fin de procurar el mejoramiento social, cultural, económico, profesional de sus afiliados; procurar la estabilidad laboral, promover una continua educación técnica y profesional y luchar por salarios justos.  Además</w:t>
      </w:r>
      <w:r w:rsidR="00524797" w:rsidRPr="006E6390">
        <w:rPr>
          <w:rFonts w:cs="Arial"/>
          <w:lang w:eastAsia="es-MX"/>
        </w:rPr>
        <w:t>,</w:t>
      </w:r>
      <w:r w:rsidRPr="006E6390">
        <w:rPr>
          <w:rFonts w:cs="Arial"/>
          <w:lang w:eastAsia="es-MX"/>
        </w:rPr>
        <w:t xml:space="preserve"> para promover la formación y estabilidad de grupo consolidado, fomentando la armonía, los vínculos de unión y cooperación, coadyuvar a que RECOPE se rija conforme a los criterios técnicos y éticos que demanda la productividad del país y plantear, realizar y difundir todo tipo de programas de interés para sus afiliados y sus familias.</w:t>
      </w:r>
    </w:p>
    <w:p w14:paraId="6439F733" w14:textId="77777777" w:rsidR="004012EE" w:rsidRPr="006E6390" w:rsidRDefault="004012EE" w:rsidP="002F1045">
      <w:pPr>
        <w:tabs>
          <w:tab w:val="left" w:pos="9270"/>
        </w:tabs>
        <w:rPr>
          <w:rFonts w:cs="Arial"/>
          <w:lang w:eastAsia="es-MX"/>
        </w:rPr>
      </w:pPr>
    </w:p>
    <w:p w14:paraId="296FEB8C" w14:textId="77777777" w:rsidR="002F1045" w:rsidRPr="006E6390" w:rsidRDefault="002F1045" w:rsidP="002F1045">
      <w:pPr>
        <w:pStyle w:val="Ttulo2"/>
        <w:tabs>
          <w:tab w:val="left" w:pos="9270"/>
        </w:tabs>
        <w:rPr>
          <w:rFonts w:cs="Arial"/>
          <w:szCs w:val="22"/>
        </w:rPr>
      </w:pPr>
      <w:bookmarkStart w:id="328" w:name="_Toc38630851"/>
      <w:r w:rsidRPr="006E6390">
        <w:rPr>
          <w:rFonts w:cs="Arial"/>
          <w:szCs w:val="22"/>
        </w:rPr>
        <w:t>6.4. Participación social de directores, personal gerencial y empleados</w:t>
      </w:r>
      <w:bookmarkEnd w:id="328"/>
    </w:p>
    <w:p w14:paraId="45AC134A" w14:textId="77777777" w:rsidR="002F1045" w:rsidRPr="006E6390" w:rsidRDefault="002F1045" w:rsidP="002F1045">
      <w:pPr>
        <w:tabs>
          <w:tab w:val="left" w:pos="9270"/>
        </w:tabs>
        <w:rPr>
          <w:rFonts w:cs="Arial"/>
        </w:rPr>
      </w:pPr>
      <w:r w:rsidRPr="006E6390">
        <w:rPr>
          <w:rFonts w:cs="Arial"/>
          <w:lang w:eastAsia="es-MX"/>
        </w:rPr>
        <w:t>RECOPE es una entidad autónoma propiedad del Estado costarricense.</w:t>
      </w:r>
      <w:r w:rsidR="00C93882">
        <w:rPr>
          <w:rFonts w:cs="Arial"/>
          <w:lang w:eastAsia="es-MX"/>
        </w:rPr>
        <w:t xml:space="preserve"> </w:t>
      </w:r>
      <w:r w:rsidRPr="006E6390">
        <w:rPr>
          <w:rFonts w:cs="Arial"/>
          <w:lang w:eastAsia="es-MX"/>
        </w:rPr>
        <w:t xml:space="preserve">En su composición patrimonial, se muestra capital aportado en vez de acciones comunes. </w:t>
      </w:r>
      <w:r w:rsidR="00F12CC1">
        <w:rPr>
          <w:rFonts w:cs="Arial"/>
          <w:lang w:eastAsia="es-MX"/>
        </w:rPr>
        <w:t xml:space="preserve"> </w:t>
      </w:r>
      <w:r w:rsidRPr="006E6390">
        <w:rPr>
          <w:rFonts w:cs="Arial"/>
          <w:lang w:eastAsia="es-MX"/>
        </w:rPr>
        <w:t>Por esta razón ningún director, gerente o empleado mantiene una participación en la composición social de RECOPE</w:t>
      </w:r>
      <w:r w:rsidRPr="006E6390">
        <w:rPr>
          <w:rFonts w:cs="Arial"/>
        </w:rPr>
        <w:t>.</w:t>
      </w:r>
    </w:p>
    <w:p w14:paraId="756CC5A0" w14:textId="77777777" w:rsidR="002F1045" w:rsidRPr="006E6390" w:rsidRDefault="002F1045" w:rsidP="002F1045">
      <w:pPr>
        <w:spacing w:after="0" w:line="240" w:lineRule="auto"/>
        <w:jc w:val="left"/>
        <w:rPr>
          <w:rFonts w:cs="Arial"/>
          <w:b/>
          <w:bCs/>
          <w:kern w:val="32"/>
          <w:lang w:eastAsia="es-MX"/>
        </w:rPr>
      </w:pPr>
      <w:r w:rsidRPr="006E6390">
        <w:rPr>
          <w:rFonts w:cs="Arial"/>
        </w:rPr>
        <w:br w:type="page"/>
      </w:r>
    </w:p>
    <w:p w14:paraId="68E67512" w14:textId="77777777" w:rsidR="002F1045" w:rsidRPr="006E6390" w:rsidRDefault="002F1045" w:rsidP="00514A16">
      <w:pPr>
        <w:pStyle w:val="Ttulo1"/>
      </w:pPr>
      <w:bookmarkStart w:id="329" w:name="_Toc38630852"/>
      <w:bookmarkStart w:id="330" w:name="_Toc262483914"/>
      <w:r w:rsidRPr="006E6390">
        <w:lastRenderedPageBreak/>
        <w:t>7. Participaciones significativas y transacciones con partes relacionadas</w:t>
      </w:r>
      <w:bookmarkEnd w:id="329"/>
    </w:p>
    <w:p w14:paraId="6C262DBF" w14:textId="77777777" w:rsidR="002F1045" w:rsidRPr="006E6390" w:rsidRDefault="002F1045" w:rsidP="002F1045">
      <w:pPr>
        <w:pStyle w:val="Ttulo2"/>
        <w:tabs>
          <w:tab w:val="left" w:pos="9270"/>
        </w:tabs>
        <w:rPr>
          <w:rFonts w:cs="Arial"/>
          <w:szCs w:val="22"/>
        </w:rPr>
      </w:pPr>
      <w:bookmarkStart w:id="331" w:name="_Toc38630853"/>
      <w:r w:rsidRPr="006E6390">
        <w:rPr>
          <w:rFonts w:cs="Arial"/>
          <w:szCs w:val="22"/>
        </w:rPr>
        <w:t>7.1. Transacciones con partes relacionadas</w:t>
      </w:r>
      <w:bookmarkEnd w:id="331"/>
    </w:p>
    <w:p w14:paraId="0FB5DC0B" w14:textId="17A33139" w:rsidR="002F1045" w:rsidRDefault="002F1045" w:rsidP="00F06706">
      <w:pPr>
        <w:tabs>
          <w:tab w:val="left" w:pos="9270"/>
        </w:tabs>
        <w:spacing w:after="0"/>
        <w:rPr>
          <w:rFonts w:cs="Arial"/>
        </w:rPr>
      </w:pPr>
      <w:r w:rsidRPr="006E6390">
        <w:rPr>
          <w:rFonts w:cs="Arial"/>
        </w:rPr>
        <w:t xml:space="preserve">RECOPE y la firma </w:t>
      </w:r>
      <w:r w:rsidRPr="006E6390">
        <w:rPr>
          <w:rFonts w:cs="Arial"/>
          <w:i/>
        </w:rPr>
        <w:t>China National Petroleum Corporation International Ltd</w:t>
      </w:r>
      <w:r w:rsidRPr="006E6390">
        <w:rPr>
          <w:rFonts w:cs="Arial"/>
        </w:rPr>
        <w:t xml:space="preserve">. </w:t>
      </w:r>
      <w:r w:rsidR="001852D7" w:rsidRPr="006E6390">
        <w:rPr>
          <w:rFonts w:cs="Arial"/>
        </w:rPr>
        <w:t xml:space="preserve">firmaron </w:t>
      </w:r>
      <w:r w:rsidRPr="006E6390">
        <w:rPr>
          <w:rFonts w:cs="Arial"/>
        </w:rPr>
        <w:t>un “joint venture”</w:t>
      </w:r>
      <w:r w:rsidR="001852D7" w:rsidRPr="006E6390">
        <w:rPr>
          <w:rFonts w:cs="Arial"/>
        </w:rPr>
        <w:t>, que se denominó</w:t>
      </w:r>
      <w:r w:rsidRPr="006E6390">
        <w:rPr>
          <w:rFonts w:cs="Arial"/>
        </w:rPr>
        <w:t xml:space="preserve"> SORESCO que sería la responsable del proceso constructivo de la modernización de la planta de refinación.  </w:t>
      </w:r>
    </w:p>
    <w:p w14:paraId="6AA40855" w14:textId="77777777" w:rsidR="004012EE" w:rsidRPr="006E6390" w:rsidRDefault="004012EE" w:rsidP="00F06706">
      <w:pPr>
        <w:tabs>
          <w:tab w:val="left" w:pos="9270"/>
        </w:tabs>
        <w:spacing w:after="0"/>
        <w:rPr>
          <w:rFonts w:cs="Arial"/>
        </w:rPr>
      </w:pPr>
    </w:p>
    <w:p w14:paraId="4EC75BF3" w14:textId="7B9DB0C8" w:rsidR="002F1045" w:rsidRDefault="002F1045" w:rsidP="00F06706">
      <w:pPr>
        <w:tabs>
          <w:tab w:val="left" w:pos="9270"/>
        </w:tabs>
        <w:spacing w:after="0"/>
        <w:rPr>
          <w:rFonts w:cs="Arial"/>
        </w:rPr>
      </w:pPr>
      <w:r w:rsidRPr="006E6390">
        <w:rPr>
          <w:rFonts w:cs="Arial"/>
        </w:rPr>
        <w:t>No obstante, la Junta Directiva, en la Sesión Ordinaria #4933-139 de 18 de abril de 2016 y en la Sesión Ordinaria #4934-140 de 20 de abril de 2016, celebradas el 18 y 20 de abril de 2016, recomendó autorizar a la President</w:t>
      </w:r>
      <w:r w:rsidR="00524797" w:rsidRPr="006E6390">
        <w:rPr>
          <w:rFonts w:cs="Arial"/>
        </w:rPr>
        <w:t>e</w:t>
      </w:r>
      <w:r w:rsidRPr="006E6390">
        <w:rPr>
          <w:rFonts w:cs="Arial"/>
        </w:rPr>
        <w:t xml:space="preserve"> de la empresa, para realizar las acciones para dar por terminado el Acuerdo de Empresa Conjunta y disolver y liquidar SORESCO.  El Consejo de Gobierno, según consta en la certificación No. 155-16 avaló la solicitud de la Junta Directiva de RECOPE, el acuerdo de dicho Consejo actuando como asamblea de accionistas fue conocido por la Junta Directiva de RECOPE en la Sesión Ordinaria N°4938-144 de 16 de mayo de 2016.</w:t>
      </w:r>
    </w:p>
    <w:p w14:paraId="6B93E7A8" w14:textId="77777777" w:rsidR="004012EE" w:rsidRPr="006E6390" w:rsidRDefault="004012EE" w:rsidP="00F06706">
      <w:pPr>
        <w:tabs>
          <w:tab w:val="left" w:pos="9270"/>
        </w:tabs>
        <w:spacing w:after="0"/>
        <w:rPr>
          <w:rFonts w:cs="Arial"/>
        </w:rPr>
      </w:pPr>
    </w:p>
    <w:p w14:paraId="511F5DD5" w14:textId="4C5B1A81" w:rsidR="002F1045" w:rsidRDefault="002F1045" w:rsidP="00F06706">
      <w:pPr>
        <w:tabs>
          <w:tab w:val="left" w:pos="9270"/>
        </w:tabs>
        <w:spacing w:after="0"/>
        <w:rPr>
          <w:rFonts w:cs="Arial"/>
        </w:rPr>
      </w:pPr>
      <w:r w:rsidRPr="006E6390">
        <w:rPr>
          <w:rFonts w:cs="Arial"/>
        </w:rPr>
        <w:t>Según comunicado de Hecho Relevante, nota GG-1196-2019 de 1 de noviembre, se informó del resultado del laudo arbitral de la Cámara Internacional de Comercio (ICC, por sus siglas en inglés), donde se resuelve la disolución de SORESCO S.A.</w:t>
      </w:r>
    </w:p>
    <w:p w14:paraId="5E14A2A6" w14:textId="77777777" w:rsidR="004012EE" w:rsidRPr="006E6390" w:rsidRDefault="004012EE" w:rsidP="002F1045">
      <w:pPr>
        <w:tabs>
          <w:tab w:val="left" w:pos="9270"/>
        </w:tabs>
        <w:rPr>
          <w:rFonts w:cs="Arial"/>
        </w:rPr>
      </w:pPr>
    </w:p>
    <w:p w14:paraId="3B5F8514" w14:textId="77777777" w:rsidR="002F1045" w:rsidRPr="006E6390" w:rsidRDefault="002F1045" w:rsidP="002F1045">
      <w:pPr>
        <w:pStyle w:val="Ttulo2"/>
        <w:tabs>
          <w:tab w:val="left" w:pos="9270"/>
        </w:tabs>
        <w:rPr>
          <w:rFonts w:cs="Arial"/>
          <w:szCs w:val="22"/>
        </w:rPr>
      </w:pPr>
      <w:bookmarkStart w:id="332" w:name="_Toc38630854"/>
      <w:r w:rsidRPr="006E6390">
        <w:rPr>
          <w:rFonts w:cs="Arial"/>
          <w:szCs w:val="22"/>
        </w:rPr>
        <w:t>7.2. Participaciones significativas</w:t>
      </w:r>
      <w:bookmarkEnd w:id="332"/>
    </w:p>
    <w:p w14:paraId="5A811BCB" w14:textId="4B1ACFAD" w:rsidR="002F1045" w:rsidRDefault="002F1045" w:rsidP="00F06706">
      <w:pPr>
        <w:tabs>
          <w:tab w:val="left" w:pos="9270"/>
        </w:tabs>
        <w:spacing w:after="0"/>
        <w:rPr>
          <w:rFonts w:cs="Arial"/>
        </w:rPr>
      </w:pPr>
      <w:r w:rsidRPr="006E6390">
        <w:rPr>
          <w:rFonts w:cs="Arial"/>
        </w:rPr>
        <w:t>RECOPE es una entidad autónoma que pertenece 100% al Estado costarricense.</w:t>
      </w:r>
    </w:p>
    <w:p w14:paraId="5E9E0500" w14:textId="77777777" w:rsidR="004012EE" w:rsidRPr="006E6390" w:rsidRDefault="004012EE" w:rsidP="002F1045">
      <w:pPr>
        <w:tabs>
          <w:tab w:val="left" w:pos="9270"/>
        </w:tabs>
        <w:rPr>
          <w:rFonts w:cs="Arial"/>
        </w:rPr>
      </w:pPr>
    </w:p>
    <w:p w14:paraId="2614182F" w14:textId="77777777" w:rsidR="002F1045" w:rsidRPr="006E6390" w:rsidRDefault="002F1045" w:rsidP="002F1045">
      <w:pPr>
        <w:pStyle w:val="Ttulo2"/>
        <w:tabs>
          <w:tab w:val="left" w:pos="9270"/>
        </w:tabs>
        <w:rPr>
          <w:rFonts w:cs="Arial"/>
          <w:szCs w:val="22"/>
        </w:rPr>
      </w:pPr>
      <w:bookmarkStart w:id="333" w:name="_Toc38630855"/>
      <w:r w:rsidRPr="006E6390">
        <w:rPr>
          <w:rFonts w:cs="Arial"/>
          <w:szCs w:val="22"/>
        </w:rPr>
        <w:t>7.3. Participaciones de asesores y consejeros</w:t>
      </w:r>
      <w:bookmarkEnd w:id="333"/>
    </w:p>
    <w:p w14:paraId="6BF089F4" w14:textId="46EB783C" w:rsidR="002F1045" w:rsidRDefault="002F1045" w:rsidP="00F06706">
      <w:pPr>
        <w:tabs>
          <w:tab w:val="left" w:pos="9270"/>
        </w:tabs>
        <w:spacing w:after="0"/>
        <w:rPr>
          <w:rFonts w:cs="Arial"/>
        </w:rPr>
      </w:pPr>
      <w:r w:rsidRPr="006E6390">
        <w:rPr>
          <w:rFonts w:cs="Arial"/>
        </w:rPr>
        <w:t>Ninguno de los directores o gerentes de RECOPE han prestado servicios a título personal, ni son accionistas ni socios de alguna persona jurídica, que le haya prestado servicios a RECOPE para la inscripción de los títulos valores.  RECOPE no tiene socios ni accionistas comunes adicionales al Estado en su estructura patrimonial.</w:t>
      </w:r>
    </w:p>
    <w:p w14:paraId="52706CDD" w14:textId="77777777" w:rsidR="004012EE" w:rsidRPr="006E6390" w:rsidRDefault="004012EE" w:rsidP="00F06706">
      <w:pPr>
        <w:tabs>
          <w:tab w:val="left" w:pos="9270"/>
        </w:tabs>
        <w:spacing w:after="0"/>
        <w:rPr>
          <w:rFonts w:cs="Arial"/>
        </w:rPr>
      </w:pPr>
    </w:p>
    <w:p w14:paraId="05E94F67" w14:textId="51C6F837" w:rsidR="002F1045" w:rsidRDefault="002F1045" w:rsidP="002F1045">
      <w:pPr>
        <w:tabs>
          <w:tab w:val="left" w:pos="9270"/>
        </w:tabs>
        <w:rPr>
          <w:rFonts w:cs="Arial"/>
        </w:rPr>
      </w:pPr>
      <w:r w:rsidRPr="006E6390">
        <w:rPr>
          <w:rFonts w:cs="Arial"/>
        </w:rPr>
        <w:t>De conformidad con el artículo 11 de la Constitución Política, los artículos 11 y 113 de la Ley General de la Administración Pública, Nº 6227, el artículo 13 inciso a) de la Ley de Control Interno Nº 8292, expresamente en los artículos 3 y 48 de la Ley contra la Corrupción y el Enriquecimiento Ilícito en la Función Pública Nº 8422 y las Directrices Generales sobre Principios y Enunciados Éticos a observar por parte de los jerarcas, titulares subordinados, funcionarios de la Contraloría General de la República, auditorías internas y servidores públicos en general” Nº D-2-2004-CO emitidas por la Contraloría General de la República, no está permitido a los funcionarios públicos votar propuestas, arreglos o contratos en los que tenga interés o impliquen una compensación para sí mismo, incluso la legislación o administración en provecho propio está tipificada como delito en el artículo 48 de la Ley Nº 8422.</w:t>
      </w:r>
    </w:p>
    <w:p w14:paraId="6297DC56" w14:textId="52F50F21" w:rsidR="002F1045" w:rsidRPr="006E6390" w:rsidRDefault="002F1045" w:rsidP="002F1045">
      <w:pPr>
        <w:tabs>
          <w:tab w:val="left" w:pos="9270"/>
        </w:tabs>
        <w:jc w:val="left"/>
        <w:rPr>
          <w:rFonts w:cs="Arial"/>
          <w:b/>
          <w:bCs/>
          <w:kern w:val="32"/>
          <w:lang w:eastAsia="es-MX"/>
        </w:rPr>
      </w:pPr>
    </w:p>
    <w:p w14:paraId="76ECB8BD" w14:textId="77777777" w:rsidR="002F1045" w:rsidRPr="006E6390" w:rsidRDefault="002F1045" w:rsidP="00514A16">
      <w:pPr>
        <w:pStyle w:val="Ttulo1"/>
      </w:pPr>
      <w:bookmarkStart w:id="334" w:name="_Toc38630856"/>
      <w:r w:rsidRPr="006E6390">
        <w:t>8. Información financiera</w:t>
      </w:r>
      <w:bookmarkEnd w:id="330"/>
      <w:bookmarkEnd w:id="334"/>
    </w:p>
    <w:p w14:paraId="72782145" w14:textId="77777777" w:rsidR="002F1045" w:rsidRPr="006E6390" w:rsidRDefault="002F1045" w:rsidP="002F1045">
      <w:pPr>
        <w:pStyle w:val="Ttulo2"/>
        <w:tabs>
          <w:tab w:val="left" w:pos="9270"/>
        </w:tabs>
        <w:rPr>
          <w:rFonts w:cs="Arial"/>
          <w:szCs w:val="22"/>
        </w:rPr>
      </w:pPr>
      <w:bookmarkStart w:id="335" w:name="_Toc262483916"/>
      <w:bookmarkStart w:id="336" w:name="_Toc38630857"/>
      <w:r w:rsidRPr="006E6390">
        <w:rPr>
          <w:rFonts w:cs="Arial"/>
          <w:szCs w:val="22"/>
        </w:rPr>
        <w:t>8.1 Periodicidad de la información a los inversionistas</w:t>
      </w:r>
      <w:bookmarkEnd w:id="335"/>
      <w:bookmarkEnd w:id="336"/>
    </w:p>
    <w:p w14:paraId="05A14297" w14:textId="77777777" w:rsidR="002F1045" w:rsidRPr="006E6390" w:rsidRDefault="002F1045" w:rsidP="002F1045">
      <w:pPr>
        <w:rPr>
          <w:rFonts w:eastAsia="Calibri" w:cs="Arial"/>
        </w:rPr>
      </w:pPr>
      <w:r w:rsidRPr="006E6390">
        <w:rPr>
          <w:rFonts w:eastAsia="Calibri" w:cs="Arial"/>
        </w:rPr>
        <w:t xml:space="preserve">Señor inversionista, la siguiente información sobre </w:t>
      </w:r>
      <w:r w:rsidRPr="006E6390">
        <w:rPr>
          <w:rFonts w:cs="Arial"/>
        </w:rPr>
        <w:t>RECOPE</w:t>
      </w:r>
      <w:r w:rsidRPr="006E6390">
        <w:rPr>
          <w:rFonts w:eastAsia="Calibri" w:cs="Arial"/>
        </w:rPr>
        <w:t xml:space="preserve"> y su situación financiera estará a su disposición en la empresa emisora y en la Superintendencia General de Valores:</w:t>
      </w:r>
    </w:p>
    <w:p w14:paraId="16844B56" w14:textId="77777777" w:rsidR="002F1045" w:rsidRPr="006E6390" w:rsidRDefault="002F1045" w:rsidP="002F1045">
      <w:pPr>
        <w:pStyle w:val="Prrafodelista"/>
        <w:numPr>
          <w:ilvl w:val="0"/>
          <w:numId w:val="34"/>
        </w:numPr>
        <w:spacing w:after="120"/>
        <w:ind w:left="357" w:hanging="357"/>
        <w:contextualSpacing w:val="0"/>
        <w:rPr>
          <w:rFonts w:eastAsia="Calibri" w:cs="Arial"/>
        </w:rPr>
      </w:pPr>
      <w:r w:rsidRPr="006E6390">
        <w:rPr>
          <w:rFonts w:eastAsia="Calibri" w:cs="Arial"/>
        </w:rPr>
        <w:t xml:space="preserve">Hechos relevantes en el momento en que </w:t>
      </w:r>
      <w:r w:rsidRPr="006E6390">
        <w:rPr>
          <w:rFonts w:cs="Arial"/>
        </w:rPr>
        <w:t>RECOPE</w:t>
      </w:r>
      <w:r w:rsidRPr="006E6390">
        <w:rPr>
          <w:rFonts w:eastAsia="Calibri" w:cs="Arial"/>
        </w:rPr>
        <w:t xml:space="preserve"> tenga conocimiento de los mismos y los hará del conocimiento público. </w:t>
      </w:r>
    </w:p>
    <w:p w14:paraId="6C4AE9B9" w14:textId="77777777" w:rsidR="002F1045" w:rsidRPr="006E6390" w:rsidRDefault="002F1045" w:rsidP="002F1045">
      <w:pPr>
        <w:pStyle w:val="Prrafodelista"/>
        <w:numPr>
          <w:ilvl w:val="0"/>
          <w:numId w:val="34"/>
        </w:numPr>
        <w:spacing w:after="120"/>
        <w:ind w:left="357" w:hanging="357"/>
        <w:contextualSpacing w:val="0"/>
        <w:rPr>
          <w:rFonts w:eastAsia="Calibri" w:cs="Arial"/>
        </w:rPr>
      </w:pPr>
      <w:r w:rsidRPr="006E6390">
        <w:rPr>
          <w:rFonts w:eastAsia="Calibri" w:cs="Arial"/>
        </w:rPr>
        <w:t>Prospecto actualizado con la última información a disposición de la empresa.</w:t>
      </w:r>
    </w:p>
    <w:p w14:paraId="10F542FD" w14:textId="77777777" w:rsidR="002F1045" w:rsidRPr="006E6390" w:rsidRDefault="002F1045" w:rsidP="002F1045">
      <w:pPr>
        <w:pStyle w:val="Prrafodelista"/>
        <w:numPr>
          <w:ilvl w:val="0"/>
          <w:numId w:val="34"/>
        </w:numPr>
        <w:spacing w:after="120"/>
        <w:ind w:left="357" w:hanging="357"/>
        <w:contextualSpacing w:val="0"/>
        <w:rPr>
          <w:rFonts w:eastAsia="Calibri" w:cs="Arial"/>
        </w:rPr>
      </w:pPr>
      <w:r w:rsidRPr="006E6390">
        <w:rPr>
          <w:rFonts w:eastAsia="Calibri" w:cs="Arial"/>
        </w:rPr>
        <w:t>Estados Financieros auditados anuales.</w:t>
      </w:r>
    </w:p>
    <w:p w14:paraId="2C17A33A" w14:textId="77777777" w:rsidR="002F1045" w:rsidRPr="006E6390" w:rsidRDefault="002F1045" w:rsidP="002F1045">
      <w:pPr>
        <w:pStyle w:val="Prrafodelista"/>
        <w:numPr>
          <w:ilvl w:val="0"/>
          <w:numId w:val="34"/>
        </w:numPr>
        <w:spacing w:after="120"/>
        <w:ind w:left="357" w:hanging="357"/>
        <w:contextualSpacing w:val="0"/>
        <w:rPr>
          <w:rFonts w:eastAsia="Calibri" w:cs="Arial"/>
        </w:rPr>
      </w:pPr>
      <w:r w:rsidRPr="006E6390">
        <w:rPr>
          <w:rFonts w:eastAsia="Calibri" w:cs="Arial"/>
        </w:rPr>
        <w:t>Flujo de Caja anual proyectado y flujos de caja reales trimestrales.</w:t>
      </w:r>
    </w:p>
    <w:p w14:paraId="21DDAE35" w14:textId="77777777" w:rsidR="002F1045" w:rsidRPr="006E6390" w:rsidRDefault="002F1045" w:rsidP="002F1045">
      <w:pPr>
        <w:pStyle w:val="Prrafodelista"/>
        <w:numPr>
          <w:ilvl w:val="0"/>
          <w:numId w:val="34"/>
        </w:numPr>
        <w:ind w:left="357" w:hanging="357"/>
        <w:contextualSpacing w:val="0"/>
        <w:rPr>
          <w:rFonts w:eastAsia="Calibri" w:cs="Arial"/>
        </w:rPr>
      </w:pPr>
      <w:r w:rsidRPr="006E6390">
        <w:rPr>
          <w:rFonts w:eastAsia="Calibri" w:cs="Arial"/>
        </w:rPr>
        <w:t>Estados Financieros no auditados trimestralmente.</w:t>
      </w:r>
    </w:p>
    <w:p w14:paraId="5070DB54" w14:textId="77777777" w:rsidR="002F1045" w:rsidRPr="006E6390" w:rsidRDefault="002F1045" w:rsidP="002F1045">
      <w:pPr>
        <w:rPr>
          <w:rFonts w:cs="Arial"/>
        </w:rPr>
      </w:pPr>
      <w:r w:rsidRPr="006E6390">
        <w:rPr>
          <w:rFonts w:eastAsia="Calibri" w:cs="Arial"/>
        </w:rPr>
        <w:t>Cualquier consulta sobre la misma, se puede remitir a las oficinas del emisor o de la Superintendencia.</w:t>
      </w:r>
    </w:p>
    <w:p w14:paraId="149B0893" w14:textId="77777777" w:rsidR="002F1045" w:rsidRPr="006E6390" w:rsidRDefault="002F1045" w:rsidP="002F1045">
      <w:pPr>
        <w:rPr>
          <w:rFonts w:cs="Arial"/>
        </w:rPr>
      </w:pPr>
    </w:p>
    <w:sectPr w:rsidR="002F1045" w:rsidRPr="006E6390" w:rsidSect="00A03F7A">
      <w:headerReference w:type="default" r:id="rId48"/>
      <w:footerReference w:type="default" r:id="rId49"/>
      <w:headerReference w:type="first" r:id="rId50"/>
      <w:footerReference w:type="first" r:id="rId51"/>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5F5B" w14:textId="77777777" w:rsidR="00F347B1" w:rsidRDefault="00F347B1" w:rsidP="003C4E20">
      <w:r>
        <w:separator/>
      </w:r>
    </w:p>
  </w:endnote>
  <w:endnote w:type="continuationSeparator" w:id="0">
    <w:p w14:paraId="2F91760E" w14:textId="77777777" w:rsidR="00F347B1" w:rsidRDefault="00F347B1" w:rsidP="003C4E20">
      <w:r>
        <w:continuationSeparator/>
      </w:r>
    </w:p>
  </w:endnote>
  <w:endnote w:type="continuationNotice" w:id="1">
    <w:p w14:paraId="6FC3DB6C" w14:textId="77777777" w:rsidR="00F347B1" w:rsidRDefault="00F34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ont345">
    <w:altName w:val="Times New Roman"/>
    <w:charset w:val="00"/>
    <w:family w:val="auto"/>
    <w:pitch w:val="variable"/>
  </w:font>
  <w:font w:name="Mangal">
    <w:altName w:val="Cambria"/>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CIDFont+F3">
    <w:altName w:val="Calibr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C5D1" w14:textId="77777777" w:rsidR="00640333" w:rsidRDefault="00640333" w:rsidP="003C4E20">
    <w:pPr>
      <w:pStyle w:val="Piedepgina"/>
    </w:pPr>
  </w:p>
  <w:p w14:paraId="2F86A217" w14:textId="77777777" w:rsidR="00640333" w:rsidRPr="0081270E" w:rsidRDefault="00640333" w:rsidP="00C05F5B">
    <w:pPr>
      <w:pStyle w:val="Piedepgina"/>
      <w:jc w:val="center"/>
      <w:rPr>
        <w:rFonts w:ascii="Helvetica" w:hAnsi="Helvetica"/>
        <w:sz w:val="18"/>
        <w:szCs w:val="20"/>
      </w:rPr>
    </w:pPr>
    <w:r w:rsidRPr="0081270E">
      <w:rPr>
        <w:rFonts w:ascii="Helvetica" w:hAnsi="Helvetica"/>
        <w:sz w:val="18"/>
        <w:szCs w:val="20"/>
      </w:rPr>
      <w:t xml:space="preserve">Prospecto de Inversión de la Refinadora Costarricense de Petróleo S.A., Página </w:t>
    </w:r>
    <w:r w:rsidRPr="0081270E">
      <w:rPr>
        <w:rFonts w:ascii="Helvetica" w:hAnsi="Helvetica"/>
        <w:sz w:val="18"/>
        <w:szCs w:val="20"/>
      </w:rPr>
      <w:fldChar w:fldCharType="begin"/>
    </w:r>
    <w:r w:rsidRPr="0081270E">
      <w:rPr>
        <w:rFonts w:ascii="Helvetica" w:hAnsi="Helvetica"/>
        <w:sz w:val="18"/>
        <w:szCs w:val="20"/>
      </w:rPr>
      <w:instrText xml:space="preserve"> PAGE </w:instrText>
    </w:r>
    <w:r w:rsidRPr="0081270E">
      <w:rPr>
        <w:rFonts w:ascii="Helvetica" w:hAnsi="Helvetica"/>
        <w:sz w:val="18"/>
        <w:szCs w:val="20"/>
      </w:rPr>
      <w:fldChar w:fldCharType="separate"/>
    </w:r>
    <w:r>
      <w:rPr>
        <w:rFonts w:ascii="Helvetica" w:hAnsi="Helvetica"/>
        <w:noProof/>
        <w:sz w:val="18"/>
        <w:szCs w:val="20"/>
      </w:rPr>
      <w:t>2</w:t>
    </w:r>
    <w:r w:rsidRPr="0081270E">
      <w:rPr>
        <w:rFonts w:ascii="Helvetica" w:hAnsi="Helvetica"/>
        <w:sz w:val="18"/>
        <w:szCs w:val="20"/>
      </w:rPr>
      <w:fldChar w:fldCharType="end"/>
    </w:r>
    <w:r w:rsidRPr="0081270E">
      <w:rPr>
        <w:rFonts w:ascii="Helvetica" w:hAnsi="Helvetica"/>
        <w:sz w:val="18"/>
        <w:szCs w:val="20"/>
      </w:rPr>
      <w:t xml:space="preserve"> de </w:t>
    </w:r>
    <w:r w:rsidRPr="0081270E">
      <w:rPr>
        <w:rFonts w:ascii="Helvetica" w:hAnsi="Helvetica"/>
        <w:sz w:val="18"/>
        <w:szCs w:val="20"/>
      </w:rPr>
      <w:fldChar w:fldCharType="begin"/>
    </w:r>
    <w:r w:rsidRPr="0081270E">
      <w:rPr>
        <w:rFonts w:ascii="Helvetica" w:hAnsi="Helvetica"/>
        <w:sz w:val="18"/>
        <w:szCs w:val="20"/>
      </w:rPr>
      <w:instrText xml:space="preserve"> NUMPAGES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75A" w14:textId="77777777" w:rsidR="00640333" w:rsidRDefault="00640333" w:rsidP="00DF3514">
    <w:pPr>
      <w:pStyle w:val="Piedepgina"/>
    </w:pPr>
  </w:p>
  <w:p w14:paraId="32BB9BC4" w14:textId="77777777" w:rsidR="00640333" w:rsidRPr="00251234" w:rsidRDefault="00640333" w:rsidP="00251234">
    <w:pPr>
      <w:pStyle w:val="Piedepgina"/>
      <w:jc w:val="center"/>
      <w:rPr>
        <w:rFonts w:ascii="Helvetica" w:hAnsi="Helvetica"/>
        <w:sz w:val="20"/>
        <w:szCs w:val="20"/>
      </w:rPr>
    </w:pPr>
    <w:r w:rsidRPr="00251234">
      <w:rPr>
        <w:rFonts w:ascii="Helvetica" w:hAnsi="Helvetica"/>
        <w:sz w:val="20"/>
        <w:szCs w:val="20"/>
      </w:rPr>
      <w:t xml:space="preserve">Prospecto de Inversión de la Refinadora Costarricense de Petróleo S.A., Página </w:t>
    </w:r>
    <w:r w:rsidRPr="00251234">
      <w:rPr>
        <w:rFonts w:ascii="Helvetica" w:hAnsi="Helvetica"/>
        <w:sz w:val="20"/>
        <w:szCs w:val="20"/>
      </w:rPr>
      <w:fldChar w:fldCharType="begin"/>
    </w:r>
    <w:r w:rsidRPr="00251234">
      <w:rPr>
        <w:rFonts w:ascii="Helvetica" w:hAnsi="Helvetica"/>
        <w:sz w:val="20"/>
        <w:szCs w:val="20"/>
      </w:rPr>
      <w:instrText xml:space="preserve"> PAGE </w:instrText>
    </w:r>
    <w:r w:rsidRPr="00251234">
      <w:rPr>
        <w:rFonts w:ascii="Helvetica" w:hAnsi="Helvetica"/>
        <w:sz w:val="20"/>
        <w:szCs w:val="20"/>
      </w:rPr>
      <w:fldChar w:fldCharType="separate"/>
    </w:r>
    <w:r>
      <w:rPr>
        <w:rFonts w:ascii="Helvetica" w:hAnsi="Helvetica"/>
        <w:noProof/>
        <w:sz w:val="20"/>
        <w:szCs w:val="20"/>
      </w:rPr>
      <w:t>1</w:t>
    </w:r>
    <w:r w:rsidRPr="00251234">
      <w:rPr>
        <w:rFonts w:ascii="Helvetica" w:hAnsi="Helvetica"/>
        <w:sz w:val="20"/>
        <w:szCs w:val="20"/>
      </w:rPr>
      <w:fldChar w:fldCharType="end"/>
    </w:r>
    <w:r w:rsidRPr="00251234">
      <w:rPr>
        <w:rFonts w:ascii="Helvetica" w:hAnsi="Helvetica"/>
        <w:sz w:val="20"/>
        <w:szCs w:val="20"/>
      </w:rPr>
      <w:t xml:space="preserve"> de </w:t>
    </w:r>
    <w:r w:rsidRPr="00251234">
      <w:rPr>
        <w:rFonts w:ascii="Helvetica" w:hAnsi="Helvetica"/>
        <w:sz w:val="20"/>
        <w:szCs w:val="20"/>
      </w:rPr>
      <w:fldChar w:fldCharType="begin"/>
    </w:r>
    <w:r w:rsidRPr="00251234">
      <w:rPr>
        <w:rFonts w:ascii="Helvetica" w:hAnsi="Helvetica"/>
        <w:sz w:val="20"/>
        <w:szCs w:val="20"/>
      </w:rPr>
      <w:instrText xml:space="preserve"> NUMPAGES  </w:instrText>
    </w:r>
    <w:r w:rsidRPr="00251234">
      <w:rPr>
        <w:rFonts w:ascii="Helvetica" w:hAnsi="Helvetica"/>
        <w:sz w:val="20"/>
        <w:szCs w:val="20"/>
      </w:rPr>
      <w:fldChar w:fldCharType="separate"/>
    </w:r>
    <w:r>
      <w:rPr>
        <w:rFonts w:ascii="Helvetica" w:hAnsi="Helvetica"/>
        <w:noProof/>
        <w:sz w:val="20"/>
        <w:szCs w:val="20"/>
      </w:rPr>
      <w:t>146</w:t>
    </w:r>
    <w:r w:rsidRPr="00251234">
      <w:rPr>
        <w:rFonts w:ascii="Helvetica" w:hAnsi="Helvetica"/>
        <w:sz w:val="20"/>
        <w:szCs w:val="20"/>
      </w:rPr>
      <w:fldChar w:fldCharType="end"/>
    </w:r>
  </w:p>
  <w:p w14:paraId="62538066" w14:textId="77777777" w:rsidR="00640333" w:rsidRDefault="00640333" w:rsidP="003C4E2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FD30" w14:textId="77777777" w:rsidR="00640333" w:rsidRDefault="00640333" w:rsidP="003C4E20">
    <w:pPr>
      <w:pStyle w:val="Piedepgina"/>
    </w:pPr>
  </w:p>
  <w:p w14:paraId="265A1279" w14:textId="77777777" w:rsidR="00640333" w:rsidRPr="0081270E" w:rsidRDefault="00640333" w:rsidP="00C05F5B">
    <w:pPr>
      <w:pStyle w:val="Piedepgina"/>
      <w:jc w:val="center"/>
      <w:rPr>
        <w:rFonts w:ascii="Helvetica" w:hAnsi="Helvetica"/>
        <w:sz w:val="18"/>
        <w:szCs w:val="20"/>
      </w:rPr>
    </w:pPr>
    <w:r w:rsidRPr="0081270E">
      <w:rPr>
        <w:rFonts w:ascii="Helvetica" w:hAnsi="Helvetica"/>
        <w:sz w:val="18"/>
        <w:szCs w:val="20"/>
      </w:rPr>
      <w:t xml:space="preserve">Prospecto de Inversión de la Refinadora Costarricense de Petróleo S.A., Página </w:t>
    </w:r>
    <w:r w:rsidRPr="0081270E">
      <w:rPr>
        <w:rFonts w:ascii="Helvetica" w:hAnsi="Helvetica"/>
        <w:sz w:val="18"/>
        <w:szCs w:val="20"/>
      </w:rPr>
      <w:fldChar w:fldCharType="begin"/>
    </w:r>
    <w:r w:rsidRPr="0081270E">
      <w:rPr>
        <w:rFonts w:ascii="Helvetica" w:hAnsi="Helvetica"/>
        <w:sz w:val="18"/>
        <w:szCs w:val="20"/>
      </w:rPr>
      <w:instrText xml:space="preserve"> PAGE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r w:rsidRPr="0081270E">
      <w:rPr>
        <w:rFonts w:ascii="Helvetica" w:hAnsi="Helvetica"/>
        <w:sz w:val="18"/>
        <w:szCs w:val="20"/>
      </w:rPr>
      <w:t xml:space="preserve"> de </w:t>
    </w:r>
    <w:r w:rsidRPr="0081270E">
      <w:rPr>
        <w:rFonts w:ascii="Helvetica" w:hAnsi="Helvetica"/>
        <w:sz w:val="18"/>
        <w:szCs w:val="20"/>
      </w:rPr>
      <w:fldChar w:fldCharType="begin"/>
    </w:r>
    <w:r w:rsidRPr="0081270E">
      <w:rPr>
        <w:rFonts w:ascii="Helvetica" w:hAnsi="Helvetica"/>
        <w:sz w:val="18"/>
        <w:szCs w:val="20"/>
      </w:rPr>
      <w:instrText xml:space="preserve"> NUMPAGES  </w:instrText>
    </w:r>
    <w:r w:rsidRPr="0081270E">
      <w:rPr>
        <w:rFonts w:ascii="Helvetica" w:hAnsi="Helvetica"/>
        <w:sz w:val="18"/>
        <w:szCs w:val="20"/>
      </w:rPr>
      <w:fldChar w:fldCharType="separate"/>
    </w:r>
    <w:r>
      <w:rPr>
        <w:rFonts w:ascii="Helvetica" w:hAnsi="Helvetica"/>
        <w:noProof/>
        <w:sz w:val="18"/>
        <w:szCs w:val="20"/>
      </w:rPr>
      <w:t>146</w:t>
    </w:r>
    <w:r w:rsidRPr="0081270E">
      <w:rPr>
        <w:rFonts w:ascii="Helvetica" w:hAnsi="Helvetica"/>
        <w:sz w:val="18"/>
        <w:szCs w:val="20"/>
      </w:rPr>
      <w:fldChar w:fldCharType="end"/>
    </w:r>
  </w:p>
  <w:p w14:paraId="6883857F" w14:textId="77777777" w:rsidR="00640333" w:rsidRPr="005A4F37" w:rsidRDefault="00640333" w:rsidP="003C4E20">
    <w:pPr>
      <w:pStyle w:val="Piedepgina"/>
      <w:rPr>
        <w:rFonts w:ascii="Helvetica" w:hAnsi="Helvetic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9750" w14:textId="77777777" w:rsidR="00640333" w:rsidRDefault="00640333" w:rsidP="00DF3514">
    <w:pPr>
      <w:pStyle w:val="Piedepgina"/>
    </w:pPr>
  </w:p>
  <w:p w14:paraId="640CB86B" w14:textId="77777777" w:rsidR="00640333" w:rsidRPr="00251234" w:rsidRDefault="00640333" w:rsidP="00251234">
    <w:pPr>
      <w:pStyle w:val="Piedepgina"/>
      <w:jc w:val="center"/>
      <w:rPr>
        <w:rFonts w:ascii="Helvetica" w:hAnsi="Helvetica"/>
        <w:sz w:val="20"/>
        <w:szCs w:val="20"/>
      </w:rPr>
    </w:pPr>
    <w:r w:rsidRPr="00251234">
      <w:rPr>
        <w:rFonts w:ascii="Helvetica" w:hAnsi="Helvetica"/>
        <w:sz w:val="20"/>
        <w:szCs w:val="20"/>
      </w:rPr>
      <w:t xml:space="preserve">Prospecto de Inversión de la Refinadora Costarricense de Petróleo S.A.,  Página </w:t>
    </w:r>
    <w:r w:rsidRPr="00251234">
      <w:rPr>
        <w:rFonts w:ascii="Helvetica" w:hAnsi="Helvetica"/>
        <w:sz w:val="20"/>
        <w:szCs w:val="20"/>
      </w:rPr>
      <w:fldChar w:fldCharType="begin"/>
    </w:r>
    <w:r w:rsidRPr="00251234">
      <w:rPr>
        <w:rFonts w:ascii="Helvetica" w:hAnsi="Helvetica"/>
        <w:sz w:val="20"/>
        <w:szCs w:val="20"/>
      </w:rPr>
      <w:instrText xml:space="preserve"> PAGE </w:instrText>
    </w:r>
    <w:r w:rsidRPr="00251234">
      <w:rPr>
        <w:rFonts w:ascii="Helvetica" w:hAnsi="Helvetica"/>
        <w:sz w:val="20"/>
        <w:szCs w:val="20"/>
      </w:rPr>
      <w:fldChar w:fldCharType="separate"/>
    </w:r>
    <w:r>
      <w:rPr>
        <w:rFonts w:ascii="Helvetica" w:hAnsi="Helvetica"/>
        <w:noProof/>
        <w:sz w:val="20"/>
        <w:szCs w:val="20"/>
      </w:rPr>
      <w:t>82</w:t>
    </w:r>
    <w:r w:rsidRPr="00251234">
      <w:rPr>
        <w:rFonts w:ascii="Helvetica" w:hAnsi="Helvetica"/>
        <w:sz w:val="20"/>
        <w:szCs w:val="20"/>
      </w:rPr>
      <w:fldChar w:fldCharType="end"/>
    </w:r>
    <w:r w:rsidRPr="00251234">
      <w:rPr>
        <w:rFonts w:ascii="Helvetica" w:hAnsi="Helvetica"/>
        <w:sz w:val="20"/>
        <w:szCs w:val="20"/>
      </w:rPr>
      <w:t xml:space="preserve"> de </w:t>
    </w:r>
    <w:r w:rsidRPr="00251234">
      <w:rPr>
        <w:rFonts w:ascii="Helvetica" w:hAnsi="Helvetica"/>
        <w:sz w:val="20"/>
        <w:szCs w:val="20"/>
      </w:rPr>
      <w:fldChar w:fldCharType="begin"/>
    </w:r>
    <w:r w:rsidRPr="00251234">
      <w:rPr>
        <w:rFonts w:ascii="Helvetica" w:hAnsi="Helvetica"/>
        <w:sz w:val="20"/>
        <w:szCs w:val="20"/>
      </w:rPr>
      <w:instrText xml:space="preserve"> NUMPAGES  </w:instrText>
    </w:r>
    <w:r w:rsidRPr="00251234">
      <w:rPr>
        <w:rFonts w:ascii="Helvetica" w:hAnsi="Helvetica"/>
        <w:sz w:val="20"/>
        <w:szCs w:val="20"/>
      </w:rPr>
      <w:fldChar w:fldCharType="separate"/>
    </w:r>
    <w:r>
      <w:rPr>
        <w:rFonts w:ascii="Helvetica" w:hAnsi="Helvetica"/>
        <w:noProof/>
        <w:sz w:val="20"/>
        <w:szCs w:val="20"/>
      </w:rPr>
      <w:t>95</w:t>
    </w:r>
    <w:r w:rsidRPr="00251234">
      <w:rPr>
        <w:rFonts w:ascii="Helvetica" w:hAnsi="Helvetica"/>
        <w:sz w:val="20"/>
        <w:szCs w:val="20"/>
      </w:rPr>
      <w:fldChar w:fldCharType="end"/>
    </w:r>
  </w:p>
  <w:p w14:paraId="570BD156" w14:textId="77777777" w:rsidR="00640333" w:rsidRDefault="00640333" w:rsidP="003C4E20">
    <w:pPr>
      <w:pStyle w:val="Piedepgina"/>
    </w:pPr>
  </w:p>
  <w:p w14:paraId="7B6AC2BB" w14:textId="77777777" w:rsidR="00640333" w:rsidRDefault="006403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FC81E" w14:textId="77777777" w:rsidR="00F347B1" w:rsidRDefault="00F347B1" w:rsidP="003C4E20">
      <w:r>
        <w:separator/>
      </w:r>
    </w:p>
  </w:footnote>
  <w:footnote w:type="continuationSeparator" w:id="0">
    <w:p w14:paraId="63EB8CF0" w14:textId="77777777" w:rsidR="00F347B1" w:rsidRDefault="00F347B1" w:rsidP="003C4E20">
      <w:r>
        <w:continuationSeparator/>
      </w:r>
    </w:p>
  </w:footnote>
  <w:footnote w:type="continuationNotice" w:id="1">
    <w:p w14:paraId="0D3E87A0" w14:textId="77777777" w:rsidR="00F347B1" w:rsidRDefault="00F347B1">
      <w:pPr>
        <w:spacing w:after="0" w:line="240" w:lineRule="auto"/>
      </w:pPr>
    </w:p>
  </w:footnote>
  <w:footnote w:id="2">
    <w:p w14:paraId="5A403345" w14:textId="77777777" w:rsidR="00640333" w:rsidRPr="00FD48E2" w:rsidRDefault="00640333" w:rsidP="00873CC3">
      <w:pPr>
        <w:pStyle w:val="Textonotapie"/>
        <w:rPr>
          <w:rFonts w:cs="Arial"/>
        </w:rPr>
      </w:pPr>
      <w:r w:rsidRPr="0045024D">
        <w:rPr>
          <w:rStyle w:val="Refdenotaalpie"/>
          <w:rFonts w:ascii="Helvetica" w:hAnsi="Helvetica" w:cs="Helvetica"/>
          <w:sz w:val="18"/>
          <w:szCs w:val="18"/>
        </w:rPr>
        <w:footnoteRef/>
      </w:r>
      <w:r w:rsidRPr="0045024D">
        <w:rPr>
          <w:rFonts w:ascii="Helvetica" w:hAnsi="Helvetica" w:cs="Helvetica"/>
          <w:sz w:val="18"/>
          <w:szCs w:val="18"/>
        </w:rPr>
        <w:t>“</w:t>
      </w:r>
      <w:r w:rsidRPr="00FD48E2">
        <w:rPr>
          <w:rFonts w:cs="Arial"/>
        </w:rPr>
        <w:t xml:space="preserve">El precio paridad de importación corresponde, conceptualmente, con el precio que debería pagarse por la importación de un producto. La medición de ese precio puede realizarse en términos FOB o CIF. </w:t>
      </w:r>
      <w:r>
        <w:rPr>
          <w:rFonts w:cs="Arial"/>
        </w:rPr>
        <w:t xml:space="preserve"> </w:t>
      </w:r>
      <w:r w:rsidRPr="00FD48E2">
        <w:rPr>
          <w:rFonts w:cs="Arial"/>
        </w:rPr>
        <w:t>De esta manera, el precio interno de los combustibles se fija en función de ese precio. Lo que se busca es imponerle parámetros de eficiencia a la empresa, por lo que resulta importante definir el parámetro que servirá de medida de eficiencia. En el caso de RECOPE, ARESEP definió los precios publicados por Platt´sOilgram Price Report de la Costa del Golfo de los Estados Unidos de América. De esta forma, RECOPE debe buscar importar los combustibles o producirlos en la refinería a un precio igual o menor al precio de referencia, de lo contrario incurrirá en pérdidas operativas.</w:t>
      </w:r>
    </w:p>
    <w:p w14:paraId="6BFBCEE6" w14:textId="77777777" w:rsidR="00640333" w:rsidRPr="00FD48E2" w:rsidRDefault="00640333" w:rsidP="00873CC3">
      <w:pPr>
        <w:pStyle w:val="Textonotapie"/>
        <w:rPr>
          <w:rFonts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BD39" w14:textId="77777777" w:rsidR="00640333" w:rsidRPr="009E7E3B" w:rsidRDefault="00640333" w:rsidP="00AD1DA3">
    <w:pPr>
      <w:pStyle w:val="Encabezado"/>
    </w:pPr>
    <w:r w:rsidRPr="00010A98">
      <w:rPr>
        <w:noProof/>
      </w:rPr>
      <w:drawing>
        <wp:inline distT="0" distB="0" distL="0" distR="0" wp14:anchorId="7C87E896" wp14:editId="04F2CF24">
          <wp:extent cx="882000" cy="266400"/>
          <wp:effectExtent l="0" t="0" r="0" b="635"/>
          <wp:docPr id="10" name="Picture 10"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35B0" w14:textId="77777777" w:rsidR="00640333" w:rsidRDefault="00640333">
    <w:pPr>
      <w:pStyle w:val="Encabezado"/>
    </w:pPr>
    <w:r w:rsidRPr="00010A98">
      <w:rPr>
        <w:noProof/>
      </w:rPr>
      <w:drawing>
        <wp:inline distT="0" distB="0" distL="0" distR="0" wp14:anchorId="720139DE" wp14:editId="3415F6C8">
          <wp:extent cx="882000" cy="266400"/>
          <wp:effectExtent l="0" t="0" r="0" b="635"/>
          <wp:docPr id="11" name="Picture 11"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4BA9" w14:textId="77777777" w:rsidR="00640333" w:rsidRPr="0081270E" w:rsidRDefault="00640333" w:rsidP="0081270E">
    <w:pPr>
      <w:pStyle w:val="Encabezado"/>
    </w:pPr>
    <w:r w:rsidRPr="00010A98">
      <w:rPr>
        <w:noProof/>
      </w:rPr>
      <w:drawing>
        <wp:inline distT="0" distB="0" distL="0" distR="0" wp14:anchorId="49A91752" wp14:editId="76F07542">
          <wp:extent cx="882000" cy="266400"/>
          <wp:effectExtent l="0" t="0" r="0" b="635"/>
          <wp:docPr id="9" name="Picture 9" descr="Logo sin lema fo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ma fondo transparente.png"/>
                  <pic:cNvPicPr/>
                </pic:nvPicPr>
                <pic:blipFill>
                  <a:blip r:embed="rId1"/>
                  <a:stretch>
                    <a:fillRect/>
                  </a:stretch>
                </pic:blipFill>
                <pic:spPr>
                  <a:xfrm>
                    <a:off x="0" y="0"/>
                    <a:ext cx="882000" cy="266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8E7C" w14:textId="77777777" w:rsidR="00640333" w:rsidRDefault="00640333">
    <w:pPr>
      <w:pStyle w:val="Encabezado"/>
    </w:pPr>
    <w:r>
      <w:rPr>
        <w:noProof/>
      </w:rPr>
      <w:drawing>
        <wp:inline distT="0" distB="0" distL="0" distR="0" wp14:anchorId="01CF6854" wp14:editId="0CE22208">
          <wp:extent cx="1399429" cy="448436"/>
          <wp:effectExtent l="0" t="0" r="0" b="889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5_REC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9429" cy="448436"/>
                  </a:xfrm>
                  <a:prstGeom prst="rect">
                    <a:avLst/>
                  </a:prstGeom>
                </pic:spPr>
              </pic:pic>
            </a:graphicData>
          </a:graphic>
        </wp:inline>
      </w:drawing>
    </w:r>
  </w:p>
  <w:p w14:paraId="6B38F7C5" w14:textId="77777777" w:rsidR="00640333" w:rsidRDefault="00640333"/>
</w:hdr>
</file>

<file path=word/intelligence2.xml><?xml version="1.0" encoding="utf-8"?>
<int2:intelligence xmlns:int2="http://schemas.microsoft.com/office/intelligence/2020/intelligence" xmlns:oel="http://schemas.microsoft.com/office/2019/extlst">
  <int2:observations>
    <int2:textHash int2:hashCode="VJjZuW7Sgy4EqQ" int2:id="FCknMje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A4D6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91AC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9AD2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0CCF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4D5C9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1"/>
    <w:multiLevelType w:val="multilevel"/>
    <w:tmpl w:val="00000001"/>
    <w:name w:val="WWNum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2"/>
    <w:multiLevelType w:val="multilevel"/>
    <w:tmpl w:val="00000002"/>
    <w:name w:val="WWNum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23D0B58"/>
    <w:multiLevelType w:val="hybridMultilevel"/>
    <w:tmpl w:val="A4944812"/>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8" w15:restartNumberingAfterBreak="0">
    <w:nsid w:val="02BE5034"/>
    <w:multiLevelType w:val="hybridMultilevel"/>
    <w:tmpl w:val="368E699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32F4473"/>
    <w:multiLevelType w:val="hybridMultilevel"/>
    <w:tmpl w:val="84506E96"/>
    <w:lvl w:ilvl="0" w:tplc="CA8E281E">
      <w:start w:val="1"/>
      <w:numFmt w:val="lowerLetter"/>
      <w:lvlText w:val="%1."/>
      <w:lvlJc w:val="left"/>
      <w:pPr>
        <w:ind w:left="363" w:hanging="360"/>
      </w:pPr>
      <w:rPr>
        <w:rFonts w:hint="default"/>
        <w:u w:val="single"/>
      </w:rPr>
    </w:lvl>
    <w:lvl w:ilvl="1" w:tplc="140A0019" w:tentative="1">
      <w:start w:val="1"/>
      <w:numFmt w:val="lowerLetter"/>
      <w:lvlText w:val="%2."/>
      <w:lvlJc w:val="left"/>
      <w:pPr>
        <w:ind w:left="1083" w:hanging="360"/>
      </w:pPr>
    </w:lvl>
    <w:lvl w:ilvl="2" w:tplc="140A001B" w:tentative="1">
      <w:start w:val="1"/>
      <w:numFmt w:val="lowerRoman"/>
      <w:lvlText w:val="%3."/>
      <w:lvlJc w:val="right"/>
      <w:pPr>
        <w:ind w:left="1803" w:hanging="180"/>
      </w:pPr>
    </w:lvl>
    <w:lvl w:ilvl="3" w:tplc="140A000F" w:tentative="1">
      <w:start w:val="1"/>
      <w:numFmt w:val="decimal"/>
      <w:lvlText w:val="%4."/>
      <w:lvlJc w:val="left"/>
      <w:pPr>
        <w:ind w:left="2523" w:hanging="360"/>
      </w:pPr>
    </w:lvl>
    <w:lvl w:ilvl="4" w:tplc="140A0019" w:tentative="1">
      <w:start w:val="1"/>
      <w:numFmt w:val="lowerLetter"/>
      <w:lvlText w:val="%5."/>
      <w:lvlJc w:val="left"/>
      <w:pPr>
        <w:ind w:left="3243" w:hanging="360"/>
      </w:pPr>
    </w:lvl>
    <w:lvl w:ilvl="5" w:tplc="140A001B" w:tentative="1">
      <w:start w:val="1"/>
      <w:numFmt w:val="lowerRoman"/>
      <w:lvlText w:val="%6."/>
      <w:lvlJc w:val="right"/>
      <w:pPr>
        <w:ind w:left="3963" w:hanging="180"/>
      </w:pPr>
    </w:lvl>
    <w:lvl w:ilvl="6" w:tplc="140A000F" w:tentative="1">
      <w:start w:val="1"/>
      <w:numFmt w:val="decimal"/>
      <w:lvlText w:val="%7."/>
      <w:lvlJc w:val="left"/>
      <w:pPr>
        <w:ind w:left="4683" w:hanging="360"/>
      </w:pPr>
    </w:lvl>
    <w:lvl w:ilvl="7" w:tplc="140A0019" w:tentative="1">
      <w:start w:val="1"/>
      <w:numFmt w:val="lowerLetter"/>
      <w:lvlText w:val="%8."/>
      <w:lvlJc w:val="left"/>
      <w:pPr>
        <w:ind w:left="5403" w:hanging="360"/>
      </w:pPr>
    </w:lvl>
    <w:lvl w:ilvl="8" w:tplc="140A001B" w:tentative="1">
      <w:start w:val="1"/>
      <w:numFmt w:val="lowerRoman"/>
      <w:lvlText w:val="%9."/>
      <w:lvlJc w:val="right"/>
      <w:pPr>
        <w:ind w:left="6123" w:hanging="180"/>
      </w:pPr>
    </w:lvl>
  </w:abstractNum>
  <w:abstractNum w:abstractNumId="10" w15:restartNumberingAfterBreak="0">
    <w:nsid w:val="048A49B7"/>
    <w:multiLevelType w:val="hybridMultilevel"/>
    <w:tmpl w:val="EF94C9EE"/>
    <w:lvl w:ilvl="0" w:tplc="DC60DEDA">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1" w15:restartNumberingAfterBreak="0">
    <w:nsid w:val="04E02D4C"/>
    <w:multiLevelType w:val="hybridMultilevel"/>
    <w:tmpl w:val="122EF052"/>
    <w:lvl w:ilvl="0" w:tplc="AB822032">
      <w:start w:val="1"/>
      <w:numFmt w:val="decimal"/>
      <w:lvlText w:val="%1."/>
      <w:lvlJc w:val="left"/>
      <w:pPr>
        <w:ind w:left="720" w:hanging="360"/>
      </w:pPr>
      <w:rPr>
        <w:rFonts w:hint="default"/>
        <w:b w:val="0"/>
        <w:bCs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76B50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E4D5726"/>
    <w:multiLevelType w:val="hybridMultilevel"/>
    <w:tmpl w:val="35D8075C"/>
    <w:lvl w:ilvl="0" w:tplc="25CA3F42">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E8C4159"/>
    <w:multiLevelType w:val="hybridMultilevel"/>
    <w:tmpl w:val="7B76C1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FC4797F"/>
    <w:multiLevelType w:val="hybridMultilevel"/>
    <w:tmpl w:val="6B16A9D0"/>
    <w:lvl w:ilvl="0" w:tplc="D02EEE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236670"/>
    <w:multiLevelType w:val="multilevel"/>
    <w:tmpl w:val="353830E4"/>
    <w:lvl w:ilvl="0">
      <w:start w:val="1"/>
      <w:numFmt w:val="lowerRoman"/>
      <w:lvlText w:val="%1."/>
      <w:lvlJc w:val="right"/>
      <w:pPr>
        <w:ind w:left="284" w:hanging="284"/>
      </w:pPr>
      <w:rPr>
        <w:rFonts w:hint="default"/>
      </w:rPr>
    </w:lvl>
    <w:lvl w:ilvl="1">
      <w:start w:val="1"/>
      <w:numFmt w:val="lowerRoman"/>
      <w:lvlText w:val="%1.%2."/>
      <w:lvlJc w:val="left"/>
      <w:pPr>
        <w:ind w:left="737" w:hanging="397"/>
      </w:pPr>
      <w:rPr>
        <w:rFonts w:hint="default"/>
      </w:rPr>
    </w:lvl>
    <w:lvl w:ilvl="2">
      <w:start w:val="1"/>
      <w:numFmt w:val="decimal"/>
      <w:lvlText w:val="%1.%2.%3."/>
      <w:lvlJc w:val="left"/>
      <w:pPr>
        <w:ind w:left="1134"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7F207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A0A3921"/>
    <w:multiLevelType w:val="hybridMultilevel"/>
    <w:tmpl w:val="CB46F9A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A474A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CAD455C"/>
    <w:multiLevelType w:val="hybridMultilevel"/>
    <w:tmpl w:val="3D160676"/>
    <w:lvl w:ilvl="0" w:tplc="EC808122">
      <w:start w:val="1"/>
      <w:numFmt w:val="bullet"/>
      <w:lvlText w:val="•"/>
      <w:lvlJc w:val="left"/>
      <w:pPr>
        <w:ind w:left="927" w:hanging="360"/>
      </w:pPr>
      <w:rPr>
        <w:rFonts w:ascii="Times New Roman" w:hAnsi="Times New Roman"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21" w15:restartNumberingAfterBreak="0">
    <w:nsid w:val="1CC4F011"/>
    <w:multiLevelType w:val="hybridMultilevel"/>
    <w:tmpl w:val="FFFFFFFF"/>
    <w:lvl w:ilvl="0" w:tplc="FFFFFFFF">
      <w:start w:val="1"/>
      <w:numFmt w:val="lowerLetter"/>
      <w:lvlText w:val="%1)"/>
      <w:lvlJc w:val="left"/>
      <w:pPr>
        <w:ind w:left="360" w:hanging="360"/>
      </w:pPr>
    </w:lvl>
    <w:lvl w:ilvl="1" w:tplc="20AEF7E8">
      <w:start w:val="1"/>
      <w:numFmt w:val="lowerLetter"/>
      <w:lvlText w:val="%2."/>
      <w:lvlJc w:val="left"/>
      <w:pPr>
        <w:ind w:left="1440" w:hanging="360"/>
      </w:pPr>
    </w:lvl>
    <w:lvl w:ilvl="2" w:tplc="3E3616E4">
      <w:start w:val="1"/>
      <w:numFmt w:val="lowerRoman"/>
      <w:lvlText w:val="%3."/>
      <w:lvlJc w:val="right"/>
      <w:pPr>
        <w:ind w:left="2160" w:hanging="180"/>
      </w:pPr>
    </w:lvl>
    <w:lvl w:ilvl="3" w:tplc="6A141796">
      <w:start w:val="1"/>
      <w:numFmt w:val="decimal"/>
      <w:lvlText w:val="%4."/>
      <w:lvlJc w:val="left"/>
      <w:pPr>
        <w:ind w:left="2880" w:hanging="360"/>
      </w:pPr>
    </w:lvl>
    <w:lvl w:ilvl="4" w:tplc="5E4ACAC2">
      <w:start w:val="1"/>
      <w:numFmt w:val="lowerLetter"/>
      <w:lvlText w:val="%5."/>
      <w:lvlJc w:val="left"/>
      <w:pPr>
        <w:ind w:left="3600" w:hanging="360"/>
      </w:pPr>
    </w:lvl>
    <w:lvl w:ilvl="5" w:tplc="125EE72C">
      <w:start w:val="1"/>
      <w:numFmt w:val="lowerRoman"/>
      <w:lvlText w:val="%6."/>
      <w:lvlJc w:val="right"/>
      <w:pPr>
        <w:ind w:left="4320" w:hanging="180"/>
      </w:pPr>
    </w:lvl>
    <w:lvl w:ilvl="6" w:tplc="2CE0FD2E">
      <w:start w:val="1"/>
      <w:numFmt w:val="decimal"/>
      <w:lvlText w:val="%7."/>
      <w:lvlJc w:val="left"/>
      <w:pPr>
        <w:ind w:left="5040" w:hanging="360"/>
      </w:pPr>
    </w:lvl>
    <w:lvl w:ilvl="7" w:tplc="60E00C94">
      <w:start w:val="1"/>
      <w:numFmt w:val="lowerLetter"/>
      <w:lvlText w:val="%8."/>
      <w:lvlJc w:val="left"/>
      <w:pPr>
        <w:ind w:left="5760" w:hanging="360"/>
      </w:pPr>
    </w:lvl>
    <w:lvl w:ilvl="8" w:tplc="0584F0DA">
      <w:start w:val="1"/>
      <w:numFmt w:val="lowerRoman"/>
      <w:lvlText w:val="%9."/>
      <w:lvlJc w:val="right"/>
      <w:pPr>
        <w:ind w:left="6480" w:hanging="180"/>
      </w:pPr>
    </w:lvl>
  </w:abstractNum>
  <w:abstractNum w:abstractNumId="22" w15:restartNumberingAfterBreak="0">
    <w:nsid w:val="1E2025CE"/>
    <w:multiLevelType w:val="hybridMultilevel"/>
    <w:tmpl w:val="FFFFFFFF"/>
    <w:lvl w:ilvl="0" w:tplc="7E40DEF4">
      <w:start w:val="1"/>
      <w:numFmt w:val="lowerLetter"/>
      <w:lvlText w:val="%1)"/>
      <w:lvlJc w:val="left"/>
      <w:pPr>
        <w:ind w:left="360" w:hanging="360"/>
      </w:pPr>
    </w:lvl>
    <w:lvl w:ilvl="1" w:tplc="B9403DCC">
      <w:start w:val="1"/>
      <w:numFmt w:val="lowerLetter"/>
      <w:lvlText w:val="%2."/>
      <w:lvlJc w:val="left"/>
      <w:pPr>
        <w:ind w:left="1440" w:hanging="360"/>
      </w:pPr>
    </w:lvl>
    <w:lvl w:ilvl="2" w:tplc="45E253FA">
      <w:start w:val="1"/>
      <w:numFmt w:val="lowerRoman"/>
      <w:lvlText w:val="%3."/>
      <w:lvlJc w:val="right"/>
      <w:pPr>
        <w:ind w:left="2160" w:hanging="180"/>
      </w:pPr>
    </w:lvl>
    <w:lvl w:ilvl="3" w:tplc="15023FCE">
      <w:start w:val="1"/>
      <w:numFmt w:val="decimal"/>
      <w:lvlText w:val="%4."/>
      <w:lvlJc w:val="left"/>
      <w:pPr>
        <w:ind w:left="2880" w:hanging="360"/>
      </w:pPr>
    </w:lvl>
    <w:lvl w:ilvl="4" w:tplc="4BAC5D56">
      <w:start w:val="1"/>
      <w:numFmt w:val="lowerLetter"/>
      <w:lvlText w:val="%5."/>
      <w:lvlJc w:val="left"/>
      <w:pPr>
        <w:ind w:left="3600" w:hanging="360"/>
      </w:pPr>
    </w:lvl>
    <w:lvl w:ilvl="5" w:tplc="1CB6BB66">
      <w:start w:val="1"/>
      <w:numFmt w:val="lowerRoman"/>
      <w:lvlText w:val="%6."/>
      <w:lvlJc w:val="right"/>
      <w:pPr>
        <w:ind w:left="4320" w:hanging="180"/>
      </w:pPr>
    </w:lvl>
    <w:lvl w:ilvl="6" w:tplc="C60422A8">
      <w:start w:val="1"/>
      <w:numFmt w:val="decimal"/>
      <w:lvlText w:val="%7."/>
      <w:lvlJc w:val="left"/>
      <w:pPr>
        <w:ind w:left="5040" w:hanging="360"/>
      </w:pPr>
    </w:lvl>
    <w:lvl w:ilvl="7" w:tplc="DD5CBE14">
      <w:start w:val="1"/>
      <w:numFmt w:val="lowerLetter"/>
      <w:lvlText w:val="%8."/>
      <w:lvlJc w:val="left"/>
      <w:pPr>
        <w:ind w:left="5760" w:hanging="360"/>
      </w:pPr>
    </w:lvl>
    <w:lvl w:ilvl="8" w:tplc="B7141276">
      <w:start w:val="1"/>
      <w:numFmt w:val="lowerRoman"/>
      <w:lvlText w:val="%9."/>
      <w:lvlJc w:val="right"/>
      <w:pPr>
        <w:ind w:left="6480" w:hanging="180"/>
      </w:pPr>
    </w:lvl>
  </w:abstractNum>
  <w:abstractNum w:abstractNumId="23" w15:restartNumberingAfterBreak="0">
    <w:nsid w:val="1EF37E17"/>
    <w:multiLevelType w:val="hybridMultilevel"/>
    <w:tmpl w:val="0642527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19">
      <w:start w:val="1"/>
      <w:numFmt w:val="lowerLetter"/>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1F84F62"/>
    <w:multiLevelType w:val="hybridMultilevel"/>
    <w:tmpl w:val="5516853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19">
      <w:start w:val="1"/>
      <w:numFmt w:val="lowerLetter"/>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48594AB"/>
    <w:multiLevelType w:val="hybridMultilevel"/>
    <w:tmpl w:val="FFFFFFFF"/>
    <w:lvl w:ilvl="0" w:tplc="A6DCE69C">
      <w:start w:val="1"/>
      <w:numFmt w:val="lowerLetter"/>
      <w:lvlText w:val="%1)"/>
      <w:lvlJc w:val="left"/>
      <w:pPr>
        <w:ind w:left="360" w:hanging="360"/>
      </w:pPr>
    </w:lvl>
    <w:lvl w:ilvl="1" w:tplc="710EAA42">
      <w:start w:val="1"/>
      <w:numFmt w:val="lowerLetter"/>
      <w:lvlText w:val="%2."/>
      <w:lvlJc w:val="left"/>
      <w:pPr>
        <w:ind w:left="1440" w:hanging="360"/>
      </w:pPr>
    </w:lvl>
    <w:lvl w:ilvl="2" w:tplc="3B189286">
      <w:start w:val="1"/>
      <w:numFmt w:val="lowerRoman"/>
      <w:lvlText w:val="%3."/>
      <w:lvlJc w:val="right"/>
      <w:pPr>
        <w:ind w:left="2160" w:hanging="180"/>
      </w:pPr>
    </w:lvl>
    <w:lvl w:ilvl="3" w:tplc="B6C4200A">
      <w:start w:val="1"/>
      <w:numFmt w:val="decimal"/>
      <w:lvlText w:val="%4."/>
      <w:lvlJc w:val="left"/>
      <w:pPr>
        <w:ind w:left="2880" w:hanging="360"/>
      </w:pPr>
    </w:lvl>
    <w:lvl w:ilvl="4" w:tplc="846A6598">
      <w:start w:val="1"/>
      <w:numFmt w:val="lowerLetter"/>
      <w:lvlText w:val="%5."/>
      <w:lvlJc w:val="left"/>
      <w:pPr>
        <w:ind w:left="3600" w:hanging="360"/>
      </w:pPr>
    </w:lvl>
    <w:lvl w:ilvl="5" w:tplc="CE14832C">
      <w:start w:val="1"/>
      <w:numFmt w:val="lowerRoman"/>
      <w:lvlText w:val="%6."/>
      <w:lvlJc w:val="right"/>
      <w:pPr>
        <w:ind w:left="4320" w:hanging="180"/>
      </w:pPr>
    </w:lvl>
    <w:lvl w:ilvl="6" w:tplc="BB24D9DE">
      <w:start w:val="1"/>
      <w:numFmt w:val="decimal"/>
      <w:lvlText w:val="%7."/>
      <w:lvlJc w:val="left"/>
      <w:pPr>
        <w:ind w:left="5040" w:hanging="360"/>
      </w:pPr>
    </w:lvl>
    <w:lvl w:ilvl="7" w:tplc="A4A8348C">
      <w:start w:val="1"/>
      <w:numFmt w:val="lowerLetter"/>
      <w:lvlText w:val="%8."/>
      <w:lvlJc w:val="left"/>
      <w:pPr>
        <w:ind w:left="5760" w:hanging="360"/>
      </w:pPr>
    </w:lvl>
    <w:lvl w:ilvl="8" w:tplc="60D8B648">
      <w:start w:val="1"/>
      <w:numFmt w:val="lowerRoman"/>
      <w:lvlText w:val="%9."/>
      <w:lvlJc w:val="right"/>
      <w:pPr>
        <w:ind w:left="6480" w:hanging="180"/>
      </w:pPr>
    </w:lvl>
  </w:abstractNum>
  <w:abstractNum w:abstractNumId="26" w15:restartNumberingAfterBreak="0">
    <w:nsid w:val="25E03083"/>
    <w:multiLevelType w:val="hybridMultilevel"/>
    <w:tmpl w:val="9160BA0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15:restartNumberingAfterBreak="0">
    <w:nsid w:val="27CF5EF4"/>
    <w:multiLevelType w:val="hybridMultilevel"/>
    <w:tmpl w:val="06B233E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284A51B7"/>
    <w:multiLevelType w:val="hybridMultilevel"/>
    <w:tmpl w:val="1D2CA752"/>
    <w:lvl w:ilvl="0" w:tplc="140A0001">
      <w:start w:val="1"/>
      <w:numFmt w:val="bullet"/>
      <w:lvlText w:val=""/>
      <w:lvlJc w:val="left"/>
      <w:pPr>
        <w:ind w:left="9149" w:hanging="360"/>
      </w:pPr>
      <w:rPr>
        <w:rFonts w:ascii="Symbol" w:hAnsi="Symbol" w:hint="default"/>
      </w:rPr>
    </w:lvl>
    <w:lvl w:ilvl="1" w:tplc="140A0003" w:tentative="1">
      <w:start w:val="1"/>
      <w:numFmt w:val="bullet"/>
      <w:lvlText w:val="o"/>
      <w:lvlJc w:val="left"/>
      <w:pPr>
        <w:ind w:left="9869" w:hanging="360"/>
      </w:pPr>
      <w:rPr>
        <w:rFonts w:ascii="Courier New" w:hAnsi="Courier New" w:hint="default"/>
      </w:rPr>
    </w:lvl>
    <w:lvl w:ilvl="2" w:tplc="140A0005" w:tentative="1">
      <w:start w:val="1"/>
      <w:numFmt w:val="bullet"/>
      <w:lvlText w:val=""/>
      <w:lvlJc w:val="left"/>
      <w:pPr>
        <w:ind w:left="10589" w:hanging="360"/>
      </w:pPr>
      <w:rPr>
        <w:rFonts w:ascii="Wingdings" w:hAnsi="Wingdings" w:hint="default"/>
      </w:rPr>
    </w:lvl>
    <w:lvl w:ilvl="3" w:tplc="140A0001" w:tentative="1">
      <w:start w:val="1"/>
      <w:numFmt w:val="bullet"/>
      <w:lvlText w:val=""/>
      <w:lvlJc w:val="left"/>
      <w:pPr>
        <w:ind w:left="11309" w:hanging="360"/>
      </w:pPr>
      <w:rPr>
        <w:rFonts w:ascii="Symbol" w:hAnsi="Symbol" w:hint="default"/>
      </w:rPr>
    </w:lvl>
    <w:lvl w:ilvl="4" w:tplc="140A0003" w:tentative="1">
      <w:start w:val="1"/>
      <w:numFmt w:val="bullet"/>
      <w:lvlText w:val="o"/>
      <w:lvlJc w:val="left"/>
      <w:pPr>
        <w:ind w:left="12029" w:hanging="360"/>
      </w:pPr>
      <w:rPr>
        <w:rFonts w:ascii="Courier New" w:hAnsi="Courier New" w:hint="default"/>
      </w:rPr>
    </w:lvl>
    <w:lvl w:ilvl="5" w:tplc="140A0005" w:tentative="1">
      <w:start w:val="1"/>
      <w:numFmt w:val="bullet"/>
      <w:lvlText w:val=""/>
      <w:lvlJc w:val="left"/>
      <w:pPr>
        <w:ind w:left="12749" w:hanging="360"/>
      </w:pPr>
      <w:rPr>
        <w:rFonts w:ascii="Wingdings" w:hAnsi="Wingdings" w:hint="default"/>
      </w:rPr>
    </w:lvl>
    <w:lvl w:ilvl="6" w:tplc="140A0001" w:tentative="1">
      <w:start w:val="1"/>
      <w:numFmt w:val="bullet"/>
      <w:lvlText w:val=""/>
      <w:lvlJc w:val="left"/>
      <w:pPr>
        <w:ind w:left="13469" w:hanging="360"/>
      </w:pPr>
      <w:rPr>
        <w:rFonts w:ascii="Symbol" w:hAnsi="Symbol" w:hint="default"/>
      </w:rPr>
    </w:lvl>
    <w:lvl w:ilvl="7" w:tplc="140A0003" w:tentative="1">
      <w:start w:val="1"/>
      <w:numFmt w:val="bullet"/>
      <w:lvlText w:val="o"/>
      <w:lvlJc w:val="left"/>
      <w:pPr>
        <w:ind w:left="14189" w:hanging="360"/>
      </w:pPr>
      <w:rPr>
        <w:rFonts w:ascii="Courier New" w:hAnsi="Courier New" w:hint="default"/>
      </w:rPr>
    </w:lvl>
    <w:lvl w:ilvl="8" w:tplc="140A0005" w:tentative="1">
      <w:start w:val="1"/>
      <w:numFmt w:val="bullet"/>
      <w:lvlText w:val=""/>
      <w:lvlJc w:val="left"/>
      <w:pPr>
        <w:ind w:left="14909" w:hanging="360"/>
      </w:pPr>
      <w:rPr>
        <w:rFonts w:ascii="Wingdings" w:hAnsi="Wingdings" w:hint="default"/>
      </w:rPr>
    </w:lvl>
  </w:abstractNum>
  <w:abstractNum w:abstractNumId="29" w15:restartNumberingAfterBreak="0">
    <w:nsid w:val="29DC0D01"/>
    <w:multiLevelType w:val="hybridMultilevel"/>
    <w:tmpl w:val="38E63B30"/>
    <w:lvl w:ilvl="0" w:tplc="140A001B">
      <w:start w:val="1"/>
      <w:numFmt w:val="lowerRoman"/>
      <w:lvlText w:val="%1."/>
      <w:lvlJc w:val="right"/>
      <w:pPr>
        <w:ind w:left="927" w:hanging="360"/>
      </w:pPr>
      <w:rPr>
        <w:rFonts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30" w15:restartNumberingAfterBreak="0">
    <w:nsid w:val="29FC6EC1"/>
    <w:multiLevelType w:val="hybridMultilevel"/>
    <w:tmpl w:val="870ECF3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2AF70238"/>
    <w:multiLevelType w:val="hybridMultilevel"/>
    <w:tmpl w:val="93BE89A0"/>
    <w:lvl w:ilvl="0" w:tplc="846464A4">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B9361F9"/>
    <w:multiLevelType w:val="hybridMultilevel"/>
    <w:tmpl w:val="8DD6E726"/>
    <w:lvl w:ilvl="0" w:tplc="140A0017">
      <w:start w:val="1"/>
      <w:numFmt w:val="lowerLetter"/>
      <w:lvlText w:val="%1)"/>
      <w:lvlJc w:val="left"/>
      <w:pPr>
        <w:ind w:left="6" w:hanging="360"/>
      </w:pPr>
    </w:lvl>
    <w:lvl w:ilvl="1" w:tplc="140A0019" w:tentative="1">
      <w:start w:val="1"/>
      <w:numFmt w:val="lowerLetter"/>
      <w:lvlText w:val="%2."/>
      <w:lvlJc w:val="left"/>
      <w:pPr>
        <w:ind w:left="726" w:hanging="360"/>
      </w:pPr>
    </w:lvl>
    <w:lvl w:ilvl="2" w:tplc="140A001B" w:tentative="1">
      <w:start w:val="1"/>
      <w:numFmt w:val="lowerRoman"/>
      <w:lvlText w:val="%3."/>
      <w:lvlJc w:val="right"/>
      <w:pPr>
        <w:ind w:left="1446" w:hanging="180"/>
      </w:pPr>
    </w:lvl>
    <w:lvl w:ilvl="3" w:tplc="140A000F" w:tentative="1">
      <w:start w:val="1"/>
      <w:numFmt w:val="decimal"/>
      <w:lvlText w:val="%4."/>
      <w:lvlJc w:val="left"/>
      <w:pPr>
        <w:ind w:left="2166" w:hanging="360"/>
      </w:pPr>
    </w:lvl>
    <w:lvl w:ilvl="4" w:tplc="140A0019" w:tentative="1">
      <w:start w:val="1"/>
      <w:numFmt w:val="lowerLetter"/>
      <w:lvlText w:val="%5."/>
      <w:lvlJc w:val="left"/>
      <w:pPr>
        <w:ind w:left="2886" w:hanging="360"/>
      </w:pPr>
    </w:lvl>
    <w:lvl w:ilvl="5" w:tplc="140A001B" w:tentative="1">
      <w:start w:val="1"/>
      <w:numFmt w:val="lowerRoman"/>
      <w:lvlText w:val="%6."/>
      <w:lvlJc w:val="right"/>
      <w:pPr>
        <w:ind w:left="3606" w:hanging="180"/>
      </w:pPr>
    </w:lvl>
    <w:lvl w:ilvl="6" w:tplc="140A000F" w:tentative="1">
      <w:start w:val="1"/>
      <w:numFmt w:val="decimal"/>
      <w:lvlText w:val="%7."/>
      <w:lvlJc w:val="left"/>
      <w:pPr>
        <w:ind w:left="4326" w:hanging="360"/>
      </w:pPr>
    </w:lvl>
    <w:lvl w:ilvl="7" w:tplc="140A0019" w:tentative="1">
      <w:start w:val="1"/>
      <w:numFmt w:val="lowerLetter"/>
      <w:lvlText w:val="%8."/>
      <w:lvlJc w:val="left"/>
      <w:pPr>
        <w:ind w:left="5046" w:hanging="360"/>
      </w:pPr>
    </w:lvl>
    <w:lvl w:ilvl="8" w:tplc="140A001B" w:tentative="1">
      <w:start w:val="1"/>
      <w:numFmt w:val="lowerRoman"/>
      <w:lvlText w:val="%9."/>
      <w:lvlJc w:val="right"/>
      <w:pPr>
        <w:ind w:left="5766" w:hanging="180"/>
      </w:pPr>
    </w:lvl>
  </w:abstractNum>
  <w:abstractNum w:abstractNumId="33" w15:restartNumberingAfterBreak="0">
    <w:nsid w:val="2D1246C6"/>
    <w:multiLevelType w:val="hybridMultilevel"/>
    <w:tmpl w:val="CAA46BEE"/>
    <w:lvl w:ilvl="0" w:tplc="140A0001">
      <w:start w:val="1"/>
      <w:numFmt w:val="bullet"/>
      <w:lvlText w:val=""/>
      <w:lvlJc w:val="left"/>
      <w:pPr>
        <w:ind w:left="1353" w:hanging="360"/>
      </w:pPr>
      <w:rPr>
        <w:rFonts w:ascii="Symbol" w:hAnsi="Symbol"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34" w15:restartNumberingAfterBreak="0">
    <w:nsid w:val="2DD036A8"/>
    <w:multiLevelType w:val="hybridMultilevel"/>
    <w:tmpl w:val="F85468CA"/>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2E75804A"/>
    <w:multiLevelType w:val="hybridMultilevel"/>
    <w:tmpl w:val="FFFFFFFF"/>
    <w:lvl w:ilvl="0" w:tplc="E08C058A">
      <w:start w:val="1"/>
      <w:numFmt w:val="lowerLetter"/>
      <w:lvlText w:val="%1)"/>
      <w:lvlJc w:val="left"/>
      <w:pPr>
        <w:ind w:left="360" w:hanging="360"/>
      </w:pPr>
    </w:lvl>
    <w:lvl w:ilvl="1" w:tplc="BFB2AB76">
      <w:start w:val="1"/>
      <w:numFmt w:val="lowerLetter"/>
      <w:lvlText w:val="%2."/>
      <w:lvlJc w:val="left"/>
      <w:pPr>
        <w:ind w:left="1440" w:hanging="360"/>
      </w:pPr>
    </w:lvl>
    <w:lvl w:ilvl="2" w:tplc="4E2EC748">
      <w:start w:val="1"/>
      <w:numFmt w:val="lowerRoman"/>
      <w:lvlText w:val="%3."/>
      <w:lvlJc w:val="right"/>
      <w:pPr>
        <w:ind w:left="2160" w:hanging="180"/>
      </w:pPr>
    </w:lvl>
    <w:lvl w:ilvl="3" w:tplc="C32CE638">
      <w:start w:val="1"/>
      <w:numFmt w:val="decimal"/>
      <w:lvlText w:val="%4."/>
      <w:lvlJc w:val="left"/>
      <w:pPr>
        <w:ind w:left="2880" w:hanging="360"/>
      </w:pPr>
    </w:lvl>
    <w:lvl w:ilvl="4" w:tplc="AC6E7C60">
      <w:start w:val="1"/>
      <w:numFmt w:val="lowerLetter"/>
      <w:lvlText w:val="%5."/>
      <w:lvlJc w:val="left"/>
      <w:pPr>
        <w:ind w:left="3600" w:hanging="360"/>
      </w:pPr>
    </w:lvl>
    <w:lvl w:ilvl="5" w:tplc="CC3EDE04">
      <w:start w:val="1"/>
      <w:numFmt w:val="lowerRoman"/>
      <w:lvlText w:val="%6."/>
      <w:lvlJc w:val="right"/>
      <w:pPr>
        <w:ind w:left="4320" w:hanging="180"/>
      </w:pPr>
    </w:lvl>
    <w:lvl w:ilvl="6" w:tplc="E20CA9B8">
      <w:start w:val="1"/>
      <w:numFmt w:val="decimal"/>
      <w:lvlText w:val="%7."/>
      <w:lvlJc w:val="left"/>
      <w:pPr>
        <w:ind w:left="5040" w:hanging="360"/>
      </w:pPr>
    </w:lvl>
    <w:lvl w:ilvl="7" w:tplc="9A5A1446">
      <w:start w:val="1"/>
      <w:numFmt w:val="lowerLetter"/>
      <w:lvlText w:val="%8."/>
      <w:lvlJc w:val="left"/>
      <w:pPr>
        <w:ind w:left="5760" w:hanging="360"/>
      </w:pPr>
    </w:lvl>
    <w:lvl w:ilvl="8" w:tplc="2CC842C0">
      <w:start w:val="1"/>
      <w:numFmt w:val="lowerRoman"/>
      <w:lvlText w:val="%9."/>
      <w:lvlJc w:val="right"/>
      <w:pPr>
        <w:ind w:left="6480" w:hanging="180"/>
      </w:pPr>
    </w:lvl>
  </w:abstractNum>
  <w:abstractNum w:abstractNumId="36" w15:restartNumberingAfterBreak="0">
    <w:nsid w:val="2E830461"/>
    <w:multiLevelType w:val="hybridMultilevel"/>
    <w:tmpl w:val="46B4D6AA"/>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30FC6331"/>
    <w:multiLevelType w:val="hybridMultilevel"/>
    <w:tmpl w:val="156654E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32B45607"/>
    <w:multiLevelType w:val="hybridMultilevel"/>
    <w:tmpl w:val="15942B9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340A145B"/>
    <w:multiLevelType w:val="hybridMultilevel"/>
    <w:tmpl w:val="3930541A"/>
    <w:lvl w:ilvl="0" w:tplc="14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40" w15:restartNumberingAfterBreak="0">
    <w:nsid w:val="36B15380"/>
    <w:multiLevelType w:val="hybridMultilevel"/>
    <w:tmpl w:val="4B627DEE"/>
    <w:lvl w:ilvl="0" w:tplc="256E6816">
      <w:start w:val="1"/>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39FA68DA"/>
    <w:multiLevelType w:val="hybridMultilevel"/>
    <w:tmpl w:val="5D14361C"/>
    <w:lvl w:ilvl="0" w:tplc="AC8632A6">
      <w:start w:val="1"/>
      <w:numFmt w:val="low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3B237AE7"/>
    <w:multiLevelType w:val="hybridMultilevel"/>
    <w:tmpl w:val="FEF80296"/>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1580906"/>
    <w:multiLevelType w:val="hybridMultilevel"/>
    <w:tmpl w:val="10722690"/>
    <w:lvl w:ilvl="0" w:tplc="140A0019">
      <w:start w:val="1"/>
      <w:numFmt w:val="lowerLetter"/>
      <w:lvlText w:val="%1."/>
      <w:lvlJc w:val="left"/>
      <w:pPr>
        <w:ind w:left="360" w:hanging="360"/>
      </w:pPr>
      <w:rPr>
        <w:rFonts w:hint="default"/>
      </w:rPr>
    </w:lvl>
    <w:lvl w:ilvl="1" w:tplc="140A001B">
      <w:start w:val="1"/>
      <w:numFmt w:val="lowerRoman"/>
      <w:lvlText w:val="%2."/>
      <w:lvlJc w:val="righ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4" w15:restartNumberingAfterBreak="0">
    <w:nsid w:val="41617629"/>
    <w:multiLevelType w:val="hybridMultilevel"/>
    <w:tmpl w:val="BEC2BD9A"/>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 w15:restartNumberingAfterBreak="0">
    <w:nsid w:val="44A9579A"/>
    <w:multiLevelType w:val="hybridMultilevel"/>
    <w:tmpl w:val="DC6835A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4C2E4BE4"/>
    <w:multiLevelType w:val="multilevel"/>
    <w:tmpl w:val="6724717C"/>
    <w:lvl w:ilvl="0">
      <w:start w:val="1"/>
      <w:numFmt w:val="lowerRoman"/>
      <w:lvlText w:val="%1."/>
      <w:lvlJc w:val="right"/>
      <w:pPr>
        <w:ind w:left="284" w:hanging="284"/>
      </w:pPr>
      <w:rPr>
        <w:rFonts w:hint="default"/>
      </w:rPr>
    </w:lvl>
    <w:lvl w:ilvl="1">
      <w:start w:val="1"/>
      <w:numFmt w:val="lowerRoman"/>
      <w:lvlText w:val="%1.%2."/>
      <w:lvlJc w:val="left"/>
      <w:pPr>
        <w:ind w:left="737" w:hanging="397"/>
      </w:pPr>
      <w:rPr>
        <w:rFonts w:hint="default"/>
      </w:rPr>
    </w:lvl>
    <w:lvl w:ilvl="2">
      <w:start w:val="1"/>
      <w:numFmt w:val="decimal"/>
      <w:lvlText w:val="%1.%2.%3."/>
      <w:lvlJc w:val="left"/>
      <w:pPr>
        <w:ind w:left="1134"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02307FF"/>
    <w:multiLevelType w:val="hybridMultilevel"/>
    <w:tmpl w:val="098EEF48"/>
    <w:lvl w:ilvl="0" w:tplc="FFFFFFFF">
      <w:start w:val="1"/>
      <w:numFmt w:val="lowerLetter"/>
      <w:lvlText w:val="%1)"/>
      <w:lvlJc w:val="left"/>
      <w:pPr>
        <w:ind w:left="360" w:hanging="360"/>
      </w:pPr>
      <w:rPr>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8" w15:restartNumberingAfterBreak="0">
    <w:nsid w:val="51380E02"/>
    <w:multiLevelType w:val="hybridMultilevel"/>
    <w:tmpl w:val="51E8B428"/>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49" w15:restartNumberingAfterBreak="0">
    <w:nsid w:val="515A3752"/>
    <w:multiLevelType w:val="hybridMultilevel"/>
    <w:tmpl w:val="53B018F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0" w15:restartNumberingAfterBreak="0">
    <w:nsid w:val="529E3E23"/>
    <w:multiLevelType w:val="hybridMultilevel"/>
    <w:tmpl w:val="10722690"/>
    <w:lvl w:ilvl="0" w:tplc="140A0019">
      <w:start w:val="1"/>
      <w:numFmt w:val="lowerLetter"/>
      <w:lvlText w:val="%1."/>
      <w:lvlJc w:val="left"/>
      <w:pPr>
        <w:ind w:left="360" w:hanging="360"/>
      </w:pPr>
      <w:rPr>
        <w:rFonts w:hint="default"/>
      </w:rPr>
    </w:lvl>
    <w:lvl w:ilvl="1" w:tplc="140A001B">
      <w:start w:val="1"/>
      <w:numFmt w:val="lowerRoman"/>
      <w:lvlText w:val="%2."/>
      <w:lvlJc w:val="righ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1" w15:restartNumberingAfterBreak="0">
    <w:nsid w:val="53150523"/>
    <w:multiLevelType w:val="hybridMultilevel"/>
    <w:tmpl w:val="9F1C96D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2" w15:restartNumberingAfterBreak="0">
    <w:nsid w:val="57AE7E6F"/>
    <w:multiLevelType w:val="hybridMultilevel"/>
    <w:tmpl w:val="5AFA82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3" w15:restartNumberingAfterBreak="0">
    <w:nsid w:val="5A8D2202"/>
    <w:multiLevelType w:val="hybridMultilevel"/>
    <w:tmpl w:val="A322F456"/>
    <w:lvl w:ilvl="0" w:tplc="EC808122">
      <w:start w:val="1"/>
      <w:numFmt w:val="bullet"/>
      <w:lvlText w:val="•"/>
      <w:lvlJc w:val="left"/>
      <w:pPr>
        <w:ind w:left="1440" w:hanging="360"/>
      </w:pPr>
      <w:rPr>
        <w:rFonts w:ascii="Times New Roman" w:hAnsi="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4" w15:restartNumberingAfterBreak="0">
    <w:nsid w:val="5D4C6F2C"/>
    <w:multiLevelType w:val="hybridMultilevel"/>
    <w:tmpl w:val="9AC860CE"/>
    <w:lvl w:ilvl="0" w:tplc="0CEE8018">
      <w:start w:val="1"/>
      <w:numFmt w:val="lowerLetter"/>
      <w:lvlText w:val="%1)"/>
      <w:lvlJc w:val="left"/>
      <w:pPr>
        <w:ind w:left="360" w:hanging="360"/>
      </w:pPr>
      <w:rPr>
        <w:rFonts w:hint="default"/>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5" w15:restartNumberingAfterBreak="0">
    <w:nsid w:val="5E424497"/>
    <w:multiLevelType w:val="hybridMultilevel"/>
    <w:tmpl w:val="4ED4A374"/>
    <w:lvl w:ilvl="0" w:tplc="4A82BEC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611F3A70"/>
    <w:multiLevelType w:val="hybridMultilevel"/>
    <w:tmpl w:val="4976B6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64B826AF"/>
    <w:multiLevelType w:val="hybridMultilevel"/>
    <w:tmpl w:val="AD483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66CE445E"/>
    <w:multiLevelType w:val="hybridMultilevel"/>
    <w:tmpl w:val="FD4E5FD4"/>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59" w15:restartNumberingAfterBreak="0">
    <w:nsid w:val="6C0B230F"/>
    <w:multiLevelType w:val="hybridMultilevel"/>
    <w:tmpl w:val="FFFFFFFF"/>
    <w:lvl w:ilvl="0" w:tplc="0AC2F6B6">
      <w:start w:val="1"/>
      <w:numFmt w:val="lowerLetter"/>
      <w:lvlText w:val="%1)"/>
      <w:lvlJc w:val="left"/>
      <w:pPr>
        <w:ind w:left="360" w:hanging="360"/>
      </w:pPr>
    </w:lvl>
    <w:lvl w:ilvl="1" w:tplc="4E30F9A0">
      <w:start w:val="1"/>
      <w:numFmt w:val="lowerLetter"/>
      <w:lvlText w:val="%2."/>
      <w:lvlJc w:val="left"/>
      <w:pPr>
        <w:ind w:left="1440" w:hanging="360"/>
      </w:pPr>
    </w:lvl>
    <w:lvl w:ilvl="2" w:tplc="155CC3D6">
      <w:start w:val="1"/>
      <w:numFmt w:val="lowerRoman"/>
      <w:lvlText w:val="%3."/>
      <w:lvlJc w:val="right"/>
      <w:pPr>
        <w:ind w:left="2160" w:hanging="180"/>
      </w:pPr>
    </w:lvl>
    <w:lvl w:ilvl="3" w:tplc="7D722680">
      <w:start w:val="1"/>
      <w:numFmt w:val="decimal"/>
      <w:lvlText w:val="%4."/>
      <w:lvlJc w:val="left"/>
      <w:pPr>
        <w:ind w:left="2880" w:hanging="360"/>
      </w:pPr>
    </w:lvl>
    <w:lvl w:ilvl="4" w:tplc="86B65FD8">
      <w:start w:val="1"/>
      <w:numFmt w:val="lowerLetter"/>
      <w:lvlText w:val="%5."/>
      <w:lvlJc w:val="left"/>
      <w:pPr>
        <w:ind w:left="3600" w:hanging="360"/>
      </w:pPr>
    </w:lvl>
    <w:lvl w:ilvl="5" w:tplc="74D81AFA">
      <w:start w:val="1"/>
      <w:numFmt w:val="lowerRoman"/>
      <w:lvlText w:val="%6."/>
      <w:lvlJc w:val="right"/>
      <w:pPr>
        <w:ind w:left="4320" w:hanging="180"/>
      </w:pPr>
    </w:lvl>
    <w:lvl w:ilvl="6" w:tplc="3B00F908">
      <w:start w:val="1"/>
      <w:numFmt w:val="decimal"/>
      <w:lvlText w:val="%7."/>
      <w:lvlJc w:val="left"/>
      <w:pPr>
        <w:ind w:left="5040" w:hanging="360"/>
      </w:pPr>
    </w:lvl>
    <w:lvl w:ilvl="7" w:tplc="6DAA7040">
      <w:start w:val="1"/>
      <w:numFmt w:val="lowerLetter"/>
      <w:lvlText w:val="%8."/>
      <w:lvlJc w:val="left"/>
      <w:pPr>
        <w:ind w:left="5760" w:hanging="360"/>
      </w:pPr>
    </w:lvl>
    <w:lvl w:ilvl="8" w:tplc="DD464838">
      <w:start w:val="1"/>
      <w:numFmt w:val="lowerRoman"/>
      <w:lvlText w:val="%9."/>
      <w:lvlJc w:val="right"/>
      <w:pPr>
        <w:ind w:left="6480" w:hanging="180"/>
      </w:pPr>
    </w:lvl>
  </w:abstractNum>
  <w:abstractNum w:abstractNumId="60" w15:restartNumberingAfterBreak="0">
    <w:nsid w:val="6C58294B"/>
    <w:multiLevelType w:val="hybridMultilevel"/>
    <w:tmpl w:val="9F1C96D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1" w15:restartNumberingAfterBreak="0">
    <w:nsid w:val="718558D1"/>
    <w:multiLevelType w:val="hybridMultilevel"/>
    <w:tmpl w:val="241816EA"/>
    <w:lvl w:ilvl="0" w:tplc="140A0019">
      <w:start w:val="1"/>
      <w:numFmt w:val="lowerLetter"/>
      <w:lvlText w:val="%1."/>
      <w:lvlJc w:val="left"/>
      <w:pPr>
        <w:ind w:left="6" w:hanging="360"/>
      </w:pPr>
    </w:lvl>
    <w:lvl w:ilvl="1" w:tplc="140A0019" w:tentative="1">
      <w:start w:val="1"/>
      <w:numFmt w:val="lowerLetter"/>
      <w:lvlText w:val="%2."/>
      <w:lvlJc w:val="left"/>
      <w:pPr>
        <w:ind w:left="726" w:hanging="360"/>
      </w:pPr>
    </w:lvl>
    <w:lvl w:ilvl="2" w:tplc="140A001B" w:tentative="1">
      <w:start w:val="1"/>
      <w:numFmt w:val="lowerRoman"/>
      <w:lvlText w:val="%3."/>
      <w:lvlJc w:val="right"/>
      <w:pPr>
        <w:ind w:left="1446" w:hanging="180"/>
      </w:pPr>
    </w:lvl>
    <w:lvl w:ilvl="3" w:tplc="140A000F" w:tentative="1">
      <w:start w:val="1"/>
      <w:numFmt w:val="decimal"/>
      <w:lvlText w:val="%4."/>
      <w:lvlJc w:val="left"/>
      <w:pPr>
        <w:ind w:left="2166" w:hanging="360"/>
      </w:pPr>
    </w:lvl>
    <w:lvl w:ilvl="4" w:tplc="140A0019" w:tentative="1">
      <w:start w:val="1"/>
      <w:numFmt w:val="lowerLetter"/>
      <w:lvlText w:val="%5."/>
      <w:lvlJc w:val="left"/>
      <w:pPr>
        <w:ind w:left="2886" w:hanging="360"/>
      </w:pPr>
    </w:lvl>
    <w:lvl w:ilvl="5" w:tplc="140A001B" w:tentative="1">
      <w:start w:val="1"/>
      <w:numFmt w:val="lowerRoman"/>
      <w:lvlText w:val="%6."/>
      <w:lvlJc w:val="right"/>
      <w:pPr>
        <w:ind w:left="3606" w:hanging="180"/>
      </w:pPr>
    </w:lvl>
    <w:lvl w:ilvl="6" w:tplc="140A000F" w:tentative="1">
      <w:start w:val="1"/>
      <w:numFmt w:val="decimal"/>
      <w:lvlText w:val="%7."/>
      <w:lvlJc w:val="left"/>
      <w:pPr>
        <w:ind w:left="4326" w:hanging="360"/>
      </w:pPr>
    </w:lvl>
    <w:lvl w:ilvl="7" w:tplc="140A0019" w:tentative="1">
      <w:start w:val="1"/>
      <w:numFmt w:val="lowerLetter"/>
      <w:lvlText w:val="%8."/>
      <w:lvlJc w:val="left"/>
      <w:pPr>
        <w:ind w:left="5046" w:hanging="360"/>
      </w:pPr>
    </w:lvl>
    <w:lvl w:ilvl="8" w:tplc="140A001B" w:tentative="1">
      <w:start w:val="1"/>
      <w:numFmt w:val="lowerRoman"/>
      <w:lvlText w:val="%9."/>
      <w:lvlJc w:val="right"/>
      <w:pPr>
        <w:ind w:left="5766" w:hanging="180"/>
      </w:pPr>
    </w:lvl>
  </w:abstractNum>
  <w:abstractNum w:abstractNumId="62" w15:restartNumberingAfterBreak="0">
    <w:nsid w:val="735963B2"/>
    <w:multiLevelType w:val="hybridMultilevel"/>
    <w:tmpl w:val="10562EA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75AD507E"/>
    <w:multiLevelType w:val="hybridMultilevel"/>
    <w:tmpl w:val="9B327806"/>
    <w:lvl w:ilvl="0" w:tplc="140A0019">
      <w:start w:val="1"/>
      <w:numFmt w:val="lowerLetter"/>
      <w:lvlText w:val="%1."/>
      <w:lvlJc w:val="left"/>
      <w:pPr>
        <w:ind w:left="720" w:hanging="360"/>
      </w:pPr>
    </w:lvl>
    <w:lvl w:ilvl="1" w:tplc="0B8C589E">
      <w:start w:val="1"/>
      <w:numFmt w:val="lowerRoman"/>
      <w:lvlText w:val="%2."/>
      <w:lvlJc w:val="right"/>
      <w:pPr>
        <w:ind w:left="1440" w:hanging="360"/>
      </w:pPr>
      <w:rPr>
        <w:rFonts w:hint="default"/>
        <w:b/>
        <w:i w:val="0"/>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77640AF4"/>
    <w:multiLevelType w:val="multilevel"/>
    <w:tmpl w:val="B47A3F20"/>
    <w:lvl w:ilvl="0">
      <w:start w:val="1"/>
      <w:numFmt w:val="lowerLetter"/>
      <w:lvlText w:val="%1)"/>
      <w:lvlJc w:val="left"/>
      <w:pPr>
        <w:ind w:left="360" w:hanging="360"/>
      </w:pPr>
      <w:rPr>
        <w:rFonts w:ascii="Arial" w:hAnsi="Arial"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5" w15:restartNumberingAfterBreak="0">
    <w:nsid w:val="7C05126F"/>
    <w:multiLevelType w:val="hybridMultilevel"/>
    <w:tmpl w:val="0D36493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26047579">
    <w:abstractNumId w:val="59"/>
  </w:num>
  <w:num w:numId="2" w16cid:durableId="868253133">
    <w:abstractNumId w:val="25"/>
  </w:num>
  <w:num w:numId="3" w16cid:durableId="176043806">
    <w:abstractNumId w:val="22"/>
  </w:num>
  <w:num w:numId="4" w16cid:durableId="1772512081">
    <w:abstractNumId w:val="21"/>
  </w:num>
  <w:num w:numId="5" w16cid:durableId="2079862739">
    <w:abstractNumId w:val="35"/>
  </w:num>
  <w:num w:numId="6" w16cid:durableId="1340422345">
    <w:abstractNumId w:val="62"/>
  </w:num>
  <w:num w:numId="7" w16cid:durableId="51806137">
    <w:abstractNumId w:val="15"/>
  </w:num>
  <w:num w:numId="8" w16cid:durableId="460878030">
    <w:abstractNumId w:val="63"/>
  </w:num>
  <w:num w:numId="9" w16cid:durableId="828592851">
    <w:abstractNumId w:val="20"/>
  </w:num>
  <w:num w:numId="10" w16cid:durableId="206375033">
    <w:abstractNumId w:val="29"/>
  </w:num>
  <w:num w:numId="11" w16cid:durableId="1982495258">
    <w:abstractNumId w:val="10"/>
  </w:num>
  <w:num w:numId="12" w16cid:durableId="741101763">
    <w:abstractNumId w:val="32"/>
  </w:num>
  <w:num w:numId="13" w16cid:durableId="1949465640">
    <w:abstractNumId w:val="52"/>
  </w:num>
  <w:num w:numId="14" w16cid:durableId="474376499">
    <w:abstractNumId w:val="26"/>
  </w:num>
  <w:num w:numId="15" w16cid:durableId="103692875">
    <w:abstractNumId w:val="61"/>
  </w:num>
  <w:num w:numId="16" w16cid:durableId="1497573442">
    <w:abstractNumId w:val="30"/>
  </w:num>
  <w:num w:numId="17" w16cid:durableId="644816685">
    <w:abstractNumId w:val="38"/>
  </w:num>
  <w:num w:numId="18" w16cid:durableId="191306493">
    <w:abstractNumId w:val="65"/>
  </w:num>
  <w:num w:numId="19" w16cid:durableId="407534111">
    <w:abstractNumId w:val="45"/>
  </w:num>
  <w:num w:numId="20" w16cid:durableId="820577901">
    <w:abstractNumId w:val="55"/>
  </w:num>
  <w:num w:numId="21" w16cid:durableId="1377269304">
    <w:abstractNumId w:val="37"/>
  </w:num>
  <w:num w:numId="22" w16cid:durableId="977346974">
    <w:abstractNumId w:val="8"/>
  </w:num>
  <w:num w:numId="23" w16cid:durableId="1284072241">
    <w:abstractNumId w:val="33"/>
  </w:num>
  <w:num w:numId="24" w16cid:durableId="869730032">
    <w:abstractNumId w:val="41"/>
  </w:num>
  <w:num w:numId="25" w16cid:durableId="507445370">
    <w:abstractNumId w:val="18"/>
  </w:num>
  <w:num w:numId="26" w16cid:durableId="1368064363">
    <w:abstractNumId w:val="51"/>
  </w:num>
  <w:num w:numId="27" w16cid:durableId="2034452483">
    <w:abstractNumId w:val="13"/>
  </w:num>
  <w:num w:numId="28" w16cid:durableId="1478455213">
    <w:abstractNumId w:val="40"/>
  </w:num>
  <w:num w:numId="29" w16cid:durableId="1795322380">
    <w:abstractNumId w:val="31"/>
  </w:num>
  <w:num w:numId="30" w16cid:durableId="1460297335">
    <w:abstractNumId w:val="7"/>
  </w:num>
  <w:num w:numId="31" w16cid:durableId="650016618">
    <w:abstractNumId w:val="34"/>
  </w:num>
  <w:num w:numId="32" w16cid:durableId="359866896">
    <w:abstractNumId w:val="58"/>
  </w:num>
  <w:num w:numId="33" w16cid:durableId="1053457298">
    <w:abstractNumId w:val="27"/>
  </w:num>
  <w:num w:numId="34" w16cid:durableId="668144037">
    <w:abstractNumId w:val="39"/>
  </w:num>
  <w:num w:numId="35" w16cid:durableId="475874981">
    <w:abstractNumId w:val="24"/>
  </w:num>
  <w:num w:numId="36" w16cid:durableId="2120493355">
    <w:abstractNumId w:val="23"/>
  </w:num>
  <w:num w:numId="37" w16cid:durableId="1351908735">
    <w:abstractNumId w:val="49"/>
  </w:num>
  <w:num w:numId="38" w16cid:durableId="1095782060">
    <w:abstractNumId w:val="60"/>
  </w:num>
  <w:num w:numId="39" w16cid:durableId="1809783522">
    <w:abstractNumId w:val="43"/>
  </w:num>
  <w:num w:numId="40" w16cid:durableId="2066492549">
    <w:abstractNumId w:val="44"/>
  </w:num>
  <w:num w:numId="41" w16cid:durableId="1694459470">
    <w:abstractNumId w:val="46"/>
  </w:num>
  <w:num w:numId="42" w16cid:durableId="1117337093">
    <w:abstractNumId w:val="16"/>
  </w:num>
  <w:num w:numId="43" w16cid:durableId="899822343">
    <w:abstractNumId w:val="54"/>
  </w:num>
  <w:num w:numId="44" w16cid:durableId="973103330">
    <w:abstractNumId w:val="42"/>
  </w:num>
  <w:num w:numId="45" w16cid:durableId="1337267924">
    <w:abstractNumId w:val="47"/>
  </w:num>
  <w:num w:numId="46" w16cid:durableId="675496557">
    <w:abstractNumId w:val="36"/>
  </w:num>
  <w:num w:numId="47" w16cid:durableId="10689397">
    <w:abstractNumId w:val="50"/>
  </w:num>
  <w:num w:numId="48" w16cid:durableId="614361876">
    <w:abstractNumId w:val="53"/>
  </w:num>
  <w:num w:numId="49" w16cid:durableId="2144882577">
    <w:abstractNumId w:val="64"/>
  </w:num>
  <w:num w:numId="50" w16cid:durableId="2066489421">
    <w:abstractNumId w:val="11"/>
  </w:num>
  <w:num w:numId="51" w16cid:durableId="626853962">
    <w:abstractNumId w:val="19"/>
  </w:num>
  <w:num w:numId="52" w16cid:durableId="1917934512">
    <w:abstractNumId w:val="3"/>
  </w:num>
  <w:num w:numId="53" w16cid:durableId="1063987322">
    <w:abstractNumId w:val="1"/>
  </w:num>
  <w:num w:numId="54" w16cid:durableId="1037317722">
    <w:abstractNumId w:val="4"/>
  </w:num>
  <w:num w:numId="55" w16cid:durableId="729378058">
    <w:abstractNumId w:val="17"/>
  </w:num>
  <w:num w:numId="56" w16cid:durableId="40204950">
    <w:abstractNumId w:val="12"/>
  </w:num>
  <w:num w:numId="57" w16cid:durableId="523640538">
    <w:abstractNumId w:val="2"/>
  </w:num>
  <w:num w:numId="58" w16cid:durableId="1412265637">
    <w:abstractNumId w:val="0"/>
  </w:num>
  <w:num w:numId="59" w16cid:durableId="47992475">
    <w:abstractNumId w:val="14"/>
  </w:num>
  <w:num w:numId="60" w16cid:durableId="790394953">
    <w:abstractNumId w:val="57"/>
  </w:num>
  <w:num w:numId="61" w16cid:durableId="1161848630">
    <w:abstractNumId w:val="56"/>
  </w:num>
  <w:num w:numId="62" w16cid:durableId="1418139034">
    <w:abstractNumId w:val="48"/>
  </w:num>
  <w:num w:numId="63" w16cid:durableId="1992099760">
    <w:abstractNumId w:val="28"/>
  </w:num>
  <w:num w:numId="64" w16cid:durableId="116458713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0E"/>
    <w:rsid w:val="000003AF"/>
    <w:rsid w:val="00000427"/>
    <w:rsid w:val="0000044B"/>
    <w:rsid w:val="000006FC"/>
    <w:rsid w:val="00000812"/>
    <w:rsid w:val="00000948"/>
    <w:rsid w:val="00001330"/>
    <w:rsid w:val="000015C6"/>
    <w:rsid w:val="00001800"/>
    <w:rsid w:val="00001D68"/>
    <w:rsid w:val="00002099"/>
    <w:rsid w:val="00002BB2"/>
    <w:rsid w:val="00002C00"/>
    <w:rsid w:val="000032FE"/>
    <w:rsid w:val="00003535"/>
    <w:rsid w:val="00003A1B"/>
    <w:rsid w:val="00003CD5"/>
    <w:rsid w:val="0000484C"/>
    <w:rsid w:val="00004FC1"/>
    <w:rsid w:val="0000505C"/>
    <w:rsid w:val="00005070"/>
    <w:rsid w:val="000050A5"/>
    <w:rsid w:val="00005125"/>
    <w:rsid w:val="00005709"/>
    <w:rsid w:val="00005A39"/>
    <w:rsid w:val="000061AF"/>
    <w:rsid w:val="00006601"/>
    <w:rsid w:val="000066AB"/>
    <w:rsid w:val="00006A65"/>
    <w:rsid w:val="00006EB0"/>
    <w:rsid w:val="00007DD0"/>
    <w:rsid w:val="0001038D"/>
    <w:rsid w:val="00010781"/>
    <w:rsid w:val="00010ED0"/>
    <w:rsid w:val="00011588"/>
    <w:rsid w:val="000117A5"/>
    <w:rsid w:val="000118B3"/>
    <w:rsid w:val="000118C9"/>
    <w:rsid w:val="00011912"/>
    <w:rsid w:val="00011E04"/>
    <w:rsid w:val="000134D8"/>
    <w:rsid w:val="00013816"/>
    <w:rsid w:val="000138B1"/>
    <w:rsid w:val="000141DD"/>
    <w:rsid w:val="000144CB"/>
    <w:rsid w:val="00015065"/>
    <w:rsid w:val="000150F4"/>
    <w:rsid w:val="00015CB9"/>
    <w:rsid w:val="00015E72"/>
    <w:rsid w:val="00015F2B"/>
    <w:rsid w:val="00015F2F"/>
    <w:rsid w:val="00015FF3"/>
    <w:rsid w:val="000178CB"/>
    <w:rsid w:val="00017C12"/>
    <w:rsid w:val="00017C9A"/>
    <w:rsid w:val="00017E72"/>
    <w:rsid w:val="00017F12"/>
    <w:rsid w:val="00017F7B"/>
    <w:rsid w:val="00017FF2"/>
    <w:rsid w:val="000200D6"/>
    <w:rsid w:val="0002016C"/>
    <w:rsid w:val="000201AA"/>
    <w:rsid w:val="00020760"/>
    <w:rsid w:val="00020C2E"/>
    <w:rsid w:val="00020D49"/>
    <w:rsid w:val="0002138F"/>
    <w:rsid w:val="00021D6D"/>
    <w:rsid w:val="00021D88"/>
    <w:rsid w:val="000238D7"/>
    <w:rsid w:val="00023B94"/>
    <w:rsid w:val="00023BE2"/>
    <w:rsid w:val="00023DD8"/>
    <w:rsid w:val="00024368"/>
    <w:rsid w:val="000247D8"/>
    <w:rsid w:val="0002498A"/>
    <w:rsid w:val="00024D6E"/>
    <w:rsid w:val="000250DF"/>
    <w:rsid w:val="00025947"/>
    <w:rsid w:val="00025967"/>
    <w:rsid w:val="00025A7E"/>
    <w:rsid w:val="00025D70"/>
    <w:rsid w:val="0002630B"/>
    <w:rsid w:val="00026349"/>
    <w:rsid w:val="00026D6B"/>
    <w:rsid w:val="00026FAD"/>
    <w:rsid w:val="000301C4"/>
    <w:rsid w:val="000302BF"/>
    <w:rsid w:val="000305FC"/>
    <w:rsid w:val="0003074A"/>
    <w:rsid w:val="00030751"/>
    <w:rsid w:val="00030C09"/>
    <w:rsid w:val="00030F80"/>
    <w:rsid w:val="000315BA"/>
    <w:rsid w:val="000315DA"/>
    <w:rsid w:val="00031ACE"/>
    <w:rsid w:val="00031B29"/>
    <w:rsid w:val="00031BCD"/>
    <w:rsid w:val="00031C8D"/>
    <w:rsid w:val="00031F3D"/>
    <w:rsid w:val="00032092"/>
    <w:rsid w:val="0003221C"/>
    <w:rsid w:val="00032967"/>
    <w:rsid w:val="00032FD6"/>
    <w:rsid w:val="00033814"/>
    <w:rsid w:val="00034072"/>
    <w:rsid w:val="000340E6"/>
    <w:rsid w:val="000345F1"/>
    <w:rsid w:val="00034699"/>
    <w:rsid w:val="000347D0"/>
    <w:rsid w:val="00034BBC"/>
    <w:rsid w:val="00034E7F"/>
    <w:rsid w:val="00034E93"/>
    <w:rsid w:val="00035904"/>
    <w:rsid w:val="000359E4"/>
    <w:rsid w:val="00035C80"/>
    <w:rsid w:val="000363B3"/>
    <w:rsid w:val="000365A2"/>
    <w:rsid w:val="000369E6"/>
    <w:rsid w:val="000377B6"/>
    <w:rsid w:val="000377F7"/>
    <w:rsid w:val="000378AB"/>
    <w:rsid w:val="00037CF5"/>
    <w:rsid w:val="00040A50"/>
    <w:rsid w:val="00040CF5"/>
    <w:rsid w:val="00041200"/>
    <w:rsid w:val="000417E8"/>
    <w:rsid w:val="00041B93"/>
    <w:rsid w:val="00041ECA"/>
    <w:rsid w:val="00042ABB"/>
    <w:rsid w:val="00042CDA"/>
    <w:rsid w:val="000438E4"/>
    <w:rsid w:val="00043F12"/>
    <w:rsid w:val="0004414D"/>
    <w:rsid w:val="00044373"/>
    <w:rsid w:val="0004461F"/>
    <w:rsid w:val="00044988"/>
    <w:rsid w:val="00045306"/>
    <w:rsid w:val="00045558"/>
    <w:rsid w:val="000457A6"/>
    <w:rsid w:val="000460A4"/>
    <w:rsid w:val="000463A1"/>
    <w:rsid w:val="00046625"/>
    <w:rsid w:val="00046895"/>
    <w:rsid w:val="00046AC3"/>
    <w:rsid w:val="00046BB2"/>
    <w:rsid w:val="00046BE7"/>
    <w:rsid w:val="00047482"/>
    <w:rsid w:val="00047797"/>
    <w:rsid w:val="0004788D"/>
    <w:rsid w:val="000503A8"/>
    <w:rsid w:val="0005043E"/>
    <w:rsid w:val="0005046E"/>
    <w:rsid w:val="0005050E"/>
    <w:rsid w:val="0005089E"/>
    <w:rsid w:val="00050A09"/>
    <w:rsid w:val="00050FAF"/>
    <w:rsid w:val="000519F4"/>
    <w:rsid w:val="0005244A"/>
    <w:rsid w:val="00052999"/>
    <w:rsid w:val="00052AC3"/>
    <w:rsid w:val="00052D35"/>
    <w:rsid w:val="00052FA1"/>
    <w:rsid w:val="00053411"/>
    <w:rsid w:val="00053E2A"/>
    <w:rsid w:val="000542B7"/>
    <w:rsid w:val="00054439"/>
    <w:rsid w:val="00055C9B"/>
    <w:rsid w:val="00055FA8"/>
    <w:rsid w:val="0005684F"/>
    <w:rsid w:val="0005706C"/>
    <w:rsid w:val="000572A8"/>
    <w:rsid w:val="00057405"/>
    <w:rsid w:val="00057452"/>
    <w:rsid w:val="000574CB"/>
    <w:rsid w:val="00057758"/>
    <w:rsid w:val="000577CA"/>
    <w:rsid w:val="00060353"/>
    <w:rsid w:val="00060F67"/>
    <w:rsid w:val="00061F89"/>
    <w:rsid w:val="0006221B"/>
    <w:rsid w:val="00062A3D"/>
    <w:rsid w:val="0006353A"/>
    <w:rsid w:val="000638D0"/>
    <w:rsid w:val="000643BC"/>
    <w:rsid w:val="00064704"/>
    <w:rsid w:val="00064952"/>
    <w:rsid w:val="00064D50"/>
    <w:rsid w:val="00064DB4"/>
    <w:rsid w:val="000660B2"/>
    <w:rsid w:val="0006616C"/>
    <w:rsid w:val="000662DC"/>
    <w:rsid w:val="000662F4"/>
    <w:rsid w:val="00066577"/>
    <w:rsid w:val="000668EF"/>
    <w:rsid w:val="00066A9A"/>
    <w:rsid w:val="00066BA7"/>
    <w:rsid w:val="00067235"/>
    <w:rsid w:val="00067A59"/>
    <w:rsid w:val="0007052C"/>
    <w:rsid w:val="00070576"/>
    <w:rsid w:val="000714D0"/>
    <w:rsid w:val="00071C79"/>
    <w:rsid w:val="00072AF1"/>
    <w:rsid w:val="00072F8C"/>
    <w:rsid w:val="0007346E"/>
    <w:rsid w:val="000740BB"/>
    <w:rsid w:val="00074A0A"/>
    <w:rsid w:val="00074FCA"/>
    <w:rsid w:val="0007564A"/>
    <w:rsid w:val="000756F1"/>
    <w:rsid w:val="00075776"/>
    <w:rsid w:val="000759E6"/>
    <w:rsid w:val="00075A7F"/>
    <w:rsid w:val="00075BB7"/>
    <w:rsid w:val="00075F49"/>
    <w:rsid w:val="000760FC"/>
    <w:rsid w:val="00076A36"/>
    <w:rsid w:val="00076B31"/>
    <w:rsid w:val="00076F96"/>
    <w:rsid w:val="000776BD"/>
    <w:rsid w:val="000776EA"/>
    <w:rsid w:val="000777DB"/>
    <w:rsid w:val="00080A98"/>
    <w:rsid w:val="00080AA3"/>
    <w:rsid w:val="000814AD"/>
    <w:rsid w:val="0008277A"/>
    <w:rsid w:val="00083101"/>
    <w:rsid w:val="0008314E"/>
    <w:rsid w:val="00083AC1"/>
    <w:rsid w:val="00084027"/>
    <w:rsid w:val="00084725"/>
    <w:rsid w:val="00084B40"/>
    <w:rsid w:val="00084FF4"/>
    <w:rsid w:val="00085622"/>
    <w:rsid w:val="00085730"/>
    <w:rsid w:val="000857FB"/>
    <w:rsid w:val="00085B4F"/>
    <w:rsid w:val="00085B88"/>
    <w:rsid w:val="000869A6"/>
    <w:rsid w:val="00086A85"/>
    <w:rsid w:val="00087190"/>
    <w:rsid w:val="000873A1"/>
    <w:rsid w:val="000878A3"/>
    <w:rsid w:val="00087B06"/>
    <w:rsid w:val="00087DED"/>
    <w:rsid w:val="00090923"/>
    <w:rsid w:val="000911BB"/>
    <w:rsid w:val="000915CC"/>
    <w:rsid w:val="00092055"/>
    <w:rsid w:val="000920BC"/>
    <w:rsid w:val="000924CB"/>
    <w:rsid w:val="000927CC"/>
    <w:rsid w:val="000933EE"/>
    <w:rsid w:val="00093E94"/>
    <w:rsid w:val="00094023"/>
    <w:rsid w:val="00094353"/>
    <w:rsid w:val="00094F6C"/>
    <w:rsid w:val="00094FD3"/>
    <w:rsid w:val="000950F3"/>
    <w:rsid w:val="000951E0"/>
    <w:rsid w:val="000953E5"/>
    <w:rsid w:val="00095404"/>
    <w:rsid w:val="00095B79"/>
    <w:rsid w:val="000960A5"/>
    <w:rsid w:val="00096300"/>
    <w:rsid w:val="0009666E"/>
    <w:rsid w:val="000969C0"/>
    <w:rsid w:val="00096E7E"/>
    <w:rsid w:val="0009703A"/>
    <w:rsid w:val="00097075"/>
    <w:rsid w:val="0009707D"/>
    <w:rsid w:val="00097DAC"/>
    <w:rsid w:val="00097F48"/>
    <w:rsid w:val="00097F69"/>
    <w:rsid w:val="000A040A"/>
    <w:rsid w:val="000A06C3"/>
    <w:rsid w:val="000A11F8"/>
    <w:rsid w:val="000A1518"/>
    <w:rsid w:val="000A1A94"/>
    <w:rsid w:val="000A21E7"/>
    <w:rsid w:val="000A2CC7"/>
    <w:rsid w:val="000A37F1"/>
    <w:rsid w:val="000A3C3F"/>
    <w:rsid w:val="000A3EF7"/>
    <w:rsid w:val="000A40BD"/>
    <w:rsid w:val="000A459D"/>
    <w:rsid w:val="000A47CC"/>
    <w:rsid w:val="000A514E"/>
    <w:rsid w:val="000A55AF"/>
    <w:rsid w:val="000A55CF"/>
    <w:rsid w:val="000A569F"/>
    <w:rsid w:val="000A62B8"/>
    <w:rsid w:val="000A6743"/>
    <w:rsid w:val="000A6BCD"/>
    <w:rsid w:val="000A74AA"/>
    <w:rsid w:val="000A7512"/>
    <w:rsid w:val="000A76B4"/>
    <w:rsid w:val="000A7716"/>
    <w:rsid w:val="000A7F21"/>
    <w:rsid w:val="000B12D9"/>
    <w:rsid w:val="000B18EB"/>
    <w:rsid w:val="000B20F5"/>
    <w:rsid w:val="000B230A"/>
    <w:rsid w:val="000B243B"/>
    <w:rsid w:val="000B2CCC"/>
    <w:rsid w:val="000B2E47"/>
    <w:rsid w:val="000B318F"/>
    <w:rsid w:val="000B3394"/>
    <w:rsid w:val="000B3B45"/>
    <w:rsid w:val="000B4D11"/>
    <w:rsid w:val="000B54E0"/>
    <w:rsid w:val="000B58DA"/>
    <w:rsid w:val="000B695F"/>
    <w:rsid w:val="000B6FF3"/>
    <w:rsid w:val="000B70D8"/>
    <w:rsid w:val="000B73F3"/>
    <w:rsid w:val="000B76D8"/>
    <w:rsid w:val="000B78CC"/>
    <w:rsid w:val="000B7A11"/>
    <w:rsid w:val="000C032B"/>
    <w:rsid w:val="000C0B72"/>
    <w:rsid w:val="000C0C6C"/>
    <w:rsid w:val="000C0DFE"/>
    <w:rsid w:val="000C0E75"/>
    <w:rsid w:val="000C1138"/>
    <w:rsid w:val="000C1243"/>
    <w:rsid w:val="000C1A53"/>
    <w:rsid w:val="000C1F06"/>
    <w:rsid w:val="000C1F6B"/>
    <w:rsid w:val="000C2798"/>
    <w:rsid w:val="000C2843"/>
    <w:rsid w:val="000C2A89"/>
    <w:rsid w:val="000C2DDD"/>
    <w:rsid w:val="000C3B0E"/>
    <w:rsid w:val="000C3D06"/>
    <w:rsid w:val="000C3E9E"/>
    <w:rsid w:val="000C3F0B"/>
    <w:rsid w:val="000C4BB6"/>
    <w:rsid w:val="000C4C2A"/>
    <w:rsid w:val="000C4D91"/>
    <w:rsid w:val="000C4F3F"/>
    <w:rsid w:val="000C51C8"/>
    <w:rsid w:val="000C51EC"/>
    <w:rsid w:val="000C54E8"/>
    <w:rsid w:val="000C55B5"/>
    <w:rsid w:val="000C56C7"/>
    <w:rsid w:val="000C5832"/>
    <w:rsid w:val="000C5BDD"/>
    <w:rsid w:val="000C67AE"/>
    <w:rsid w:val="000C68AF"/>
    <w:rsid w:val="000C6A92"/>
    <w:rsid w:val="000C6AEC"/>
    <w:rsid w:val="000C721E"/>
    <w:rsid w:val="000C7B1D"/>
    <w:rsid w:val="000D0168"/>
    <w:rsid w:val="000D07A4"/>
    <w:rsid w:val="000D0D28"/>
    <w:rsid w:val="000D1201"/>
    <w:rsid w:val="000D16CC"/>
    <w:rsid w:val="000D17D2"/>
    <w:rsid w:val="000D2250"/>
    <w:rsid w:val="000D2371"/>
    <w:rsid w:val="000D2A1F"/>
    <w:rsid w:val="000D35CF"/>
    <w:rsid w:val="000D3840"/>
    <w:rsid w:val="000D3A25"/>
    <w:rsid w:val="000D3D7B"/>
    <w:rsid w:val="000D5258"/>
    <w:rsid w:val="000D56DE"/>
    <w:rsid w:val="000D5D79"/>
    <w:rsid w:val="000D64A9"/>
    <w:rsid w:val="000D6BF1"/>
    <w:rsid w:val="000D6E36"/>
    <w:rsid w:val="000D71B9"/>
    <w:rsid w:val="000D7286"/>
    <w:rsid w:val="000D7A4F"/>
    <w:rsid w:val="000D7D18"/>
    <w:rsid w:val="000D7D92"/>
    <w:rsid w:val="000E00AD"/>
    <w:rsid w:val="000E064A"/>
    <w:rsid w:val="000E0DA2"/>
    <w:rsid w:val="000E118F"/>
    <w:rsid w:val="000E137A"/>
    <w:rsid w:val="000E14D9"/>
    <w:rsid w:val="000E183F"/>
    <w:rsid w:val="000E19C2"/>
    <w:rsid w:val="000E225B"/>
    <w:rsid w:val="000E23A2"/>
    <w:rsid w:val="000E2675"/>
    <w:rsid w:val="000E2DF7"/>
    <w:rsid w:val="000E32D9"/>
    <w:rsid w:val="000E341C"/>
    <w:rsid w:val="000E372B"/>
    <w:rsid w:val="000E3782"/>
    <w:rsid w:val="000E3BC1"/>
    <w:rsid w:val="000E3E46"/>
    <w:rsid w:val="000E3EAA"/>
    <w:rsid w:val="000E3FF5"/>
    <w:rsid w:val="000E4210"/>
    <w:rsid w:val="000E44C8"/>
    <w:rsid w:val="000E4585"/>
    <w:rsid w:val="000E4E0A"/>
    <w:rsid w:val="000E55F4"/>
    <w:rsid w:val="000E5863"/>
    <w:rsid w:val="000E5C2D"/>
    <w:rsid w:val="000E5F53"/>
    <w:rsid w:val="000E63BC"/>
    <w:rsid w:val="000E662F"/>
    <w:rsid w:val="000E67E0"/>
    <w:rsid w:val="000E68CB"/>
    <w:rsid w:val="000E6C18"/>
    <w:rsid w:val="000E72D2"/>
    <w:rsid w:val="000E7B21"/>
    <w:rsid w:val="000E7B2B"/>
    <w:rsid w:val="000E7BA2"/>
    <w:rsid w:val="000E7C54"/>
    <w:rsid w:val="000F016F"/>
    <w:rsid w:val="000F0703"/>
    <w:rsid w:val="000F0E3B"/>
    <w:rsid w:val="000F11C1"/>
    <w:rsid w:val="000F1222"/>
    <w:rsid w:val="000F14C9"/>
    <w:rsid w:val="000F14E3"/>
    <w:rsid w:val="000F16C6"/>
    <w:rsid w:val="000F184A"/>
    <w:rsid w:val="000F1A5D"/>
    <w:rsid w:val="000F1B22"/>
    <w:rsid w:val="000F1E6F"/>
    <w:rsid w:val="000F1F46"/>
    <w:rsid w:val="000F228A"/>
    <w:rsid w:val="000F272F"/>
    <w:rsid w:val="000F2BD6"/>
    <w:rsid w:val="000F33A2"/>
    <w:rsid w:val="000F40F1"/>
    <w:rsid w:val="000F4300"/>
    <w:rsid w:val="000F4CDC"/>
    <w:rsid w:val="000F4D01"/>
    <w:rsid w:val="000F50A6"/>
    <w:rsid w:val="000F51E3"/>
    <w:rsid w:val="000F60C2"/>
    <w:rsid w:val="000F6102"/>
    <w:rsid w:val="000F66DB"/>
    <w:rsid w:val="000F70C4"/>
    <w:rsid w:val="000F70F5"/>
    <w:rsid w:val="000F70FB"/>
    <w:rsid w:val="000F7105"/>
    <w:rsid w:val="000F7126"/>
    <w:rsid w:val="000F723A"/>
    <w:rsid w:val="000F72EA"/>
    <w:rsid w:val="000F73B1"/>
    <w:rsid w:val="001001A1"/>
    <w:rsid w:val="001001D2"/>
    <w:rsid w:val="001002FB"/>
    <w:rsid w:val="001007BA"/>
    <w:rsid w:val="00100AF5"/>
    <w:rsid w:val="00100D71"/>
    <w:rsid w:val="001013BE"/>
    <w:rsid w:val="00101F08"/>
    <w:rsid w:val="00102642"/>
    <w:rsid w:val="00102CC4"/>
    <w:rsid w:val="001031C6"/>
    <w:rsid w:val="00103BAA"/>
    <w:rsid w:val="0010428D"/>
    <w:rsid w:val="001047A3"/>
    <w:rsid w:val="00104EB0"/>
    <w:rsid w:val="0010509C"/>
    <w:rsid w:val="00105840"/>
    <w:rsid w:val="00105864"/>
    <w:rsid w:val="00105A87"/>
    <w:rsid w:val="00105CD6"/>
    <w:rsid w:val="00106004"/>
    <w:rsid w:val="00106049"/>
    <w:rsid w:val="00106065"/>
    <w:rsid w:val="001062EF"/>
    <w:rsid w:val="0010641C"/>
    <w:rsid w:val="00106956"/>
    <w:rsid w:val="001069CD"/>
    <w:rsid w:val="001069E5"/>
    <w:rsid w:val="00107836"/>
    <w:rsid w:val="00107EAD"/>
    <w:rsid w:val="00107F52"/>
    <w:rsid w:val="00110001"/>
    <w:rsid w:val="001101DA"/>
    <w:rsid w:val="00110305"/>
    <w:rsid w:val="001103ED"/>
    <w:rsid w:val="00110500"/>
    <w:rsid w:val="00110AB4"/>
    <w:rsid w:val="00110D82"/>
    <w:rsid w:val="001110AF"/>
    <w:rsid w:val="0011148D"/>
    <w:rsid w:val="00111BDC"/>
    <w:rsid w:val="00111E7E"/>
    <w:rsid w:val="001126B2"/>
    <w:rsid w:val="001128FB"/>
    <w:rsid w:val="00112F3E"/>
    <w:rsid w:val="00113187"/>
    <w:rsid w:val="00113A2B"/>
    <w:rsid w:val="00113AE3"/>
    <w:rsid w:val="00113B65"/>
    <w:rsid w:val="00114000"/>
    <w:rsid w:val="0011418D"/>
    <w:rsid w:val="00114651"/>
    <w:rsid w:val="0011497A"/>
    <w:rsid w:val="00114B38"/>
    <w:rsid w:val="00114B9D"/>
    <w:rsid w:val="00114FDA"/>
    <w:rsid w:val="00115A26"/>
    <w:rsid w:val="00115C9F"/>
    <w:rsid w:val="00115D74"/>
    <w:rsid w:val="00115FD0"/>
    <w:rsid w:val="00116A00"/>
    <w:rsid w:val="00116B42"/>
    <w:rsid w:val="001173A4"/>
    <w:rsid w:val="00117779"/>
    <w:rsid w:val="001179D8"/>
    <w:rsid w:val="001205CA"/>
    <w:rsid w:val="001208CC"/>
    <w:rsid w:val="00120F9D"/>
    <w:rsid w:val="001215B1"/>
    <w:rsid w:val="00121F6A"/>
    <w:rsid w:val="001221B3"/>
    <w:rsid w:val="0012261B"/>
    <w:rsid w:val="0012280F"/>
    <w:rsid w:val="00122C0D"/>
    <w:rsid w:val="00122C99"/>
    <w:rsid w:val="0012309A"/>
    <w:rsid w:val="001237B9"/>
    <w:rsid w:val="00123B45"/>
    <w:rsid w:val="00123CBA"/>
    <w:rsid w:val="001242E4"/>
    <w:rsid w:val="00124A68"/>
    <w:rsid w:val="00124ABA"/>
    <w:rsid w:val="00124E6C"/>
    <w:rsid w:val="0012597E"/>
    <w:rsid w:val="00126D15"/>
    <w:rsid w:val="00127120"/>
    <w:rsid w:val="001274C5"/>
    <w:rsid w:val="001276CD"/>
    <w:rsid w:val="00127CBC"/>
    <w:rsid w:val="00127F95"/>
    <w:rsid w:val="00127FC8"/>
    <w:rsid w:val="001307E1"/>
    <w:rsid w:val="001309BC"/>
    <w:rsid w:val="001314E6"/>
    <w:rsid w:val="0013156A"/>
    <w:rsid w:val="001315C5"/>
    <w:rsid w:val="00131A2F"/>
    <w:rsid w:val="00131B74"/>
    <w:rsid w:val="00131E2D"/>
    <w:rsid w:val="0013285E"/>
    <w:rsid w:val="00132ED3"/>
    <w:rsid w:val="00132EE3"/>
    <w:rsid w:val="0013312E"/>
    <w:rsid w:val="0013370E"/>
    <w:rsid w:val="001339CD"/>
    <w:rsid w:val="00133CB8"/>
    <w:rsid w:val="00134562"/>
    <w:rsid w:val="001345C3"/>
    <w:rsid w:val="0013487C"/>
    <w:rsid w:val="00134F1E"/>
    <w:rsid w:val="00134FDF"/>
    <w:rsid w:val="00134FEC"/>
    <w:rsid w:val="001351DB"/>
    <w:rsid w:val="00135403"/>
    <w:rsid w:val="00135E3D"/>
    <w:rsid w:val="00136025"/>
    <w:rsid w:val="00136335"/>
    <w:rsid w:val="001368D2"/>
    <w:rsid w:val="001369C4"/>
    <w:rsid w:val="00136BB9"/>
    <w:rsid w:val="001373DC"/>
    <w:rsid w:val="001373E8"/>
    <w:rsid w:val="0013775E"/>
    <w:rsid w:val="00140595"/>
    <w:rsid w:val="001409A9"/>
    <w:rsid w:val="001412F9"/>
    <w:rsid w:val="001414F5"/>
    <w:rsid w:val="001417D3"/>
    <w:rsid w:val="00141D2F"/>
    <w:rsid w:val="00141E15"/>
    <w:rsid w:val="00141E46"/>
    <w:rsid w:val="00141EA4"/>
    <w:rsid w:val="00142243"/>
    <w:rsid w:val="00142391"/>
    <w:rsid w:val="00142BA0"/>
    <w:rsid w:val="00143175"/>
    <w:rsid w:val="00143735"/>
    <w:rsid w:val="00144272"/>
    <w:rsid w:val="001446DD"/>
    <w:rsid w:val="00144920"/>
    <w:rsid w:val="0014513A"/>
    <w:rsid w:val="001454A7"/>
    <w:rsid w:val="001454D1"/>
    <w:rsid w:val="00145ADF"/>
    <w:rsid w:val="00145B34"/>
    <w:rsid w:val="00145F75"/>
    <w:rsid w:val="00146040"/>
    <w:rsid w:val="001463A7"/>
    <w:rsid w:val="00146402"/>
    <w:rsid w:val="001473F7"/>
    <w:rsid w:val="00147480"/>
    <w:rsid w:val="0014757D"/>
    <w:rsid w:val="00147A3D"/>
    <w:rsid w:val="00147A42"/>
    <w:rsid w:val="00147D07"/>
    <w:rsid w:val="0015017B"/>
    <w:rsid w:val="0015034A"/>
    <w:rsid w:val="00150428"/>
    <w:rsid w:val="0015057B"/>
    <w:rsid w:val="00150705"/>
    <w:rsid w:val="00150734"/>
    <w:rsid w:val="001509AB"/>
    <w:rsid w:val="00150B4D"/>
    <w:rsid w:val="00151238"/>
    <w:rsid w:val="001516F9"/>
    <w:rsid w:val="0015226C"/>
    <w:rsid w:val="001522C3"/>
    <w:rsid w:val="001527D7"/>
    <w:rsid w:val="00152C33"/>
    <w:rsid w:val="00152EBE"/>
    <w:rsid w:val="00153133"/>
    <w:rsid w:val="0015318E"/>
    <w:rsid w:val="00153552"/>
    <w:rsid w:val="00153729"/>
    <w:rsid w:val="00153970"/>
    <w:rsid w:val="001550A0"/>
    <w:rsid w:val="0015544D"/>
    <w:rsid w:val="001554F7"/>
    <w:rsid w:val="001559A5"/>
    <w:rsid w:val="0015651D"/>
    <w:rsid w:val="001567EB"/>
    <w:rsid w:val="00156956"/>
    <w:rsid w:val="0015698D"/>
    <w:rsid w:val="00156CCC"/>
    <w:rsid w:val="00157FA1"/>
    <w:rsid w:val="001601AD"/>
    <w:rsid w:val="00160388"/>
    <w:rsid w:val="0016110D"/>
    <w:rsid w:val="00161295"/>
    <w:rsid w:val="00161C75"/>
    <w:rsid w:val="00161E21"/>
    <w:rsid w:val="00162456"/>
    <w:rsid w:val="001628F3"/>
    <w:rsid w:val="001629A0"/>
    <w:rsid w:val="00162C2D"/>
    <w:rsid w:val="0016321C"/>
    <w:rsid w:val="00163359"/>
    <w:rsid w:val="001633DE"/>
    <w:rsid w:val="00163C01"/>
    <w:rsid w:val="00163C87"/>
    <w:rsid w:val="00163FD0"/>
    <w:rsid w:val="0016407F"/>
    <w:rsid w:val="0016464E"/>
    <w:rsid w:val="001648CA"/>
    <w:rsid w:val="00164AD3"/>
    <w:rsid w:val="00164B7C"/>
    <w:rsid w:val="00164CEF"/>
    <w:rsid w:val="00164FDC"/>
    <w:rsid w:val="00165171"/>
    <w:rsid w:val="00165234"/>
    <w:rsid w:val="00165288"/>
    <w:rsid w:val="00166046"/>
    <w:rsid w:val="001663D2"/>
    <w:rsid w:val="001668D3"/>
    <w:rsid w:val="0016797C"/>
    <w:rsid w:val="00167EB7"/>
    <w:rsid w:val="0017037F"/>
    <w:rsid w:val="00170E31"/>
    <w:rsid w:val="00170F64"/>
    <w:rsid w:val="001716AA"/>
    <w:rsid w:val="00171B70"/>
    <w:rsid w:val="00171DD5"/>
    <w:rsid w:val="00171E4F"/>
    <w:rsid w:val="001721D6"/>
    <w:rsid w:val="001725F6"/>
    <w:rsid w:val="00172B96"/>
    <w:rsid w:val="001731C2"/>
    <w:rsid w:val="00173263"/>
    <w:rsid w:val="001737C9"/>
    <w:rsid w:val="00173B91"/>
    <w:rsid w:val="001747F8"/>
    <w:rsid w:val="0017490A"/>
    <w:rsid w:val="00174990"/>
    <w:rsid w:val="00174E68"/>
    <w:rsid w:val="001751ED"/>
    <w:rsid w:val="001756B9"/>
    <w:rsid w:val="001758DC"/>
    <w:rsid w:val="00176F69"/>
    <w:rsid w:val="001773C4"/>
    <w:rsid w:val="001775D5"/>
    <w:rsid w:val="00177D4C"/>
    <w:rsid w:val="00177EDB"/>
    <w:rsid w:val="00180CE4"/>
    <w:rsid w:val="001817D1"/>
    <w:rsid w:val="00181991"/>
    <w:rsid w:val="0018269D"/>
    <w:rsid w:val="0018285D"/>
    <w:rsid w:val="00182A7D"/>
    <w:rsid w:val="00182BCB"/>
    <w:rsid w:val="0018301A"/>
    <w:rsid w:val="00183498"/>
    <w:rsid w:val="001834E5"/>
    <w:rsid w:val="0018353E"/>
    <w:rsid w:val="00183982"/>
    <w:rsid w:val="00183D47"/>
    <w:rsid w:val="00183D76"/>
    <w:rsid w:val="00183E23"/>
    <w:rsid w:val="00183E3B"/>
    <w:rsid w:val="00184D86"/>
    <w:rsid w:val="00184DB4"/>
    <w:rsid w:val="00184FB2"/>
    <w:rsid w:val="0018519C"/>
    <w:rsid w:val="001852D7"/>
    <w:rsid w:val="00185B12"/>
    <w:rsid w:val="00186B5C"/>
    <w:rsid w:val="00186D50"/>
    <w:rsid w:val="0018739D"/>
    <w:rsid w:val="00187AB5"/>
    <w:rsid w:val="001902D5"/>
    <w:rsid w:val="00190431"/>
    <w:rsid w:val="0019050A"/>
    <w:rsid w:val="001905FA"/>
    <w:rsid w:val="00190687"/>
    <w:rsid w:val="00190900"/>
    <w:rsid w:val="001910F0"/>
    <w:rsid w:val="001914D3"/>
    <w:rsid w:val="001915B7"/>
    <w:rsid w:val="001919C4"/>
    <w:rsid w:val="00191E5B"/>
    <w:rsid w:val="0019228F"/>
    <w:rsid w:val="0019232D"/>
    <w:rsid w:val="001946D0"/>
    <w:rsid w:val="0019475F"/>
    <w:rsid w:val="0019493E"/>
    <w:rsid w:val="00195216"/>
    <w:rsid w:val="00195BA9"/>
    <w:rsid w:val="00195BD1"/>
    <w:rsid w:val="0019601F"/>
    <w:rsid w:val="001960E2"/>
    <w:rsid w:val="0019620A"/>
    <w:rsid w:val="00196949"/>
    <w:rsid w:val="001969B1"/>
    <w:rsid w:val="00196B44"/>
    <w:rsid w:val="00196CC4"/>
    <w:rsid w:val="00196F5D"/>
    <w:rsid w:val="00197758"/>
    <w:rsid w:val="00197ADB"/>
    <w:rsid w:val="001A04E0"/>
    <w:rsid w:val="001A0DF5"/>
    <w:rsid w:val="001A1545"/>
    <w:rsid w:val="001A1CA8"/>
    <w:rsid w:val="001A281D"/>
    <w:rsid w:val="001A29BA"/>
    <w:rsid w:val="001A3163"/>
    <w:rsid w:val="001A3624"/>
    <w:rsid w:val="001A3696"/>
    <w:rsid w:val="001A40A2"/>
    <w:rsid w:val="001A41D7"/>
    <w:rsid w:val="001A4D32"/>
    <w:rsid w:val="001A4F27"/>
    <w:rsid w:val="001A551C"/>
    <w:rsid w:val="001A5712"/>
    <w:rsid w:val="001A58B0"/>
    <w:rsid w:val="001A617D"/>
    <w:rsid w:val="001A63F2"/>
    <w:rsid w:val="001A68D7"/>
    <w:rsid w:val="001A6B93"/>
    <w:rsid w:val="001A705A"/>
    <w:rsid w:val="001A7330"/>
    <w:rsid w:val="001A78CD"/>
    <w:rsid w:val="001A79EA"/>
    <w:rsid w:val="001A7DE9"/>
    <w:rsid w:val="001A7E75"/>
    <w:rsid w:val="001B007B"/>
    <w:rsid w:val="001B02DA"/>
    <w:rsid w:val="001B0641"/>
    <w:rsid w:val="001B0865"/>
    <w:rsid w:val="001B1716"/>
    <w:rsid w:val="001B27BC"/>
    <w:rsid w:val="001B2D99"/>
    <w:rsid w:val="001B3688"/>
    <w:rsid w:val="001B3E04"/>
    <w:rsid w:val="001B4679"/>
    <w:rsid w:val="001B4F61"/>
    <w:rsid w:val="001B5934"/>
    <w:rsid w:val="001B59FD"/>
    <w:rsid w:val="001B5B3E"/>
    <w:rsid w:val="001B658C"/>
    <w:rsid w:val="001B68AB"/>
    <w:rsid w:val="001B69D0"/>
    <w:rsid w:val="001B6E80"/>
    <w:rsid w:val="001B7279"/>
    <w:rsid w:val="001B77F5"/>
    <w:rsid w:val="001B7C7B"/>
    <w:rsid w:val="001C011F"/>
    <w:rsid w:val="001C0310"/>
    <w:rsid w:val="001C075F"/>
    <w:rsid w:val="001C179E"/>
    <w:rsid w:val="001C212A"/>
    <w:rsid w:val="001C2185"/>
    <w:rsid w:val="001C2ACC"/>
    <w:rsid w:val="001C2C9C"/>
    <w:rsid w:val="001C3B56"/>
    <w:rsid w:val="001C3EF3"/>
    <w:rsid w:val="001C4230"/>
    <w:rsid w:val="001C4725"/>
    <w:rsid w:val="001C4887"/>
    <w:rsid w:val="001C48A2"/>
    <w:rsid w:val="001C4BAE"/>
    <w:rsid w:val="001C4EA1"/>
    <w:rsid w:val="001C4F61"/>
    <w:rsid w:val="001C511B"/>
    <w:rsid w:val="001C59A1"/>
    <w:rsid w:val="001C5B54"/>
    <w:rsid w:val="001C5B5B"/>
    <w:rsid w:val="001C6A14"/>
    <w:rsid w:val="001C6BA8"/>
    <w:rsid w:val="001C731A"/>
    <w:rsid w:val="001C73C6"/>
    <w:rsid w:val="001C75B2"/>
    <w:rsid w:val="001C761F"/>
    <w:rsid w:val="001C7D8C"/>
    <w:rsid w:val="001C7E72"/>
    <w:rsid w:val="001D0894"/>
    <w:rsid w:val="001D0AB3"/>
    <w:rsid w:val="001D0ABD"/>
    <w:rsid w:val="001D1254"/>
    <w:rsid w:val="001D2325"/>
    <w:rsid w:val="001D30DB"/>
    <w:rsid w:val="001D3C64"/>
    <w:rsid w:val="001D3C83"/>
    <w:rsid w:val="001D3FA6"/>
    <w:rsid w:val="001D4329"/>
    <w:rsid w:val="001D5249"/>
    <w:rsid w:val="001D5B0C"/>
    <w:rsid w:val="001D5B6C"/>
    <w:rsid w:val="001D5EDF"/>
    <w:rsid w:val="001D613B"/>
    <w:rsid w:val="001D644C"/>
    <w:rsid w:val="001D6543"/>
    <w:rsid w:val="001D6790"/>
    <w:rsid w:val="001D6D2D"/>
    <w:rsid w:val="001D75E0"/>
    <w:rsid w:val="001D78D1"/>
    <w:rsid w:val="001D7966"/>
    <w:rsid w:val="001D7ED5"/>
    <w:rsid w:val="001E04FF"/>
    <w:rsid w:val="001E05B4"/>
    <w:rsid w:val="001E064E"/>
    <w:rsid w:val="001E06C6"/>
    <w:rsid w:val="001E0B97"/>
    <w:rsid w:val="001E0CB0"/>
    <w:rsid w:val="001E0CEE"/>
    <w:rsid w:val="001E0D5D"/>
    <w:rsid w:val="001E1294"/>
    <w:rsid w:val="001E1557"/>
    <w:rsid w:val="001E1728"/>
    <w:rsid w:val="001E1C3E"/>
    <w:rsid w:val="001E2907"/>
    <w:rsid w:val="001E297A"/>
    <w:rsid w:val="001E2B69"/>
    <w:rsid w:val="001E32FF"/>
    <w:rsid w:val="001E3372"/>
    <w:rsid w:val="001E351E"/>
    <w:rsid w:val="001E3B79"/>
    <w:rsid w:val="001E47F9"/>
    <w:rsid w:val="001E5204"/>
    <w:rsid w:val="001E5229"/>
    <w:rsid w:val="001E53BE"/>
    <w:rsid w:val="001E5457"/>
    <w:rsid w:val="001E5631"/>
    <w:rsid w:val="001E564F"/>
    <w:rsid w:val="001E578D"/>
    <w:rsid w:val="001E5C14"/>
    <w:rsid w:val="001E5D1C"/>
    <w:rsid w:val="001E6266"/>
    <w:rsid w:val="001E7012"/>
    <w:rsid w:val="001E7AB4"/>
    <w:rsid w:val="001E7D07"/>
    <w:rsid w:val="001E7E9C"/>
    <w:rsid w:val="001F0635"/>
    <w:rsid w:val="001F0BBE"/>
    <w:rsid w:val="001F14E6"/>
    <w:rsid w:val="001F15AD"/>
    <w:rsid w:val="001F1C99"/>
    <w:rsid w:val="001F1D38"/>
    <w:rsid w:val="001F1F83"/>
    <w:rsid w:val="001F2078"/>
    <w:rsid w:val="001F244A"/>
    <w:rsid w:val="001F26CF"/>
    <w:rsid w:val="001F2CB9"/>
    <w:rsid w:val="001F3298"/>
    <w:rsid w:val="001F388C"/>
    <w:rsid w:val="001F40B6"/>
    <w:rsid w:val="001F4244"/>
    <w:rsid w:val="001F4804"/>
    <w:rsid w:val="001F4D96"/>
    <w:rsid w:val="001F50E7"/>
    <w:rsid w:val="001F5188"/>
    <w:rsid w:val="001F51B1"/>
    <w:rsid w:val="001F5A33"/>
    <w:rsid w:val="001F5AFA"/>
    <w:rsid w:val="001F5BFB"/>
    <w:rsid w:val="001F5C50"/>
    <w:rsid w:val="001F63D8"/>
    <w:rsid w:val="001F67E0"/>
    <w:rsid w:val="001F6FB7"/>
    <w:rsid w:val="001F709F"/>
    <w:rsid w:val="001F7502"/>
    <w:rsid w:val="001F7552"/>
    <w:rsid w:val="001F7831"/>
    <w:rsid w:val="001F7AEB"/>
    <w:rsid w:val="001F7B9B"/>
    <w:rsid w:val="0020007F"/>
    <w:rsid w:val="00200258"/>
    <w:rsid w:val="002007B6"/>
    <w:rsid w:val="00200BB7"/>
    <w:rsid w:val="00201363"/>
    <w:rsid w:val="0020151A"/>
    <w:rsid w:val="00201534"/>
    <w:rsid w:val="002017B3"/>
    <w:rsid w:val="002019FE"/>
    <w:rsid w:val="00201A24"/>
    <w:rsid w:val="00201C5D"/>
    <w:rsid w:val="002020C2"/>
    <w:rsid w:val="00202758"/>
    <w:rsid w:val="00202BB7"/>
    <w:rsid w:val="00203003"/>
    <w:rsid w:val="002035C0"/>
    <w:rsid w:val="00203971"/>
    <w:rsid w:val="002039D8"/>
    <w:rsid w:val="00203A70"/>
    <w:rsid w:val="00203CFD"/>
    <w:rsid w:val="002046C6"/>
    <w:rsid w:val="00204B25"/>
    <w:rsid w:val="00204B97"/>
    <w:rsid w:val="00204DB2"/>
    <w:rsid w:val="00204EA0"/>
    <w:rsid w:val="00205187"/>
    <w:rsid w:val="0020578E"/>
    <w:rsid w:val="00205B83"/>
    <w:rsid w:val="00205EC7"/>
    <w:rsid w:val="00205FE1"/>
    <w:rsid w:val="00206013"/>
    <w:rsid w:val="00206411"/>
    <w:rsid w:val="002071D1"/>
    <w:rsid w:val="00207D13"/>
    <w:rsid w:val="00207F99"/>
    <w:rsid w:val="002104DA"/>
    <w:rsid w:val="00210895"/>
    <w:rsid w:val="00210D76"/>
    <w:rsid w:val="002111B4"/>
    <w:rsid w:val="0021125F"/>
    <w:rsid w:val="0021135D"/>
    <w:rsid w:val="002129AB"/>
    <w:rsid w:val="00212E20"/>
    <w:rsid w:val="00212FB4"/>
    <w:rsid w:val="00213629"/>
    <w:rsid w:val="00213CA4"/>
    <w:rsid w:val="00213D3F"/>
    <w:rsid w:val="00213ED1"/>
    <w:rsid w:val="00214055"/>
    <w:rsid w:val="00214922"/>
    <w:rsid w:val="00214A69"/>
    <w:rsid w:val="00214B61"/>
    <w:rsid w:val="00214DD5"/>
    <w:rsid w:val="00214DEE"/>
    <w:rsid w:val="00215093"/>
    <w:rsid w:val="0021565B"/>
    <w:rsid w:val="002156F9"/>
    <w:rsid w:val="002157EE"/>
    <w:rsid w:val="00215DA1"/>
    <w:rsid w:val="00216012"/>
    <w:rsid w:val="002160A9"/>
    <w:rsid w:val="0021624A"/>
    <w:rsid w:val="00216450"/>
    <w:rsid w:val="00216500"/>
    <w:rsid w:val="00216528"/>
    <w:rsid w:val="002165F6"/>
    <w:rsid w:val="00216827"/>
    <w:rsid w:val="00216A17"/>
    <w:rsid w:val="00216D8E"/>
    <w:rsid w:val="00216DAB"/>
    <w:rsid w:val="00216F09"/>
    <w:rsid w:val="00217057"/>
    <w:rsid w:val="00217658"/>
    <w:rsid w:val="002177D7"/>
    <w:rsid w:val="0021788B"/>
    <w:rsid w:val="00220179"/>
    <w:rsid w:val="002206C7"/>
    <w:rsid w:val="00220E89"/>
    <w:rsid w:val="002216CE"/>
    <w:rsid w:val="002217D8"/>
    <w:rsid w:val="00221A49"/>
    <w:rsid w:val="00221AEF"/>
    <w:rsid w:val="002222F7"/>
    <w:rsid w:val="002225EA"/>
    <w:rsid w:val="002226CF"/>
    <w:rsid w:val="0022298D"/>
    <w:rsid w:val="00222CD8"/>
    <w:rsid w:val="00222E60"/>
    <w:rsid w:val="002234BD"/>
    <w:rsid w:val="00223F81"/>
    <w:rsid w:val="0022418E"/>
    <w:rsid w:val="0022421F"/>
    <w:rsid w:val="0022448A"/>
    <w:rsid w:val="00224616"/>
    <w:rsid w:val="00224617"/>
    <w:rsid w:val="00224659"/>
    <w:rsid w:val="0022488A"/>
    <w:rsid w:val="002248C4"/>
    <w:rsid w:val="00224A89"/>
    <w:rsid w:val="00224B1F"/>
    <w:rsid w:val="00224FF9"/>
    <w:rsid w:val="00225C60"/>
    <w:rsid w:val="00225D3E"/>
    <w:rsid w:val="00226A46"/>
    <w:rsid w:val="00226C3B"/>
    <w:rsid w:val="00227FCF"/>
    <w:rsid w:val="00230251"/>
    <w:rsid w:val="00230419"/>
    <w:rsid w:val="00230898"/>
    <w:rsid w:val="002308E6"/>
    <w:rsid w:val="00230BC9"/>
    <w:rsid w:val="002312B3"/>
    <w:rsid w:val="002313CF"/>
    <w:rsid w:val="0023159D"/>
    <w:rsid w:val="00231617"/>
    <w:rsid w:val="00232643"/>
    <w:rsid w:val="00232E5F"/>
    <w:rsid w:val="002331B4"/>
    <w:rsid w:val="002331C3"/>
    <w:rsid w:val="0023360E"/>
    <w:rsid w:val="00233864"/>
    <w:rsid w:val="002344D1"/>
    <w:rsid w:val="00234BAF"/>
    <w:rsid w:val="00234EC0"/>
    <w:rsid w:val="0023504C"/>
    <w:rsid w:val="002350D2"/>
    <w:rsid w:val="00235318"/>
    <w:rsid w:val="002356CA"/>
    <w:rsid w:val="00235888"/>
    <w:rsid w:val="00235CFF"/>
    <w:rsid w:val="00235DC6"/>
    <w:rsid w:val="00236759"/>
    <w:rsid w:val="00236B4A"/>
    <w:rsid w:val="00236DF5"/>
    <w:rsid w:val="00236F07"/>
    <w:rsid w:val="00237EAE"/>
    <w:rsid w:val="002404CD"/>
    <w:rsid w:val="0024056E"/>
    <w:rsid w:val="00240CA5"/>
    <w:rsid w:val="00240D3E"/>
    <w:rsid w:val="00240D9C"/>
    <w:rsid w:val="00240F03"/>
    <w:rsid w:val="00240FA1"/>
    <w:rsid w:val="00241719"/>
    <w:rsid w:val="00241F5C"/>
    <w:rsid w:val="002425AA"/>
    <w:rsid w:val="00242600"/>
    <w:rsid w:val="00242BB2"/>
    <w:rsid w:val="00244072"/>
    <w:rsid w:val="00244175"/>
    <w:rsid w:val="002445E9"/>
    <w:rsid w:val="002446E8"/>
    <w:rsid w:val="00244E51"/>
    <w:rsid w:val="00244EBF"/>
    <w:rsid w:val="00245130"/>
    <w:rsid w:val="0024546B"/>
    <w:rsid w:val="00245D12"/>
    <w:rsid w:val="002466DC"/>
    <w:rsid w:val="00246807"/>
    <w:rsid w:val="002468D5"/>
    <w:rsid w:val="00246C8F"/>
    <w:rsid w:val="00247025"/>
    <w:rsid w:val="0024735D"/>
    <w:rsid w:val="002473A2"/>
    <w:rsid w:val="002475D0"/>
    <w:rsid w:val="00247CE0"/>
    <w:rsid w:val="00247F8B"/>
    <w:rsid w:val="00250049"/>
    <w:rsid w:val="0025029F"/>
    <w:rsid w:val="00250307"/>
    <w:rsid w:val="00250CFA"/>
    <w:rsid w:val="00250E61"/>
    <w:rsid w:val="00250F6B"/>
    <w:rsid w:val="002511C3"/>
    <w:rsid w:val="00251234"/>
    <w:rsid w:val="00251CF9"/>
    <w:rsid w:val="00251EC8"/>
    <w:rsid w:val="00252A6F"/>
    <w:rsid w:val="00252BEC"/>
    <w:rsid w:val="00252D5D"/>
    <w:rsid w:val="00253158"/>
    <w:rsid w:val="002533A9"/>
    <w:rsid w:val="00253761"/>
    <w:rsid w:val="00253E17"/>
    <w:rsid w:val="00253EDE"/>
    <w:rsid w:val="00254BC4"/>
    <w:rsid w:val="00254F3C"/>
    <w:rsid w:val="00255018"/>
    <w:rsid w:val="00255142"/>
    <w:rsid w:val="002553E0"/>
    <w:rsid w:val="00255CAA"/>
    <w:rsid w:val="00255CAC"/>
    <w:rsid w:val="002561CC"/>
    <w:rsid w:val="00256281"/>
    <w:rsid w:val="002563ED"/>
    <w:rsid w:val="002567F1"/>
    <w:rsid w:val="00256D26"/>
    <w:rsid w:val="002574F6"/>
    <w:rsid w:val="00257590"/>
    <w:rsid w:val="00257609"/>
    <w:rsid w:val="0025774D"/>
    <w:rsid w:val="00257B72"/>
    <w:rsid w:val="00257FF7"/>
    <w:rsid w:val="002600C6"/>
    <w:rsid w:val="002601C9"/>
    <w:rsid w:val="0026072A"/>
    <w:rsid w:val="002608D3"/>
    <w:rsid w:val="00260A86"/>
    <w:rsid w:val="00260AFD"/>
    <w:rsid w:val="00260C10"/>
    <w:rsid w:val="00261B47"/>
    <w:rsid w:val="00261C15"/>
    <w:rsid w:val="002621AA"/>
    <w:rsid w:val="00262337"/>
    <w:rsid w:val="0026238E"/>
    <w:rsid w:val="0026239E"/>
    <w:rsid w:val="00262A84"/>
    <w:rsid w:val="00262AEF"/>
    <w:rsid w:val="0026312C"/>
    <w:rsid w:val="00263764"/>
    <w:rsid w:val="0026386B"/>
    <w:rsid w:val="00263A49"/>
    <w:rsid w:val="00263DBC"/>
    <w:rsid w:val="00263EB7"/>
    <w:rsid w:val="00264206"/>
    <w:rsid w:val="00264A62"/>
    <w:rsid w:val="00264FB8"/>
    <w:rsid w:val="00265326"/>
    <w:rsid w:val="00265603"/>
    <w:rsid w:val="0026595E"/>
    <w:rsid w:val="00265A4F"/>
    <w:rsid w:val="00265B89"/>
    <w:rsid w:val="00265F22"/>
    <w:rsid w:val="0026634D"/>
    <w:rsid w:val="002665A5"/>
    <w:rsid w:val="00266A46"/>
    <w:rsid w:val="00266A96"/>
    <w:rsid w:val="00266F84"/>
    <w:rsid w:val="002672B0"/>
    <w:rsid w:val="00267E97"/>
    <w:rsid w:val="00270384"/>
    <w:rsid w:val="0027052D"/>
    <w:rsid w:val="00270986"/>
    <w:rsid w:val="00270D71"/>
    <w:rsid w:val="00271033"/>
    <w:rsid w:val="002713DC"/>
    <w:rsid w:val="002716A5"/>
    <w:rsid w:val="0027175C"/>
    <w:rsid w:val="002717CC"/>
    <w:rsid w:val="0027193C"/>
    <w:rsid w:val="00271AB1"/>
    <w:rsid w:val="00271DC4"/>
    <w:rsid w:val="00271E10"/>
    <w:rsid w:val="00272004"/>
    <w:rsid w:val="0027222D"/>
    <w:rsid w:val="00272F71"/>
    <w:rsid w:val="002738E4"/>
    <w:rsid w:val="00273C05"/>
    <w:rsid w:val="0027440C"/>
    <w:rsid w:val="0027443B"/>
    <w:rsid w:val="002753EA"/>
    <w:rsid w:val="00275A47"/>
    <w:rsid w:val="00276562"/>
    <w:rsid w:val="00276907"/>
    <w:rsid w:val="002770C7"/>
    <w:rsid w:val="0027714F"/>
    <w:rsid w:val="002777DB"/>
    <w:rsid w:val="00277D39"/>
    <w:rsid w:val="002800D6"/>
    <w:rsid w:val="002800E8"/>
    <w:rsid w:val="0028057E"/>
    <w:rsid w:val="00280B09"/>
    <w:rsid w:val="00280B22"/>
    <w:rsid w:val="00280C61"/>
    <w:rsid w:val="00280EF6"/>
    <w:rsid w:val="00281137"/>
    <w:rsid w:val="0028191A"/>
    <w:rsid w:val="00282AE4"/>
    <w:rsid w:val="00282B52"/>
    <w:rsid w:val="00282EC6"/>
    <w:rsid w:val="0028302A"/>
    <w:rsid w:val="00284057"/>
    <w:rsid w:val="00284AAB"/>
    <w:rsid w:val="002855E7"/>
    <w:rsid w:val="00285F4E"/>
    <w:rsid w:val="00285FA0"/>
    <w:rsid w:val="0028660F"/>
    <w:rsid w:val="00286BFD"/>
    <w:rsid w:val="00286F01"/>
    <w:rsid w:val="002872F2"/>
    <w:rsid w:val="00287F64"/>
    <w:rsid w:val="00290669"/>
    <w:rsid w:val="002906BF"/>
    <w:rsid w:val="0029071F"/>
    <w:rsid w:val="00290950"/>
    <w:rsid w:val="00290BD9"/>
    <w:rsid w:val="00291231"/>
    <w:rsid w:val="0029143D"/>
    <w:rsid w:val="002917F3"/>
    <w:rsid w:val="00292411"/>
    <w:rsid w:val="00292B80"/>
    <w:rsid w:val="00292BCF"/>
    <w:rsid w:val="002935BA"/>
    <w:rsid w:val="002937F9"/>
    <w:rsid w:val="00293CD4"/>
    <w:rsid w:val="002947F1"/>
    <w:rsid w:val="00294E0E"/>
    <w:rsid w:val="00295054"/>
    <w:rsid w:val="002951F1"/>
    <w:rsid w:val="00295B7E"/>
    <w:rsid w:val="00295C7B"/>
    <w:rsid w:val="00295F3D"/>
    <w:rsid w:val="00296C1B"/>
    <w:rsid w:val="00297832"/>
    <w:rsid w:val="00297AC8"/>
    <w:rsid w:val="00297BBC"/>
    <w:rsid w:val="002A00A3"/>
    <w:rsid w:val="002A0489"/>
    <w:rsid w:val="002A08CC"/>
    <w:rsid w:val="002A0AB2"/>
    <w:rsid w:val="002A1364"/>
    <w:rsid w:val="002A16DF"/>
    <w:rsid w:val="002A17C1"/>
    <w:rsid w:val="002A1B49"/>
    <w:rsid w:val="002A2AF2"/>
    <w:rsid w:val="002A2C8D"/>
    <w:rsid w:val="002A2D53"/>
    <w:rsid w:val="002A3192"/>
    <w:rsid w:val="002A3847"/>
    <w:rsid w:val="002A4CFC"/>
    <w:rsid w:val="002A4F53"/>
    <w:rsid w:val="002A5669"/>
    <w:rsid w:val="002A5A15"/>
    <w:rsid w:val="002A5A49"/>
    <w:rsid w:val="002A6266"/>
    <w:rsid w:val="002A6345"/>
    <w:rsid w:val="002A648E"/>
    <w:rsid w:val="002A6BC5"/>
    <w:rsid w:val="002A6BF5"/>
    <w:rsid w:val="002A6C9C"/>
    <w:rsid w:val="002A70BB"/>
    <w:rsid w:val="002A7531"/>
    <w:rsid w:val="002A767A"/>
    <w:rsid w:val="002A7D2D"/>
    <w:rsid w:val="002A7D7D"/>
    <w:rsid w:val="002B04A7"/>
    <w:rsid w:val="002B07C8"/>
    <w:rsid w:val="002B0E49"/>
    <w:rsid w:val="002B11D5"/>
    <w:rsid w:val="002B15C7"/>
    <w:rsid w:val="002B1782"/>
    <w:rsid w:val="002B1933"/>
    <w:rsid w:val="002B2A02"/>
    <w:rsid w:val="002B2CAF"/>
    <w:rsid w:val="002B2FE6"/>
    <w:rsid w:val="002B304E"/>
    <w:rsid w:val="002B337D"/>
    <w:rsid w:val="002B3642"/>
    <w:rsid w:val="002B44B8"/>
    <w:rsid w:val="002B4714"/>
    <w:rsid w:val="002B47D7"/>
    <w:rsid w:val="002B4E03"/>
    <w:rsid w:val="002B4EFF"/>
    <w:rsid w:val="002B516F"/>
    <w:rsid w:val="002B5289"/>
    <w:rsid w:val="002B535A"/>
    <w:rsid w:val="002B5380"/>
    <w:rsid w:val="002B542F"/>
    <w:rsid w:val="002B59EB"/>
    <w:rsid w:val="002B5E28"/>
    <w:rsid w:val="002B6090"/>
    <w:rsid w:val="002B6560"/>
    <w:rsid w:val="002B6D49"/>
    <w:rsid w:val="002B6EF0"/>
    <w:rsid w:val="002B721D"/>
    <w:rsid w:val="002B7FA3"/>
    <w:rsid w:val="002C004A"/>
    <w:rsid w:val="002C032F"/>
    <w:rsid w:val="002C0441"/>
    <w:rsid w:val="002C0511"/>
    <w:rsid w:val="002C0694"/>
    <w:rsid w:val="002C08F6"/>
    <w:rsid w:val="002C0954"/>
    <w:rsid w:val="002C1270"/>
    <w:rsid w:val="002C16E7"/>
    <w:rsid w:val="002C2450"/>
    <w:rsid w:val="002C299C"/>
    <w:rsid w:val="002C2A8B"/>
    <w:rsid w:val="002C2F2B"/>
    <w:rsid w:val="002C343C"/>
    <w:rsid w:val="002C38C5"/>
    <w:rsid w:val="002C398A"/>
    <w:rsid w:val="002C3B9F"/>
    <w:rsid w:val="002C48B1"/>
    <w:rsid w:val="002C48FC"/>
    <w:rsid w:val="002C4A95"/>
    <w:rsid w:val="002C5275"/>
    <w:rsid w:val="002C538B"/>
    <w:rsid w:val="002C5F6E"/>
    <w:rsid w:val="002C6317"/>
    <w:rsid w:val="002C7037"/>
    <w:rsid w:val="002C70AC"/>
    <w:rsid w:val="002C7319"/>
    <w:rsid w:val="002C74CC"/>
    <w:rsid w:val="002C79C0"/>
    <w:rsid w:val="002C7D8D"/>
    <w:rsid w:val="002C7E52"/>
    <w:rsid w:val="002C7FF2"/>
    <w:rsid w:val="002D060C"/>
    <w:rsid w:val="002D103E"/>
    <w:rsid w:val="002D1364"/>
    <w:rsid w:val="002D1757"/>
    <w:rsid w:val="002D178A"/>
    <w:rsid w:val="002D1914"/>
    <w:rsid w:val="002D1CCC"/>
    <w:rsid w:val="002D1CF0"/>
    <w:rsid w:val="002D1D13"/>
    <w:rsid w:val="002D25A7"/>
    <w:rsid w:val="002D25CB"/>
    <w:rsid w:val="002D3331"/>
    <w:rsid w:val="002D35AD"/>
    <w:rsid w:val="002D38AB"/>
    <w:rsid w:val="002D3C52"/>
    <w:rsid w:val="002D40BB"/>
    <w:rsid w:val="002D4116"/>
    <w:rsid w:val="002D42B1"/>
    <w:rsid w:val="002D4648"/>
    <w:rsid w:val="002D4901"/>
    <w:rsid w:val="002D49D1"/>
    <w:rsid w:val="002D4BAD"/>
    <w:rsid w:val="002D4F6A"/>
    <w:rsid w:val="002D5144"/>
    <w:rsid w:val="002D5476"/>
    <w:rsid w:val="002D553F"/>
    <w:rsid w:val="002D586E"/>
    <w:rsid w:val="002D6721"/>
    <w:rsid w:val="002D6B34"/>
    <w:rsid w:val="002D6E25"/>
    <w:rsid w:val="002D72EF"/>
    <w:rsid w:val="002D72FD"/>
    <w:rsid w:val="002D7640"/>
    <w:rsid w:val="002D7B13"/>
    <w:rsid w:val="002E1230"/>
    <w:rsid w:val="002E1475"/>
    <w:rsid w:val="002E1682"/>
    <w:rsid w:val="002E241E"/>
    <w:rsid w:val="002E2A4A"/>
    <w:rsid w:val="002E3AFC"/>
    <w:rsid w:val="002E4521"/>
    <w:rsid w:val="002E4602"/>
    <w:rsid w:val="002E47BF"/>
    <w:rsid w:val="002E4A60"/>
    <w:rsid w:val="002E4AF0"/>
    <w:rsid w:val="002E4B48"/>
    <w:rsid w:val="002E5289"/>
    <w:rsid w:val="002E590F"/>
    <w:rsid w:val="002E6176"/>
    <w:rsid w:val="002E689E"/>
    <w:rsid w:val="002E690B"/>
    <w:rsid w:val="002E6FCA"/>
    <w:rsid w:val="002E78FC"/>
    <w:rsid w:val="002E796C"/>
    <w:rsid w:val="002E7980"/>
    <w:rsid w:val="002F05F5"/>
    <w:rsid w:val="002F1045"/>
    <w:rsid w:val="002F10F4"/>
    <w:rsid w:val="002F15CE"/>
    <w:rsid w:val="002F1716"/>
    <w:rsid w:val="002F1940"/>
    <w:rsid w:val="002F1A52"/>
    <w:rsid w:val="002F1DA4"/>
    <w:rsid w:val="002F1DAC"/>
    <w:rsid w:val="002F239A"/>
    <w:rsid w:val="002F23ED"/>
    <w:rsid w:val="002F242F"/>
    <w:rsid w:val="002F2518"/>
    <w:rsid w:val="002F28AC"/>
    <w:rsid w:val="002F2E4B"/>
    <w:rsid w:val="002F31C6"/>
    <w:rsid w:val="002F3481"/>
    <w:rsid w:val="002F38FA"/>
    <w:rsid w:val="002F3A14"/>
    <w:rsid w:val="002F42B0"/>
    <w:rsid w:val="002F454E"/>
    <w:rsid w:val="002F47CB"/>
    <w:rsid w:val="002F4DA0"/>
    <w:rsid w:val="002F5092"/>
    <w:rsid w:val="002F552C"/>
    <w:rsid w:val="002F5927"/>
    <w:rsid w:val="002F5C24"/>
    <w:rsid w:val="002F5C7D"/>
    <w:rsid w:val="002F5F2E"/>
    <w:rsid w:val="002F64FD"/>
    <w:rsid w:val="002F689B"/>
    <w:rsid w:val="002F691D"/>
    <w:rsid w:val="002F7254"/>
    <w:rsid w:val="002F733C"/>
    <w:rsid w:val="002F7979"/>
    <w:rsid w:val="0030005F"/>
    <w:rsid w:val="003003E4"/>
    <w:rsid w:val="003010A9"/>
    <w:rsid w:val="00301408"/>
    <w:rsid w:val="0030209A"/>
    <w:rsid w:val="003020D0"/>
    <w:rsid w:val="0030246F"/>
    <w:rsid w:val="0030280D"/>
    <w:rsid w:val="0030281E"/>
    <w:rsid w:val="00302BF0"/>
    <w:rsid w:val="003035CA"/>
    <w:rsid w:val="00303B31"/>
    <w:rsid w:val="00303EE7"/>
    <w:rsid w:val="0030425B"/>
    <w:rsid w:val="003043F5"/>
    <w:rsid w:val="00304C7C"/>
    <w:rsid w:val="00304FCF"/>
    <w:rsid w:val="003050DB"/>
    <w:rsid w:val="003053E0"/>
    <w:rsid w:val="0030545E"/>
    <w:rsid w:val="00305EB1"/>
    <w:rsid w:val="003065EC"/>
    <w:rsid w:val="003067E4"/>
    <w:rsid w:val="00306B65"/>
    <w:rsid w:val="00306D2A"/>
    <w:rsid w:val="00307DA0"/>
    <w:rsid w:val="003101E0"/>
    <w:rsid w:val="0031058F"/>
    <w:rsid w:val="00310A9F"/>
    <w:rsid w:val="00311314"/>
    <w:rsid w:val="00311378"/>
    <w:rsid w:val="003120A4"/>
    <w:rsid w:val="003124AF"/>
    <w:rsid w:val="00312626"/>
    <w:rsid w:val="00312661"/>
    <w:rsid w:val="003129BA"/>
    <w:rsid w:val="00312A79"/>
    <w:rsid w:val="00312F76"/>
    <w:rsid w:val="0031310F"/>
    <w:rsid w:val="003132C2"/>
    <w:rsid w:val="003133A5"/>
    <w:rsid w:val="003134B4"/>
    <w:rsid w:val="003135D6"/>
    <w:rsid w:val="003135D9"/>
    <w:rsid w:val="003135FC"/>
    <w:rsid w:val="0031364A"/>
    <w:rsid w:val="0031432C"/>
    <w:rsid w:val="0031490A"/>
    <w:rsid w:val="00314ABB"/>
    <w:rsid w:val="00314BE2"/>
    <w:rsid w:val="00314E62"/>
    <w:rsid w:val="00315180"/>
    <w:rsid w:val="003155A9"/>
    <w:rsid w:val="003156AC"/>
    <w:rsid w:val="0031682C"/>
    <w:rsid w:val="003169C1"/>
    <w:rsid w:val="0031708E"/>
    <w:rsid w:val="003174C9"/>
    <w:rsid w:val="003175A9"/>
    <w:rsid w:val="0031786E"/>
    <w:rsid w:val="00317C85"/>
    <w:rsid w:val="0032015A"/>
    <w:rsid w:val="0032020F"/>
    <w:rsid w:val="003206DF"/>
    <w:rsid w:val="00321074"/>
    <w:rsid w:val="00321177"/>
    <w:rsid w:val="00321951"/>
    <w:rsid w:val="00321A67"/>
    <w:rsid w:val="003234B7"/>
    <w:rsid w:val="00323C43"/>
    <w:rsid w:val="0032479F"/>
    <w:rsid w:val="00324A40"/>
    <w:rsid w:val="00324A6D"/>
    <w:rsid w:val="00324AEF"/>
    <w:rsid w:val="00324B05"/>
    <w:rsid w:val="00324B0F"/>
    <w:rsid w:val="00324B25"/>
    <w:rsid w:val="00326E8E"/>
    <w:rsid w:val="0032722A"/>
    <w:rsid w:val="003273B0"/>
    <w:rsid w:val="00327D12"/>
    <w:rsid w:val="00327E2B"/>
    <w:rsid w:val="003307E1"/>
    <w:rsid w:val="00331988"/>
    <w:rsid w:val="00331B44"/>
    <w:rsid w:val="00332084"/>
    <w:rsid w:val="00332770"/>
    <w:rsid w:val="00332C84"/>
    <w:rsid w:val="00332F95"/>
    <w:rsid w:val="003337BF"/>
    <w:rsid w:val="00333DED"/>
    <w:rsid w:val="00334260"/>
    <w:rsid w:val="003343A3"/>
    <w:rsid w:val="00335078"/>
    <w:rsid w:val="0033523B"/>
    <w:rsid w:val="00335443"/>
    <w:rsid w:val="00335E1D"/>
    <w:rsid w:val="00336128"/>
    <w:rsid w:val="0033612C"/>
    <w:rsid w:val="00336325"/>
    <w:rsid w:val="003364FB"/>
    <w:rsid w:val="00336EB3"/>
    <w:rsid w:val="00337332"/>
    <w:rsid w:val="0033772F"/>
    <w:rsid w:val="003379CF"/>
    <w:rsid w:val="003379D2"/>
    <w:rsid w:val="00337F05"/>
    <w:rsid w:val="00337FA7"/>
    <w:rsid w:val="00337FC0"/>
    <w:rsid w:val="0034010F"/>
    <w:rsid w:val="00340C75"/>
    <w:rsid w:val="0034134A"/>
    <w:rsid w:val="0034136E"/>
    <w:rsid w:val="00341701"/>
    <w:rsid w:val="003421A7"/>
    <w:rsid w:val="00342A11"/>
    <w:rsid w:val="003431DB"/>
    <w:rsid w:val="00343C4E"/>
    <w:rsid w:val="00344114"/>
    <w:rsid w:val="003443B0"/>
    <w:rsid w:val="003449E6"/>
    <w:rsid w:val="00344B9A"/>
    <w:rsid w:val="00345042"/>
    <w:rsid w:val="003450C0"/>
    <w:rsid w:val="00345D1C"/>
    <w:rsid w:val="00345F58"/>
    <w:rsid w:val="00346272"/>
    <w:rsid w:val="00346ABC"/>
    <w:rsid w:val="003470E2"/>
    <w:rsid w:val="003474D0"/>
    <w:rsid w:val="003476DC"/>
    <w:rsid w:val="003478BA"/>
    <w:rsid w:val="00347BBB"/>
    <w:rsid w:val="00347C74"/>
    <w:rsid w:val="00350239"/>
    <w:rsid w:val="00350268"/>
    <w:rsid w:val="003509C1"/>
    <w:rsid w:val="00350B3E"/>
    <w:rsid w:val="00350D7C"/>
    <w:rsid w:val="00350E04"/>
    <w:rsid w:val="00350EF6"/>
    <w:rsid w:val="00351A45"/>
    <w:rsid w:val="0035264A"/>
    <w:rsid w:val="00352812"/>
    <w:rsid w:val="00352E33"/>
    <w:rsid w:val="0035306D"/>
    <w:rsid w:val="003535DD"/>
    <w:rsid w:val="00354732"/>
    <w:rsid w:val="0035473E"/>
    <w:rsid w:val="003547F6"/>
    <w:rsid w:val="00354A04"/>
    <w:rsid w:val="00354B89"/>
    <w:rsid w:val="00354F15"/>
    <w:rsid w:val="0035511A"/>
    <w:rsid w:val="00355270"/>
    <w:rsid w:val="003558A7"/>
    <w:rsid w:val="00355ADF"/>
    <w:rsid w:val="00355F23"/>
    <w:rsid w:val="003562D9"/>
    <w:rsid w:val="003562DC"/>
    <w:rsid w:val="00356C5F"/>
    <w:rsid w:val="00357141"/>
    <w:rsid w:val="00357CAF"/>
    <w:rsid w:val="003602DC"/>
    <w:rsid w:val="00360493"/>
    <w:rsid w:val="0036082E"/>
    <w:rsid w:val="00360DDB"/>
    <w:rsid w:val="003614E5"/>
    <w:rsid w:val="00361D33"/>
    <w:rsid w:val="003632AB"/>
    <w:rsid w:val="0036355F"/>
    <w:rsid w:val="0036363F"/>
    <w:rsid w:val="00363866"/>
    <w:rsid w:val="00363C86"/>
    <w:rsid w:val="0036407B"/>
    <w:rsid w:val="0036414A"/>
    <w:rsid w:val="0036489A"/>
    <w:rsid w:val="00364C1A"/>
    <w:rsid w:val="00364E49"/>
    <w:rsid w:val="00364E50"/>
    <w:rsid w:val="003650A9"/>
    <w:rsid w:val="003653B8"/>
    <w:rsid w:val="003656F5"/>
    <w:rsid w:val="00365F16"/>
    <w:rsid w:val="0036616E"/>
    <w:rsid w:val="003664F6"/>
    <w:rsid w:val="003668A0"/>
    <w:rsid w:val="00366CB6"/>
    <w:rsid w:val="00366FFD"/>
    <w:rsid w:val="003676DB"/>
    <w:rsid w:val="00367D7A"/>
    <w:rsid w:val="00367F2B"/>
    <w:rsid w:val="00370200"/>
    <w:rsid w:val="00370412"/>
    <w:rsid w:val="0037066D"/>
    <w:rsid w:val="003707CB"/>
    <w:rsid w:val="00370974"/>
    <w:rsid w:val="00370B12"/>
    <w:rsid w:val="00370C73"/>
    <w:rsid w:val="003716DE"/>
    <w:rsid w:val="00371702"/>
    <w:rsid w:val="00371C9F"/>
    <w:rsid w:val="00371F77"/>
    <w:rsid w:val="003732FF"/>
    <w:rsid w:val="00373462"/>
    <w:rsid w:val="003739EB"/>
    <w:rsid w:val="00373A0E"/>
    <w:rsid w:val="003741DC"/>
    <w:rsid w:val="00374D37"/>
    <w:rsid w:val="00374DE5"/>
    <w:rsid w:val="0037581C"/>
    <w:rsid w:val="00375993"/>
    <w:rsid w:val="00376407"/>
    <w:rsid w:val="00376896"/>
    <w:rsid w:val="00376C74"/>
    <w:rsid w:val="00376E08"/>
    <w:rsid w:val="00376E81"/>
    <w:rsid w:val="00376E8B"/>
    <w:rsid w:val="003773A9"/>
    <w:rsid w:val="003773D3"/>
    <w:rsid w:val="00377528"/>
    <w:rsid w:val="003775F9"/>
    <w:rsid w:val="00377727"/>
    <w:rsid w:val="00377CA8"/>
    <w:rsid w:val="003802E9"/>
    <w:rsid w:val="0038106D"/>
    <w:rsid w:val="003815CF"/>
    <w:rsid w:val="00381A5E"/>
    <w:rsid w:val="00382136"/>
    <w:rsid w:val="003823EE"/>
    <w:rsid w:val="0038272A"/>
    <w:rsid w:val="0038290B"/>
    <w:rsid w:val="00383948"/>
    <w:rsid w:val="003840D3"/>
    <w:rsid w:val="0038430F"/>
    <w:rsid w:val="00384556"/>
    <w:rsid w:val="00384885"/>
    <w:rsid w:val="00384B9F"/>
    <w:rsid w:val="00385071"/>
    <w:rsid w:val="0038516C"/>
    <w:rsid w:val="003854FE"/>
    <w:rsid w:val="0038578E"/>
    <w:rsid w:val="003861F2"/>
    <w:rsid w:val="0038669F"/>
    <w:rsid w:val="00386C59"/>
    <w:rsid w:val="00386F36"/>
    <w:rsid w:val="00387457"/>
    <w:rsid w:val="00387482"/>
    <w:rsid w:val="00387606"/>
    <w:rsid w:val="00387722"/>
    <w:rsid w:val="0039078E"/>
    <w:rsid w:val="00391249"/>
    <w:rsid w:val="0039195A"/>
    <w:rsid w:val="00391A71"/>
    <w:rsid w:val="00391DD8"/>
    <w:rsid w:val="00392AE2"/>
    <w:rsid w:val="00392D59"/>
    <w:rsid w:val="00392DDD"/>
    <w:rsid w:val="0039499C"/>
    <w:rsid w:val="00394D25"/>
    <w:rsid w:val="00394F9E"/>
    <w:rsid w:val="003959B9"/>
    <w:rsid w:val="00395C7E"/>
    <w:rsid w:val="00395EE3"/>
    <w:rsid w:val="003963F9"/>
    <w:rsid w:val="003976FD"/>
    <w:rsid w:val="00397773"/>
    <w:rsid w:val="003979CD"/>
    <w:rsid w:val="003A0AB7"/>
    <w:rsid w:val="003A0C60"/>
    <w:rsid w:val="003A0CE9"/>
    <w:rsid w:val="003A0E97"/>
    <w:rsid w:val="003A1178"/>
    <w:rsid w:val="003A1633"/>
    <w:rsid w:val="003A1CA8"/>
    <w:rsid w:val="003A1EB4"/>
    <w:rsid w:val="003A22B5"/>
    <w:rsid w:val="003A2443"/>
    <w:rsid w:val="003A2827"/>
    <w:rsid w:val="003A2D84"/>
    <w:rsid w:val="003A2DA1"/>
    <w:rsid w:val="003A2E1A"/>
    <w:rsid w:val="003A31E1"/>
    <w:rsid w:val="003A3DA4"/>
    <w:rsid w:val="003A517E"/>
    <w:rsid w:val="003A57DB"/>
    <w:rsid w:val="003A68DD"/>
    <w:rsid w:val="003A7477"/>
    <w:rsid w:val="003A7754"/>
    <w:rsid w:val="003A7AA3"/>
    <w:rsid w:val="003A7C66"/>
    <w:rsid w:val="003B0105"/>
    <w:rsid w:val="003B03AB"/>
    <w:rsid w:val="003B07B9"/>
    <w:rsid w:val="003B14FD"/>
    <w:rsid w:val="003B290F"/>
    <w:rsid w:val="003B2D6A"/>
    <w:rsid w:val="003B3008"/>
    <w:rsid w:val="003B30FB"/>
    <w:rsid w:val="003B319D"/>
    <w:rsid w:val="003B321E"/>
    <w:rsid w:val="003B331D"/>
    <w:rsid w:val="003B3628"/>
    <w:rsid w:val="003B386E"/>
    <w:rsid w:val="003B3BDE"/>
    <w:rsid w:val="003B3BE9"/>
    <w:rsid w:val="003B4034"/>
    <w:rsid w:val="003B462F"/>
    <w:rsid w:val="003B47C7"/>
    <w:rsid w:val="003B4808"/>
    <w:rsid w:val="003B5912"/>
    <w:rsid w:val="003B60ED"/>
    <w:rsid w:val="003B6212"/>
    <w:rsid w:val="003B6283"/>
    <w:rsid w:val="003B655A"/>
    <w:rsid w:val="003B6EC7"/>
    <w:rsid w:val="003B7177"/>
    <w:rsid w:val="003C03EC"/>
    <w:rsid w:val="003C07E3"/>
    <w:rsid w:val="003C0926"/>
    <w:rsid w:val="003C0B23"/>
    <w:rsid w:val="003C10DD"/>
    <w:rsid w:val="003C215D"/>
    <w:rsid w:val="003C23C9"/>
    <w:rsid w:val="003C2EBD"/>
    <w:rsid w:val="003C30A3"/>
    <w:rsid w:val="003C31EC"/>
    <w:rsid w:val="003C3DFC"/>
    <w:rsid w:val="003C494F"/>
    <w:rsid w:val="003C4B8F"/>
    <w:rsid w:val="003C4E20"/>
    <w:rsid w:val="003C507B"/>
    <w:rsid w:val="003C5202"/>
    <w:rsid w:val="003C54BC"/>
    <w:rsid w:val="003C5750"/>
    <w:rsid w:val="003C5820"/>
    <w:rsid w:val="003C6C7D"/>
    <w:rsid w:val="003C6D9B"/>
    <w:rsid w:val="003C743A"/>
    <w:rsid w:val="003C7D64"/>
    <w:rsid w:val="003C7F86"/>
    <w:rsid w:val="003C7FE8"/>
    <w:rsid w:val="003D0454"/>
    <w:rsid w:val="003D0A62"/>
    <w:rsid w:val="003D0C68"/>
    <w:rsid w:val="003D101E"/>
    <w:rsid w:val="003D13F4"/>
    <w:rsid w:val="003D150B"/>
    <w:rsid w:val="003D162E"/>
    <w:rsid w:val="003D1663"/>
    <w:rsid w:val="003D178D"/>
    <w:rsid w:val="003D1B7B"/>
    <w:rsid w:val="003D1F38"/>
    <w:rsid w:val="003D27ED"/>
    <w:rsid w:val="003D2E55"/>
    <w:rsid w:val="003D3A6B"/>
    <w:rsid w:val="003D4517"/>
    <w:rsid w:val="003D4772"/>
    <w:rsid w:val="003D4C0F"/>
    <w:rsid w:val="003D4E0E"/>
    <w:rsid w:val="003D4F1F"/>
    <w:rsid w:val="003D5859"/>
    <w:rsid w:val="003D5A8F"/>
    <w:rsid w:val="003D5F5E"/>
    <w:rsid w:val="003D69A7"/>
    <w:rsid w:val="003D72A5"/>
    <w:rsid w:val="003D7575"/>
    <w:rsid w:val="003D776F"/>
    <w:rsid w:val="003D7851"/>
    <w:rsid w:val="003D7D04"/>
    <w:rsid w:val="003D7D38"/>
    <w:rsid w:val="003E00DC"/>
    <w:rsid w:val="003E0194"/>
    <w:rsid w:val="003E01C3"/>
    <w:rsid w:val="003E06DC"/>
    <w:rsid w:val="003E0D56"/>
    <w:rsid w:val="003E16C2"/>
    <w:rsid w:val="003E17D2"/>
    <w:rsid w:val="003E17E8"/>
    <w:rsid w:val="003E2CAF"/>
    <w:rsid w:val="003E2D2E"/>
    <w:rsid w:val="003E3678"/>
    <w:rsid w:val="003E4400"/>
    <w:rsid w:val="003E44C8"/>
    <w:rsid w:val="003E4F5E"/>
    <w:rsid w:val="003E4F9B"/>
    <w:rsid w:val="003E53F4"/>
    <w:rsid w:val="003E5663"/>
    <w:rsid w:val="003E5FF1"/>
    <w:rsid w:val="003E6321"/>
    <w:rsid w:val="003E6648"/>
    <w:rsid w:val="003E672C"/>
    <w:rsid w:val="003E6AF0"/>
    <w:rsid w:val="003E6EA5"/>
    <w:rsid w:val="003E72E4"/>
    <w:rsid w:val="003E74D9"/>
    <w:rsid w:val="003E760A"/>
    <w:rsid w:val="003E77CF"/>
    <w:rsid w:val="003F0573"/>
    <w:rsid w:val="003F0729"/>
    <w:rsid w:val="003F0AB7"/>
    <w:rsid w:val="003F0D4E"/>
    <w:rsid w:val="003F11F2"/>
    <w:rsid w:val="003F181D"/>
    <w:rsid w:val="003F1CF9"/>
    <w:rsid w:val="003F288A"/>
    <w:rsid w:val="003F2A20"/>
    <w:rsid w:val="003F2A48"/>
    <w:rsid w:val="003F2CAF"/>
    <w:rsid w:val="003F2D48"/>
    <w:rsid w:val="003F3134"/>
    <w:rsid w:val="003F33A9"/>
    <w:rsid w:val="003F4567"/>
    <w:rsid w:val="003F4762"/>
    <w:rsid w:val="003F48E4"/>
    <w:rsid w:val="003F49FD"/>
    <w:rsid w:val="003F4B96"/>
    <w:rsid w:val="003F5B7D"/>
    <w:rsid w:val="003F665E"/>
    <w:rsid w:val="003F69AA"/>
    <w:rsid w:val="003F7EA5"/>
    <w:rsid w:val="003F7F7B"/>
    <w:rsid w:val="0040012D"/>
    <w:rsid w:val="00400440"/>
    <w:rsid w:val="004005A4"/>
    <w:rsid w:val="00400821"/>
    <w:rsid w:val="00400B42"/>
    <w:rsid w:val="00400CF1"/>
    <w:rsid w:val="00400F74"/>
    <w:rsid w:val="004012EE"/>
    <w:rsid w:val="00401799"/>
    <w:rsid w:val="00401CA6"/>
    <w:rsid w:val="00401EA9"/>
    <w:rsid w:val="0040213C"/>
    <w:rsid w:val="00402900"/>
    <w:rsid w:val="00402B18"/>
    <w:rsid w:val="0040376B"/>
    <w:rsid w:val="004040FB"/>
    <w:rsid w:val="0040419A"/>
    <w:rsid w:val="004045BD"/>
    <w:rsid w:val="00404FB2"/>
    <w:rsid w:val="00405492"/>
    <w:rsid w:val="00405632"/>
    <w:rsid w:val="00405C40"/>
    <w:rsid w:val="0040617B"/>
    <w:rsid w:val="0040632E"/>
    <w:rsid w:val="0040744C"/>
    <w:rsid w:val="004076CA"/>
    <w:rsid w:val="004079BC"/>
    <w:rsid w:val="00407BCE"/>
    <w:rsid w:val="00407D27"/>
    <w:rsid w:val="00407F47"/>
    <w:rsid w:val="00410378"/>
    <w:rsid w:val="00410563"/>
    <w:rsid w:val="0041065F"/>
    <w:rsid w:val="00410845"/>
    <w:rsid w:val="00410D28"/>
    <w:rsid w:val="004110C9"/>
    <w:rsid w:val="004115E8"/>
    <w:rsid w:val="0041184F"/>
    <w:rsid w:val="00411ACE"/>
    <w:rsid w:val="00411D70"/>
    <w:rsid w:val="0041250D"/>
    <w:rsid w:val="004127C9"/>
    <w:rsid w:val="00412922"/>
    <w:rsid w:val="0041298E"/>
    <w:rsid w:val="00412EBA"/>
    <w:rsid w:val="00412FD2"/>
    <w:rsid w:val="00413156"/>
    <w:rsid w:val="004133A8"/>
    <w:rsid w:val="004138CC"/>
    <w:rsid w:val="004139B3"/>
    <w:rsid w:val="00413DAB"/>
    <w:rsid w:val="00413FAB"/>
    <w:rsid w:val="0041404F"/>
    <w:rsid w:val="00414106"/>
    <w:rsid w:val="004152BE"/>
    <w:rsid w:val="004154E7"/>
    <w:rsid w:val="0041567A"/>
    <w:rsid w:val="00416204"/>
    <w:rsid w:val="004164BA"/>
    <w:rsid w:val="00416611"/>
    <w:rsid w:val="00416624"/>
    <w:rsid w:val="0041680D"/>
    <w:rsid w:val="004169A4"/>
    <w:rsid w:val="00416B1D"/>
    <w:rsid w:val="00416D13"/>
    <w:rsid w:val="00416EFA"/>
    <w:rsid w:val="00416F11"/>
    <w:rsid w:val="004171EC"/>
    <w:rsid w:val="00417232"/>
    <w:rsid w:val="004172E4"/>
    <w:rsid w:val="00417CD0"/>
    <w:rsid w:val="00417E58"/>
    <w:rsid w:val="00420DB7"/>
    <w:rsid w:val="0042123B"/>
    <w:rsid w:val="00421585"/>
    <w:rsid w:val="00421A17"/>
    <w:rsid w:val="00421C5B"/>
    <w:rsid w:val="00421CCC"/>
    <w:rsid w:val="00421D46"/>
    <w:rsid w:val="00422029"/>
    <w:rsid w:val="0042207B"/>
    <w:rsid w:val="00422BC9"/>
    <w:rsid w:val="00422D43"/>
    <w:rsid w:val="0042311B"/>
    <w:rsid w:val="00423397"/>
    <w:rsid w:val="0042379A"/>
    <w:rsid w:val="0042394B"/>
    <w:rsid w:val="00423B91"/>
    <w:rsid w:val="00424206"/>
    <w:rsid w:val="004242AA"/>
    <w:rsid w:val="00424B81"/>
    <w:rsid w:val="00424CED"/>
    <w:rsid w:val="004257C6"/>
    <w:rsid w:val="00425953"/>
    <w:rsid w:val="00425954"/>
    <w:rsid w:val="004260A0"/>
    <w:rsid w:val="00426181"/>
    <w:rsid w:val="00426397"/>
    <w:rsid w:val="00426933"/>
    <w:rsid w:val="00426BA0"/>
    <w:rsid w:val="00427707"/>
    <w:rsid w:val="00427C96"/>
    <w:rsid w:val="00427FAB"/>
    <w:rsid w:val="0043076A"/>
    <w:rsid w:val="00430C48"/>
    <w:rsid w:val="00430C74"/>
    <w:rsid w:val="00430C9B"/>
    <w:rsid w:val="004317AA"/>
    <w:rsid w:val="00431BC3"/>
    <w:rsid w:val="00431C38"/>
    <w:rsid w:val="00432BA5"/>
    <w:rsid w:val="00432FBD"/>
    <w:rsid w:val="00433048"/>
    <w:rsid w:val="00433176"/>
    <w:rsid w:val="0043392E"/>
    <w:rsid w:val="00434FAC"/>
    <w:rsid w:val="004352E1"/>
    <w:rsid w:val="00435408"/>
    <w:rsid w:val="00435415"/>
    <w:rsid w:val="00436505"/>
    <w:rsid w:val="0043676D"/>
    <w:rsid w:val="00436A08"/>
    <w:rsid w:val="00436AE9"/>
    <w:rsid w:val="00436B46"/>
    <w:rsid w:val="00436C66"/>
    <w:rsid w:val="0043706E"/>
    <w:rsid w:val="00437100"/>
    <w:rsid w:val="0043776C"/>
    <w:rsid w:val="00437B54"/>
    <w:rsid w:val="00440522"/>
    <w:rsid w:val="0044062B"/>
    <w:rsid w:val="00440881"/>
    <w:rsid w:val="00440C11"/>
    <w:rsid w:val="00440EBE"/>
    <w:rsid w:val="00441893"/>
    <w:rsid w:val="00441F3F"/>
    <w:rsid w:val="00441FB8"/>
    <w:rsid w:val="004428B9"/>
    <w:rsid w:val="00442AF3"/>
    <w:rsid w:val="00442EE9"/>
    <w:rsid w:val="004432A7"/>
    <w:rsid w:val="004432F8"/>
    <w:rsid w:val="00443823"/>
    <w:rsid w:val="0044396F"/>
    <w:rsid w:val="00443A00"/>
    <w:rsid w:val="004442A5"/>
    <w:rsid w:val="004445EB"/>
    <w:rsid w:val="00444B0C"/>
    <w:rsid w:val="0044513A"/>
    <w:rsid w:val="004454A8"/>
    <w:rsid w:val="00445553"/>
    <w:rsid w:val="00445712"/>
    <w:rsid w:val="0044577E"/>
    <w:rsid w:val="004465E1"/>
    <w:rsid w:val="00446BCF"/>
    <w:rsid w:val="00446DE9"/>
    <w:rsid w:val="0044722C"/>
    <w:rsid w:val="00447EA1"/>
    <w:rsid w:val="00447EAB"/>
    <w:rsid w:val="004500E9"/>
    <w:rsid w:val="0045024D"/>
    <w:rsid w:val="004505E7"/>
    <w:rsid w:val="0045075F"/>
    <w:rsid w:val="00450AAD"/>
    <w:rsid w:val="00450C58"/>
    <w:rsid w:val="00450DA1"/>
    <w:rsid w:val="00451526"/>
    <w:rsid w:val="0045152F"/>
    <w:rsid w:val="00451CE0"/>
    <w:rsid w:val="00451E26"/>
    <w:rsid w:val="00452FE8"/>
    <w:rsid w:val="00453185"/>
    <w:rsid w:val="004534BA"/>
    <w:rsid w:val="004538AF"/>
    <w:rsid w:val="00453941"/>
    <w:rsid w:val="00453D9D"/>
    <w:rsid w:val="0045442F"/>
    <w:rsid w:val="00454DAD"/>
    <w:rsid w:val="00454DF4"/>
    <w:rsid w:val="00455039"/>
    <w:rsid w:val="00455097"/>
    <w:rsid w:val="00455186"/>
    <w:rsid w:val="004554AE"/>
    <w:rsid w:val="00455E4D"/>
    <w:rsid w:val="00455EA9"/>
    <w:rsid w:val="00455EF6"/>
    <w:rsid w:val="00456217"/>
    <w:rsid w:val="00456461"/>
    <w:rsid w:val="00456822"/>
    <w:rsid w:val="004568E1"/>
    <w:rsid w:val="00456AE6"/>
    <w:rsid w:val="00457447"/>
    <w:rsid w:val="00460B1D"/>
    <w:rsid w:val="00461909"/>
    <w:rsid w:val="004629F7"/>
    <w:rsid w:val="00462BF8"/>
    <w:rsid w:val="00462ED5"/>
    <w:rsid w:val="004634D3"/>
    <w:rsid w:val="004634DF"/>
    <w:rsid w:val="00463D88"/>
    <w:rsid w:val="00464CA0"/>
    <w:rsid w:val="00465075"/>
    <w:rsid w:val="004659B0"/>
    <w:rsid w:val="00465C19"/>
    <w:rsid w:val="00465F4B"/>
    <w:rsid w:val="00465F4C"/>
    <w:rsid w:val="00467066"/>
    <w:rsid w:val="00467091"/>
    <w:rsid w:val="004679CB"/>
    <w:rsid w:val="004700A0"/>
    <w:rsid w:val="0047013F"/>
    <w:rsid w:val="0047018E"/>
    <w:rsid w:val="00470357"/>
    <w:rsid w:val="0047071D"/>
    <w:rsid w:val="0047077C"/>
    <w:rsid w:val="00470847"/>
    <w:rsid w:val="00470921"/>
    <w:rsid w:val="00470C4B"/>
    <w:rsid w:val="00471096"/>
    <w:rsid w:val="004711E4"/>
    <w:rsid w:val="00471A6A"/>
    <w:rsid w:val="00471BCB"/>
    <w:rsid w:val="00472129"/>
    <w:rsid w:val="004722AC"/>
    <w:rsid w:val="00472C73"/>
    <w:rsid w:val="00472F69"/>
    <w:rsid w:val="0047327C"/>
    <w:rsid w:val="0047335C"/>
    <w:rsid w:val="0047357B"/>
    <w:rsid w:val="004737F6"/>
    <w:rsid w:val="00474304"/>
    <w:rsid w:val="0047461A"/>
    <w:rsid w:val="004747D1"/>
    <w:rsid w:val="00474A51"/>
    <w:rsid w:val="00474B5B"/>
    <w:rsid w:val="00474FEF"/>
    <w:rsid w:val="004751D8"/>
    <w:rsid w:val="00475363"/>
    <w:rsid w:val="00475E6A"/>
    <w:rsid w:val="004763AD"/>
    <w:rsid w:val="00476504"/>
    <w:rsid w:val="004768C9"/>
    <w:rsid w:val="00476900"/>
    <w:rsid w:val="00476B15"/>
    <w:rsid w:val="00476F26"/>
    <w:rsid w:val="00476F5F"/>
    <w:rsid w:val="0047705B"/>
    <w:rsid w:val="00477242"/>
    <w:rsid w:val="004774C9"/>
    <w:rsid w:val="00477723"/>
    <w:rsid w:val="004777C9"/>
    <w:rsid w:val="0048083B"/>
    <w:rsid w:val="00481405"/>
    <w:rsid w:val="00481789"/>
    <w:rsid w:val="00481AAE"/>
    <w:rsid w:val="004822A3"/>
    <w:rsid w:val="00483071"/>
    <w:rsid w:val="00483174"/>
    <w:rsid w:val="00483451"/>
    <w:rsid w:val="00483926"/>
    <w:rsid w:val="00483956"/>
    <w:rsid w:val="004839AF"/>
    <w:rsid w:val="004847DE"/>
    <w:rsid w:val="00484802"/>
    <w:rsid w:val="00484D9D"/>
    <w:rsid w:val="004855FF"/>
    <w:rsid w:val="0048565C"/>
    <w:rsid w:val="00485B15"/>
    <w:rsid w:val="00486857"/>
    <w:rsid w:val="00487530"/>
    <w:rsid w:val="004878C8"/>
    <w:rsid w:val="00487BCB"/>
    <w:rsid w:val="0049008A"/>
    <w:rsid w:val="004904C6"/>
    <w:rsid w:val="004905D4"/>
    <w:rsid w:val="00490610"/>
    <w:rsid w:val="004908B3"/>
    <w:rsid w:val="00490C9B"/>
    <w:rsid w:val="004910C4"/>
    <w:rsid w:val="00491332"/>
    <w:rsid w:val="00491AEE"/>
    <w:rsid w:val="00491DAA"/>
    <w:rsid w:val="0049238B"/>
    <w:rsid w:val="00492884"/>
    <w:rsid w:val="004929EC"/>
    <w:rsid w:val="00492AB2"/>
    <w:rsid w:val="004936EF"/>
    <w:rsid w:val="004944B8"/>
    <w:rsid w:val="00494872"/>
    <w:rsid w:val="00494AC5"/>
    <w:rsid w:val="0049503B"/>
    <w:rsid w:val="004952FA"/>
    <w:rsid w:val="00495327"/>
    <w:rsid w:val="004970C7"/>
    <w:rsid w:val="004973B1"/>
    <w:rsid w:val="00497944"/>
    <w:rsid w:val="004A034B"/>
    <w:rsid w:val="004A0878"/>
    <w:rsid w:val="004A099E"/>
    <w:rsid w:val="004A0A8D"/>
    <w:rsid w:val="004A0AC9"/>
    <w:rsid w:val="004A0D88"/>
    <w:rsid w:val="004A0E28"/>
    <w:rsid w:val="004A0F46"/>
    <w:rsid w:val="004A1892"/>
    <w:rsid w:val="004A1AA6"/>
    <w:rsid w:val="004A236D"/>
    <w:rsid w:val="004A2381"/>
    <w:rsid w:val="004A23CA"/>
    <w:rsid w:val="004A26B9"/>
    <w:rsid w:val="004A2986"/>
    <w:rsid w:val="004A309C"/>
    <w:rsid w:val="004A3B29"/>
    <w:rsid w:val="004A3C0E"/>
    <w:rsid w:val="004A4172"/>
    <w:rsid w:val="004A5265"/>
    <w:rsid w:val="004A528D"/>
    <w:rsid w:val="004A52A3"/>
    <w:rsid w:val="004A59DE"/>
    <w:rsid w:val="004A6157"/>
    <w:rsid w:val="004A6684"/>
    <w:rsid w:val="004A6B14"/>
    <w:rsid w:val="004A6D5A"/>
    <w:rsid w:val="004A6FCB"/>
    <w:rsid w:val="004A743E"/>
    <w:rsid w:val="004A752A"/>
    <w:rsid w:val="004A77FC"/>
    <w:rsid w:val="004A7B62"/>
    <w:rsid w:val="004A7C29"/>
    <w:rsid w:val="004B14A5"/>
    <w:rsid w:val="004B1949"/>
    <w:rsid w:val="004B21B3"/>
    <w:rsid w:val="004B25DA"/>
    <w:rsid w:val="004B25E8"/>
    <w:rsid w:val="004B2844"/>
    <w:rsid w:val="004B3343"/>
    <w:rsid w:val="004B39F3"/>
    <w:rsid w:val="004B3E71"/>
    <w:rsid w:val="004B520E"/>
    <w:rsid w:val="004B54A4"/>
    <w:rsid w:val="004B5812"/>
    <w:rsid w:val="004B5878"/>
    <w:rsid w:val="004B5FC7"/>
    <w:rsid w:val="004B6F26"/>
    <w:rsid w:val="004B6F78"/>
    <w:rsid w:val="004B7403"/>
    <w:rsid w:val="004B76B7"/>
    <w:rsid w:val="004B7909"/>
    <w:rsid w:val="004B7913"/>
    <w:rsid w:val="004B7EB5"/>
    <w:rsid w:val="004C12A2"/>
    <w:rsid w:val="004C197A"/>
    <w:rsid w:val="004C1A02"/>
    <w:rsid w:val="004C20BB"/>
    <w:rsid w:val="004C2307"/>
    <w:rsid w:val="004C23AD"/>
    <w:rsid w:val="004C23F7"/>
    <w:rsid w:val="004C2406"/>
    <w:rsid w:val="004C273A"/>
    <w:rsid w:val="004C296E"/>
    <w:rsid w:val="004C3049"/>
    <w:rsid w:val="004C379F"/>
    <w:rsid w:val="004C37A0"/>
    <w:rsid w:val="004C417F"/>
    <w:rsid w:val="004C42F2"/>
    <w:rsid w:val="004C43B1"/>
    <w:rsid w:val="004C459A"/>
    <w:rsid w:val="004C4C84"/>
    <w:rsid w:val="004C4C94"/>
    <w:rsid w:val="004C4FA0"/>
    <w:rsid w:val="004C5290"/>
    <w:rsid w:val="004C52F6"/>
    <w:rsid w:val="004C5355"/>
    <w:rsid w:val="004C5BBD"/>
    <w:rsid w:val="004C65DE"/>
    <w:rsid w:val="004C6CFD"/>
    <w:rsid w:val="004C6F3E"/>
    <w:rsid w:val="004C717F"/>
    <w:rsid w:val="004C7532"/>
    <w:rsid w:val="004C7544"/>
    <w:rsid w:val="004C7A83"/>
    <w:rsid w:val="004C7DBC"/>
    <w:rsid w:val="004D084C"/>
    <w:rsid w:val="004D0CB6"/>
    <w:rsid w:val="004D1BC8"/>
    <w:rsid w:val="004D1BD7"/>
    <w:rsid w:val="004D1E32"/>
    <w:rsid w:val="004D1FEE"/>
    <w:rsid w:val="004D2753"/>
    <w:rsid w:val="004D2782"/>
    <w:rsid w:val="004D291A"/>
    <w:rsid w:val="004D2AD6"/>
    <w:rsid w:val="004D3268"/>
    <w:rsid w:val="004D48F9"/>
    <w:rsid w:val="004D513D"/>
    <w:rsid w:val="004D56E1"/>
    <w:rsid w:val="004D5BCA"/>
    <w:rsid w:val="004D5D53"/>
    <w:rsid w:val="004D66DD"/>
    <w:rsid w:val="004D6867"/>
    <w:rsid w:val="004D692A"/>
    <w:rsid w:val="004D745D"/>
    <w:rsid w:val="004E01C1"/>
    <w:rsid w:val="004E0DD4"/>
    <w:rsid w:val="004E11DE"/>
    <w:rsid w:val="004E1F8A"/>
    <w:rsid w:val="004E2412"/>
    <w:rsid w:val="004E2591"/>
    <w:rsid w:val="004E29E0"/>
    <w:rsid w:val="004E2FD5"/>
    <w:rsid w:val="004E3BBC"/>
    <w:rsid w:val="004E3FCA"/>
    <w:rsid w:val="004E454A"/>
    <w:rsid w:val="004E4F49"/>
    <w:rsid w:val="004E56DC"/>
    <w:rsid w:val="004E5EBD"/>
    <w:rsid w:val="004E5ED3"/>
    <w:rsid w:val="004E5F4C"/>
    <w:rsid w:val="004E6315"/>
    <w:rsid w:val="004E6973"/>
    <w:rsid w:val="004E69F4"/>
    <w:rsid w:val="004E76B4"/>
    <w:rsid w:val="004E7A3D"/>
    <w:rsid w:val="004E7BE7"/>
    <w:rsid w:val="004F0135"/>
    <w:rsid w:val="004F03E5"/>
    <w:rsid w:val="004F05CC"/>
    <w:rsid w:val="004F0ADD"/>
    <w:rsid w:val="004F0AF4"/>
    <w:rsid w:val="004F0BBB"/>
    <w:rsid w:val="004F0BCF"/>
    <w:rsid w:val="004F169F"/>
    <w:rsid w:val="004F18BB"/>
    <w:rsid w:val="004F1E14"/>
    <w:rsid w:val="004F1EF3"/>
    <w:rsid w:val="004F2243"/>
    <w:rsid w:val="004F23DF"/>
    <w:rsid w:val="004F2892"/>
    <w:rsid w:val="004F2EDB"/>
    <w:rsid w:val="004F31AC"/>
    <w:rsid w:val="004F342A"/>
    <w:rsid w:val="004F3CE1"/>
    <w:rsid w:val="004F3DF2"/>
    <w:rsid w:val="004F4BD3"/>
    <w:rsid w:val="004F4DEF"/>
    <w:rsid w:val="004F504F"/>
    <w:rsid w:val="004F5298"/>
    <w:rsid w:val="004F560A"/>
    <w:rsid w:val="004F5AA5"/>
    <w:rsid w:val="004F5B17"/>
    <w:rsid w:val="004F5C7F"/>
    <w:rsid w:val="004F5EC9"/>
    <w:rsid w:val="004F5EEA"/>
    <w:rsid w:val="004F654F"/>
    <w:rsid w:val="004F741C"/>
    <w:rsid w:val="004F74CC"/>
    <w:rsid w:val="004F755F"/>
    <w:rsid w:val="004F7960"/>
    <w:rsid w:val="004F7B3A"/>
    <w:rsid w:val="004F7E57"/>
    <w:rsid w:val="005002FF"/>
    <w:rsid w:val="005006C2"/>
    <w:rsid w:val="00500876"/>
    <w:rsid w:val="00500C3B"/>
    <w:rsid w:val="00501064"/>
    <w:rsid w:val="00502D53"/>
    <w:rsid w:val="00502DEE"/>
    <w:rsid w:val="005034FB"/>
    <w:rsid w:val="00503530"/>
    <w:rsid w:val="005040A5"/>
    <w:rsid w:val="005042CD"/>
    <w:rsid w:val="005045AF"/>
    <w:rsid w:val="005045D8"/>
    <w:rsid w:val="005048B9"/>
    <w:rsid w:val="005051C7"/>
    <w:rsid w:val="005054C8"/>
    <w:rsid w:val="00505590"/>
    <w:rsid w:val="005059B7"/>
    <w:rsid w:val="005062DD"/>
    <w:rsid w:val="00507057"/>
    <w:rsid w:val="005072FD"/>
    <w:rsid w:val="00507E7D"/>
    <w:rsid w:val="0051071F"/>
    <w:rsid w:val="00510887"/>
    <w:rsid w:val="005111F1"/>
    <w:rsid w:val="005129E4"/>
    <w:rsid w:val="00512A41"/>
    <w:rsid w:val="00512DB9"/>
    <w:rsid w:val="005130DA"/>
    <w:rsid w:val="0051312B"/>
    <w:rsid w:val="005135C8"/>
    <w:rsid w:val="00513ADD"/>
    <w:rsid w:val="00514619"/>
    <w:rsid w:val="00514A16"/>
    <w:rsid w:val="00514F5F"/>
    <w:rsid w:val="0051514D"/>
    <w:rsid w:val="00515242"/>
    <w:rsid w:val="005153F7"/>
    <w:rsid w:val="00515567"/>
    <w:rsid w:val="0051575D"/>
    <w:rsid w:val="00515A86"/>
    <w:rsid w:val="005168A1"/>
    <w:rsid w:val="00516A4B"/>
    <w:rsid w:val="00516B29"/>
    <w:rsid w:val="00516CB3"/>
    <w:rsid w:val="00516D07"/>
    <w:rsid w:val="00516E6E"/>
    <w:rsid w:val="0051758F"/>
    <w:rsid w:val="00517AB6"/>
    <w:rsid w:val="00517DA7"/>
    <w:rsid w:val="00517EEA"/>
    <w:rsid w:val="00520112"/>
    <w:rsid w:val="00520290"/>
    <w:rsid w:val="0052034D"/>
    <w:rsid w:val="00520890"/>
    <w:rsid w:val="00520C2B"/>
    <w:rsid w:val="0052152C"/>
    <w:rsid w:val="005219F7"/>
    <w:rsid w:val="00521A46"/>
    <w:rsid w:val="00522386"/>
    <w:rsid w:val="00522429"/>
    <w:rsid w:val="005224C6"/>
    <w:rsid w:val="00522AD2"/>
    <w:rsid w:val="005230AC"/>
    <w:rsid w:val="005239B7"/>
    <w:rsid w:val="00523BAC"/>
    <w:rsid w:val="0052437C"/>
    <w:rsid w:val="00524797"/>
    <w:rsid w:val="00524860"/>
    <w:rsid w:val="00524B64"/>
    <w:rsid w:val="005250D5"/>
    <w:rsid w:val="005251D1"/>
    <w:rsid w:val="0052559D"/>
    <w:rsid w:val="005255F9"/>
    <w:rsid w:val="005256A5"/>
    <w:rsid w:val="00525886"/>
    <w:rsid w:val="005261CE"/>
    <w:rsid w:val="005266C3"/>
    <w:rsid w:val="005269CA"/>
    <w:rsid w:val="00526AA7"/>
    <w:rsid w:val="00526EE2"/>
    <w:rsid w:val="0052740E"/>
    <w:rsid w:val="00527566"/>
    <w:rsid w:val="005277AD"/>
    <w:rsid w:val="00527B93"/>
    <w:rsid w:val="00527C5C"/>
    <w:rsid w:val="00527FEC"/>
    <w:rsid w:val="0053025B"/>
    <w:rsid w:val="0053048F"/>
    <w:rsid w:val="005319F1"/>
    <w:rsid w:val="00531A1C"/>
    <w:rsid w:val="00531E25"/>
    <w:rsid w:val="005322F4"/>
    <w:rsid w:val="00532B3E"/>
    <w:rsid w:val="00532CD0"/>
    <w:rsid w:val="00532ED2"/>
    <w:rsid w:val="00533A38"/>
    <w:rsid w:val="00533B90"/>
    <w:rsid w:val="005340DB"/>
    <w:rsid w:val="00534220"/>
    <w:rsid w:val="00534539"/>
    <w:rsid w:val="00535030"/>
    <w:rsid w:val="00535AAA"/>
    <w:rsid w:val="00536A02"/>
    <w:rsid w:val="0053701A"/>
    <w:rsid w:val="00537135"/>
    <w:rsid w:val="00537405"/>
    <w:rsid w:val="00540216"/>
    <w:rsid w:val="005410B8"/>
    <w:rsid w:val="0054136D"/>
    <w:rsid w:val="005426EB"/>
    <w:rsid w:val="005428B5"/>
    <w:rsid w:val="005428F5"/>
    <w:rsid w:val="00542BCC"/>
    <w:rsid w:val="00542F42"/>
    <w:rsid w:val="00542FE7"/>
    <w:rsid w:val="0054311F"/>
    <w:rsid w:val="00543141"/>
    <w:rsid w:val="005445CD"/>
    <w:rsid w:val="00544B11"/>
    <w:rsid w:val="00544B63"/>
    <w:rsid w:val="00544CD2"/>
    <w:rsid w:val="00544EE0"/>
    <w:rsid w:val="00544EE2"/>
    <w:rsid w:val="00545119"/>
    <w:rsid w:val="00545973"/>
    <w:rsid w:val="00545C66"/>
    <w:rsid w:val="00546114"/>
    <w:rsid w:val="005467E5"/>
    <w:rsid w:val="00546E53"/>
    <w:rsid w:val="00547090"/>
    <w:rsid w:val="005502F5"/>
    <w:rsid w:val="00550DE1"/>
    <w:rsid w:val="00550F1D"/>
    <w:rsid w:val="005515DF"/>
    <w:rsid w:val="0055186C"/>
    <w:rsid w:val="005524B3"/>
    <w:rsid w:val="0055255C"/>
    <w:rsid w:val="00552942"/>
    <w:rsid w:val="00552D06"/>
    <w:rsid w:val="00553745"/>
    <w:rsid w:val="00553DE7"/>
    <w:rsid w:val="00553ED1"/>
    <w:rsid w:val="00554A99"/>
    <w:rsid w:val="00554C76"/>
    <w:rsid w:val="00555AA0"/>
    <w:rsid w:val="00555DCD"/>
    <w:rsid w:val="0055617B"/>
    <w:rsid w:val="00556963"/>
    <w:rsid w:val="00556CF4"/>
    <w:rsid w:val="0055712C"/>
    <w:rsid w:val="005574DA"/>
    <w:rsid w:val="00557626"/>
    <w:rsid w:val="00557BE5"/>
    <w:rsid w:val="00557C0D"/>
    <w:rsid w:val="00560980"/>
    <w:rsid w:val="00560FAF"/>
    <w:rsid w:val="005610D8"/>
    <w:rsid w:val="005610E5"/>
    <w:rsid w:val="005612E4"/>
    <w:rsid w:val="0056150F"/>
    <w:rsid w:val="005617F7"/>
    <w:rsid w:val="00561884"/>
    <w:rsid w:val="0056245F"/>
    <w:rsid w:val="00562F95"/>
    <w:rsid w:val="005636C9"/>
    <w:rsid w:val="00563793"/>
    <w:rsid w:val="005638C0"/>
    <w:rsid w:val="005644E2"/>
    <w:rsid w:val="0056453B"/>
    <w:rsid w:val="00565214"/>
    <w:rsid w:val="0056548C"/>
    <w:rsid w:val="00565E3D"/>
    <w:rsid w:val="00566477"/>
    <w:rsid w:val="0056738E"/>
    <w:rsid w:val="005673E3"/>
    <w:rsid w:val="00567664"/>
    <w:rsid w:val="00567B29"/>
    <w:rsid w:val="00567C2F"/>
    <w:rsid w:val="00570B1B"/>
    <w:rsid w:val="00570CA3"/>
    <w:rsid w:val="00571162"/>
    <w:rsid w:val="005713C9"/>
    <w:rsid w:val="00571714"/>
    <w:rsid w:val="0057243F"/>
    <w:rsid w:val="005726C9"/>
    <w:rsid w:val="00572790"/>
    <w:rsid w:val="0057294D"/>
    <w:rsid w:val="005734BB"/>
    <w:rsid w:val="00573FE3"/>
    <w:rsid w:val="0057436B"/>
    <w:rsid w:val="005743C3"/>
    <w:rsid w:val="0057489D"/>
    <w:rsid w:val="00575EA9"/>
    <w:rsid w:val="00576376"/>
    <w:rsid w:val="0057768D"/>
    <w:rsid w:val="00580083"/>
    <w:rsid w:val="005800D0"/>
    <w:rsid w:val="005806DB"/>
    <w:rsid w:val="00580BB7"/>
    <w:rsid w:val="00580C72"/>
    <w:rsid w:val="00580D05"/>
    <w:rsid w:val="005810F5"/>
    <w:rsid w:val="00581109"/>
    <w:rsid w:val="005815A1"/>
    <w:rsid w:val="00581D35"/>
    <w:rsid w:val="00581E00"/>
    <w:rsid w:val="00581F38"/>
    <w:rsid w:val="0058208A"/>
    <w:rsid w:val="00582B7C"/>
    <w:rsid w:val="00584634"/>
    <w:rsid w:val="00584681"/>
    <w:rsid w:val="00585AFB"/>
    <w:rsid w:val="00585B0F"/>
    <w:rsid w:val="00585B3F"/>
    <w:rsid w:val="005861D5"/>
    <w:rsid w:val="00586428"/>
    <w:rsid w:val="005868A2"/>
    <w:rsid w:val="005878FE"/>
    <w:rsid w:val="00587C1A"/>
    <w:rsid w:val="00587EF7"/>
    <w:rsid w:val="005900B6"/>
    <w:rsid w:val="005900C2"/>
    <w:rsid w:val="00590B63"/>
    <w:rsid w:val="00590E15"/>
    <w:rsid w:val="00590FB7"/>
    <w:rsid w:val="0059137D"/>
    <w:rsid w:val="005913E0"/>
    <w:rsid w:val="00591494"/>
    <w:rsid w:val="005916F7"/>
    <w:rsid w:val="00591AF4"/>
    <w:rsid w:val="00591BC4"/>
    <w:rsid w:val="00591DD3"/>
    <w:rsid w:val="0059237E"/>
    <w:rsid w:val="00592D25"/>
    <w:rsid w:val="00592E0B"/>
    <w:rsid w:val="0059325C"/>
    <w:rsid w:val="005935FB"/>
    <w:rsid w:val="005936FC"/>
    <w:rsid w:val="00593BFB"/>
    <w:rsid w:val="00593ED7"/>
    <w:rsid w:val="005940DC"/>
    <w:rsid w:val="005943AE"/>
    <w:rsid w:val="005946A4"/>
    <w:rsid w:val="005947F2"/>
    <w:rsid w:val="00594D6A"/>
    <w:rsid w:val="00595629"/>
    <w:rsid w:val="00595729"/>
    <w:rsid w:val="005959CD"/>
    <w:rsid w:val="00595F55"/>
    <w:rsid w:val="0059645D"/>
    <w:rsid w:val="00596DD3"/>
    <w:rsid w:val="00596E2D"/>
    <w:rsid w:val="00596F85"/>
    <w:rsid w:val="005978A3"/>
    <w:rsid w:val="00597963"/>
    <w:rsid w:val="00597CF8"/>
    <w:rsid w:val="00597E36"/>
    <w:rsid w:val="005A01A0"/>
    <w:rsid w:val="005A079F"/>
    <w:rsid w:val="005A07BE"/>
    <w:rsid w:val="005A07C5"/>
    <w:rsid w:val="005A084F"/>
    <w:rsid w:val="005A0B50"/>
    <w:rsid w:val="005A16B8"/>
    <w:rsid w:val="005A2875"/>
    <w:rsid w:val="005A2B2E"/>
    <w:rsid w:val="005A2DD3"/>
    <w:rsid w:val="005A2F70"/>
    <w:rsid w:val="005A2F98"/>
    <w:rsid w:val="005A3109"/>
    <w:rsid w:val="005A4380"/>
    <w:rsid w:val="005A48B6"/>
    <w:rsid w:val="005A49ED"/>
    <w:rsid w:val="005A4C99"/>
    <w:rsid w:val="005A4F37"/>
    <w:rsid w:val="005A5BD0"/>
    <w:rsid w:val="005A5E7B"/>
    <w:rsid w:val="005A65EA"/>
    <w:rsid w:val="005A6FA5"/>
    <w:rsid w:val="005A7072"/>
    <w:rsid w:val="005A70EE"/>
    <w:rsid w:val="005A7649"/>
    <w:rsid w:val="005A7936"/>
    <w:rsid w:val="005A7948"/>
    <w:rsid w:val="005A7C22"/>
    <w:rsid w:val="005A7DD5"/>
    <w:rsid w:val="005B0082"/>
    <w:rsid w:val="005B02FB"/>
    <w:rsid w:val="005B03FB"/>
    <w:rsid w:val="005B04A9"/>
    <w:rsid w:val="005B094C"/>
    <w:rsid w:val="005B0C40"/>
    <w:rsid w:val="005B0D5A"/>
    <w:rsid w:val="005B0E27"/>
    <w:rsid w:val="005B0FEA"/>
    <w:rsid w:val="005B1C40"/>
    <w:rsid w:val="005B20BA"/>
    <w:rsid w:val="005B258A"/>
    <w:rsid w:val="005B274D"/>
    <w:rsid w:val="005B275C"/>
    <w:rsid w:val="005B2843"/>
    <w:rsid w:val="005B2A8A"/>
    <w:rsid w:val="005B2E09"/>
    <w:rsid w:val="005B390E"/>
    <w:rsid w:val="005B39A3"/>
    <w:rsid w:val="005B46FE"/>
    <w:rsid w:val="005B474C"/>
    <w:rsid w:val="005B4A2C"/>
    <w:rsid w:val="005B4BA0"/>
    <w:rsid w:val="005B4BEA"/>
    <w:rsid w:val="005B4F6B"/>
    <w:rsid w:val="005B575A"/>
    <w:rsid w:val="005B5F45"/>
    <w:rsid w:val="005B614D"/>
    <w:rsid w:val="005B62E3"/>
    <w:rsid w:val="005B64AF"/>
    <w:rsid w:val="005B6D11"/>
    <w:rsid w:val="005B72C1"/>
    <w:rsid w:val="005B72D0"/>
    <w:rsid w:val="005B73C1"/>
    <w:rsid w:val="005B7B53"/>
    <w:rsid w:val="005B7C36"/>
    <w:rsid w:val="005B7CC1"/>
    <w:rsid w:val="005B7E54"/>
    <w:rsid w:val="005C050B"/>
    <w:rsid w:val="005C08D5"/>
    <w:rsid w:val="005C0B8F"/>
    <w:rsid w:val="005C102F"/>
    <w:rsid w:val="005C12EC"/>
    <w:rsid w:val="005C1368"/>
    <w:rsid w:val="005C1B66"/>
    <w:rsid w:val="005C2C1C"/>
    <w:rsid w:val="005C2E4C"/>
    <w:rsid w:val="005C3066"/>
    <w:rsid w:val="005C318E"/>
    <w:rsid w:val="005C35AD"/>
    <w:rsid w:val="005C36BF"/>
    <w:rsid w:val="005C3CC8"/>
    <w:rsid w:val="005C3EB0"/>
    <w:rsid w:val="005C45C5"/>
    <w:rsid w:val="005C46E9"/>
    <w:rsid w:val="005C47E2"/>
    <w:rsid w:val="005C4960"/>
    <w:rsid w:val="005C5058"/>
    <w:rsid w:val="005C5EB1"/>
    <w:rsid w:val="005C630C"/>
    <w:rsid w:val="005C6CA7"/>
    <w:rsid w:val="005C6DA6"/>
    <w:rsid w:val="005C7385"/>
    <w:rsid w:val="005C7492"/>
    <w:rsid w:val="005C7DB8"/>
    <w:rsid w:val="005C7E3B"/>
    <w:rsid w:val="005C7EE7"/>
    <w:rsid w:val="005D0053"/>
    <w:rsid w:val="005D00DA"/>
    <w:rsid w:val="005D0181"/>
    <w:rsid w:val="005D0759"/>
    <w:rsid w:val="005D0973"/>
    <w:rsid w:val="005D09CD"/>
    <w:rsid w:val="005D0AD3"/>
    <w:rsid w:val="005D15E5"/>
    <w:rsid w:val="005D17D6"/>
    <w:rsid w:val="005D1C8E"/>
    <w:rsid w:val="005D1D06"/>
    <w:rsid w:val="005D22E9"/>
    <w:rsid w:val="005D2656"/>
    <w:rsid w:val="005D2944"/>
    <w:rsid w:val="005D2A22"/>
    <w:rsid w:val="005D2B92"/>
    <w:rsid w:val="005D2C1F"/>
    <w:rsid w:val="005D2CA9"/>
    <w:rsid w:val="005D3066"/>
    <w:rsid w:val="005D38AD"/>
    <w:rsid w:val="005D3D9C"/>
    <w:rsid w:val="005D448C"/>
    <w:rsid w:val="005D46B8"/>
    <w:rsid w:val="005D4C32"/>
    <w:rsid w:val="005D5391"/>
    <w:rsid w:val="005D55D3"/>
    <w:rsid w:val="005D6093"/>
    <w:rsid w:val="005D6D78"/>
    <w:rsid w:val="005D71A0"/>
    <w:rsid w:val="005E0EEA"/>
    <w:rsid w:val="005E1220"/>
    <w:rsid w:val="005E13BE"/>
    <w:rsid w:val="005E1622"/>
    <w:rsid w:val="005E1E76"/>
    <w:rsid w:val="005E1FAA"/>
    <w:rsid w:val="005E2635"/>
    <w:rsid w:val="005E360E"/>
    <w:rsid w:val="005E3D94"/>
    <w:rsid w:val="005E44AE"/>
    <w:rsid w:val="005E514D"/>
    <w:rsid w:val="005E53E2"/>
    <w:rsid w:val="005E5D80"/>
    <w:rsid w:val="005E5E43"/>
    <w:rsid w:val="005E6C1B"/>
    <w:rsid w:val="005E75D3"/>
    <w:rsid w:val="005E7E19"/>
    <w:rsid w:val="005F0225"/>
    <w:rsid w:val="005F02D7"/>
    <w:rsid w:val="005F1499"/>
    <w:rsid w:val="005F14C0"/>
    <w:rsid w:val="005F1670"/>
    <w:rsid w:val="005F171B"/>
    <w:rsid w:val="005F1733"/>
    <w:rsid w:val="005F1CAA"/>
    <w:rsid w:val="005F1F5A"/>
    <w:rsid w:val="005F21AF"/>
    <w:rsid w:val="005F2569"/>
    <w:rsid w:val="005F28CC"/>
    <w:rsid w:val="005F29AE"/>
    <w:rsid w:val="005F2D50"/>
    <w:rsid w:val="005F2F98"/>
    <w:rsid w:val="005F324E"/>
    <w:rsid w:val="005F32D8"/>
    <w:rsid w:val="005F32E1"/>
    <w:rsid w:val="005F3446"/>
    <w:rsid w:val="005F3634"/>
    <w:rsid w:val="005F36B0"/>
    <w:rsid w:val="005F37FF"/>
    <w:rsid w:val="005F3F7F"/>
    <w:rsid w:val="005F4177"/>
    <w:rsid w:val="005F4251"/>
    <w:rsid w:val="005F46D3"/>
    <w:rsid w:val="005F4893"/>
    <w:rsid w:val="005F49E6"/>
    <w:rsid w:val="005F513E"/>
    <w:rsid w:val="005F517B"/>
    <w:rsid w:val="005F5726"/>
    <w:rsid w:val="005F5FED"/>
    <w:rsid w:val="005F607D"/>
    <w:rsid w:val="005F6082"/>
    <w:rsid w:val="005F6504"/>
    <w:rsid w:val="005F6591"/>
    <w:rsid w:val="005F6738"/>
    <w:rsid w:val="005F7909"/>
    <w:rsid w:val="006002BB"/>
    <w:rsid w:val="00600374"/>
    <w:rsid w:val="00600707"/>
    <w:rsid w:val="00600D5F"/>
    <w:rsid w:val="00600E92"/>
    <w:rsid w:val="006011C4"/>
    <w:rsid w:val="0060229A"/>
    <w:rsid w:val="006022EC"/>
    <w:rsid w:val="00602783"/>
    <w:rsid w:val="0060292A"/>
    <w:rsid w:val="00602E89"/>
    <w:rsid w:val="00603189"/>
    <w:rsid w:val="00603195"/>
    <w:rsid w:val="006033BA"/>
    <w:rsid w:val="00604B85"/>
    <w:rsid w:val="00604C8B"/>
    <w:rsid w:val="00605352"/>
    <w:rsid w:val="0060615F"/>
    <w:rsid w:val="006063C8"/>
    <w:rsid w:val="006064E1"/>
    <w:rsid w:val="00606572"/>
    <w:rsid w:val="00606BE3"/>
    <w:rsid w:val="006105F3"/>
    <w:rsid w:val="00610EA0"/>
    <w:rsid w:val="00610F9D"/>
    <w:rsid w:val="0061163A"/>
    <w:rsid w:val="00612109"/>
    <w:rsid w:val="00612209"/>
    <w:rsid w:val="0061225D"/>
    <w:rsid w:val="0061258F"/>
    <w:rsid w:val="0061287F"/>
    <w:rsid w:val="00612C82"/>
    <w:rsid w:val="00612EC3"/>
    <w:rsid w:val="00613391"/>
    <w:rsid w:val="00613620"/>
    <w:rsid w:val="00613785"/>
    <w:rsid w:val="006144D2"/>
    <w:rsid w:val="00614703"/>
    <w:rsid w:val="00614D9F"/>
    <w:rsid w:val="00615032"/>
    <w:rsid w:val="006152CE"/>
    <w:rsid w:val="006155BD"/>
    <w:rsid w:val="00615C18"/>
    <w:rsid w:val="006165F0"/>
    <w:rsid w:val="006166D9"/>
    <w:rsid w:val="00616ACF"/>
    <w:rsid w:val="00616ADB"/>
    <w:rsid w:val="00617743"/>
    <w:rsid w:val="00617C07"/>
    <w:rsid w:val="00617F88"/>
    <w:rsid w:val="006207C1"/>
    <w:rsid w:val="00620AB1"/>
    <w:rsid w:val="00621097"/>
    <w:rsid w:val="00621488"/>
    <w:rsid w:val="00621785"/>
    <w:rsid w:val="0062194B"/>
    <w:rsid w:val="006220C9"/>
    <w:rsid w:val="00622282"/>
    <w:rsid w:val="00622383"/>
    <w:rsid w:val="006224DE"/>
    <w:rsid w:val="0062267B"/>
    <w:rsid w:val="00622717"/>
    <w:rsid w:val="00622906"/>
    <w:rsid w:val="00622CE9"/>
    <w:rsid w:val="00622DCC"/>
    <w:rsid w:val="00622FD0"/>
    <w:rsid w:val="006233DB"/>
    <w:rsid w:val="006237D2"/>
    <w:rsid w:val="006240C2"/>
    <w:rsid w:val="00624359"/>
    <w:rsid w:val="0062487E"/>
    <w:rsid w:val="00624E00"/>
    <w:rsid w:val="00624E95"/>
    <w:rsid w:val="006250C9"/>
    <w:rsid w:val="00625D6F"/>
    <w:rsid w:val="006263DE"/>
    <w:rsid w:val="0062667D"/>
    <w:rsid w:val="00630273"/>
    <w:rsid w:val="00630794"/>
    <w:rsid w:val="00630BB0"/>
    <w:rsid w:val="00630E1C"/>
    <w:rsid w:val="00630EB7"/>
    <w:rsid w:val="006313F7"/>
    <w:rsid w:val="0063159A"/>
    <w:rsid w:val="006318BC"/>
    <w:rsid w:val="00632711"/>
    <w:rsid w:val="00632974"/>
    <w:rsid w:val="00632AFB"/>
    <w:rsid w:val="00633758"/>
    <w:rsid w:val="00633DCA"/>
    <w:rsid w:val="006348B6"/>
    <w:rsid w:val="00634C3B"/>
    <w:rsid w:val="00634F07"/>
    <w:rsid w:val="006351DF"/>
    <w:rsid w:val="00635C1D"/>
    <w:rsid w:val="00635E49"/>
    <w:rsid w:val="00636076"/>
    <w:rsid w:val="00636103"/>
    <w:rsid w:val="0063617F"/>
    <w:rsid w:val="006367C1"/>
    <w:rsid w:val="00637FA6"/>
    <w:rsid w:val="00637FA8"/>
    <w:rsid w:val="00640333"/>
    <w:rsid w:val="00641759"/>
    <w:rsid w:val="00641AEB"/>
    <w:rsid w:val="00641BED"/>
    <w:rsid w:val="006427E9"/>
    <w:rsid w:val="00642B35"/>
    <w:rsid w:val="00642CDD"/>
    <w:rsid w:val="00642EF3"/>
    <w:rsid w:val="00643301"/>
    <w:rsid w:val="006439C8"/>
    <w:rsid w:val="00644029"/>
    <w:rsid w:val="00644119"/>
    <w:rsid w:val="00644127"/>
    <w:rsid w:val="0064482E"/>
    <w:rsid w:val="00644EBC"/>
    <w:rsid w:val="006451EE"/>
    <w:rsid w:val="0064529C"/>
    <w:rsid w:val="00645554"/>
    <w:rsid w:val="0064568E"/>
    <w:rsid w:val="00645D3A"/>
    <w:rsid w:val="006462BF"/>
    <w:rsid w:val="0064651A"/>
    <w:rsid w:val="00646631"/>
    <w:rsid w:val="00646807"/>
    <w:rsid w:val="00646F57"/>
    <w:rsid w:val="0064704C"/>
    <w:rsid w:val="0064753F"/>
    <w:rsid w:val="006477A8"/>
    <w:rsid w:val="00647A23"/>
    <w:rsid w:val="00647B35"/>
    <w:rsid w:val="00650083"/>
    <w:rsid w:val="0065017B"/>
    <w:rsid w:val="0065079B"/>
    <w:rsid w:val="006507BC"/>
    <w:rsid w:val="00650AEA"/>
    <w:rsid w:val="00650EF9"/>
    <w:rsid w:val="006513C0"/>
    <w:rsid w:val="00651456"/>
    <w:rsid w:val="00651655"/>
    <w:rsid w:val="00651CBA"/>
    <w:rsid w:val="00651CD1"/>
    <w:rsid w:val="00651DD9"/>
    <w:rsid w:val="00652ABB"/>
    <w:rsid w:val="006532C5"/>
    <w:rsid w:val="00653327"/>
    <w:rsid w:val="0065337A"/>
    <w:rsid w:val="0065350A"/>
    <w:rsid w:val="006535C9"/>
    <w:rsid w:val="006535E6"/>
    <w:rsid w:val="00653884"/>
    <w:rsid w:val="0065393C"/>
    <w:rsid w:val="0065397E"/>
    <w:rsid w:val="00653CA7"/>
    <w:rsid w:val="0065431E"/>
    <w:rsid w:val="006544AA"/>
    <w:rsid w:val="006546BC"/>
    <w:rsid w:val="00654EE0"/>
    <w:rsid w:val="00655080"/>
    <w:rsid w:val="00655A6F"/>
    <w:rsid w:val="00655B81"/>
    <w:rsid w:val="00655C0A"/>
    <w:rsid w:val="00655C2E"/>
    <w:rsid w:val="00655E1A"/>
    <w:rsid w:val="00656346"/>
    <w:rsid w:val="006563E3"/>
    <w:rsid w:val="00656828"/>
    <w:rsid w:val="00656878"/>
    <w:rsid w:val="006573B4"/>
    <w:rsid w:val="006601C9"/>
    <w:rsid w:val="00660CF3"/>
    <w:rsid w:val="00661155"/>
    <w:rsid w:val="006613AF"/>
    <w:rsid w:val="0066145C"/>
    <w:rsid w:val="006624CC"/>
    <w:rsid w:val="00662BE1"/>
    <w:rsid w:val="00662F29"/>
    <w:rsid w:val="00663796"/>
    <w:rsid w:val="00663C48"/>
    <w:rsid w:val="00663DA9"/>
    <w:rsid w:val="006642FB"/>
    <w:rsid w:val="00664D70"/>
    <w:rsid w:val="00665764"/>
    <w:rsid w:val="00665868"/>
    <w:rsid w:val="00665902"/>
    <w:rsid w:val="00665CD8"/>
    <w:rsid w:val="006663DC"/>
    <w:rsid w:val="0066643C"/>
    <w:rsid w:val="006664C2"/>
    <w:rsid w:val="00666F37"/>
    <w:rsid w:val="00666FFD"/>
    <w:rsid w:val="00667052"/>
    <w:rsid w:val="006676DE"/>
    <w:rsid w:val="00667B2D"/>
    <w:rsid w:val="006703B5"/>
    <w:rsid w:val="0067085D"/>
    <w:rsid w:val="00670D5A"/>
    <w:rsid w:val="00670E82"/>
    <w:rsid w:val="00670FF5"/>
    <w:rsid w:val="00671193"/>
    <w:rsid w:val="0067190B"/>
    <w:rsid w:val="00671918"/>
    <w:rsid w:val="00672468"/>
    <w:rsid w:val="006724BA"/>
    <w:rsid w:val="006727F8"/>
    <w:rsid w:val="0067283D"/>
    <w:rsid w:val="00672B93"/>
    <w:rsid w:val="006732DD"/>
    <w:rsid w:val="006733B0"/>
    <w:rsid w:val="00673AD6"/>
    <w:rsid w:val="006743AA"/>
    <w:rsid w:val="00674723"/>
    <w:rsid w:val="00674862"/>
    <w:rsid w:val="00674A5E"/>
    <w:rsid w:val="0067549F"/>
    <w:rsid w:val="0067696B"/>
    <w:rsid w:val="00677784"/>
    <w:rsid w:val="00680162"/>
    <w:rsid w:val="006802D6"/>
    <w:rsid w:val="00680454"/>
    <w:rsid w:val="006810F8"/>
    <w:rsid w:val="00681184"/>
    <w:rsid w:val="0068130C"/>
    <w:rsid w:val="00681560"/>
    <w:rsid w:val="00681692"/>
    <w:rsid w:val="00681AAE"/>
    <w:rsid w:val="00681DD6"/>
    <w:rsid w:val="00682100"/>
    <w:rsid w:val="006823BF"/>
    <w:rsid w:val="00682461"/>
    <w:rsid w:val="00682771"/>
    <w:rsid w:val="00682C95"/>
    <w:rsid w:val="00683005"/>
    <w:rsid w:val="006831DD"/>
    <w:rsid w:val="00683297"/>
    <w:rsid w:val="00683393"/>
    <w:rsid w:val="006834B3"/>
    <w:rsid w:val="0068496B"/>
    <w:rsid w:val="00684B24"/>
    <w:rsid w:val="00684CDC"/>
    <w:rsid w:val="00684DC2"/>
    <w:rsid w:val="00684ED0"/>
    <w:rsid w:val="00685317"/>
    <w:rsid w:val="006856DE"/>
    <w:rsid w:val="00685A95"/>
    <w:rsid w:val="006863C2"/>
    <w:rsid w:val="00686510"/>
    <w:rsid w:val="00686585"/>
    <w:rsid w:val="006865AB"/>
    <w:rsid w:val="00686746"/>
    <w:rsid w:val="00686AD4"/>
    <w:rsid w:val="00686B99"/>
    <w:rsid w:val="00686E33"/>
    <w:rsid w:val="006871B7"/>
    <w:rsid w:val="00687473"/>
    <w:rsid w:val="00687583"/>
    <w:rsid w:val="00687595"/>
    <w:rsid w:val="00687DAE"/>
    <w:rsid w:val="00687F9D"/>
    <w:rsid w:val="00687FE1"/>
    <w:rsid w:val="0069024F"/>
    <w:rsid w:val="00691364"/>
    <w:rsid w:val="006922BC"/>
    <w:rsid w:val="0069241F"/>
    <w:rsid w:val="0069298D"/>
    <w:rsid w:val="00692EE4"/>
    <w:rsid w:val="00693615"/>
    <w:rsid w:val="00693D6E"/>
    <w:rsid w:val="00694138"/>
    <w:rsid w:val="006941CC"/>
    <w:rsid w:val="00694861"/>
    <w:rsid w:val="0069541C"/>
    <w:rsid w:val="006958C9"/>
    <w:rsid w:val="00695C9D"/>
    <w:rsid w:val="00695D14"/>
    <w:rsid w:val="00696009"/>
    <w:rsid w:val="006960E7"/>
    <w:rsid w:val="00696193"/>
    <w:rsid w:val="00696E03"/>
    <w:rsid w:val="00696E67"/>
    <w:rsid w:val="00697312"/>
    <w:rsid w:val="00697425"/>
    <w:rsid w:val="00697691"/>
    <w:rsid w:val="006976B6"/>
    <w:rsid w:val="006976DF"/>
    <w:rsid w:val="006979D2"/>
    <w:rsid w:val="00697D2E"/>
    <w:rsid w:val="006A0335"/>
    <w:rsid w:val="006A0354"/>
    <w:rsid w:val="006A04CE"/>
    <w:rsid w:val="006A0B2C"/>
    <w:rsid w:val="006A0DC9"/>
    <w:rsid w:val="006A14F7"/>
    <w:rsid w:val="006A1723"/>
    <w:rsid w:val="006A1C5D"/>
    <w:rsid w:val="006A2417"/>
    <w:rsid w:val="006A2495"/>
    <w:rsid w:val="006A2762"/>
    <w:rsid w:val="006A2994"/>
    <w:rsid w:val="006A2BB7"/>
    <w:rsid w:val="006A2EEF"/>
    <w:rsid w:val="006A3028"/>
    <w:rsid w:val="006A342F"/>
    <w:rsid w:val="006A3769"/>
    <w:rsid w:val="006A38DB"/>
    <w:rsid w:val="006A4CB4"/>
    <w:rsid w:val="006A58D8"/>
    <w:rsid w:val="006A6492"/>
    <w:rsid w:val="006A670F"/>
    <w:rsid w:val="006A6757"/>
    <w:rsid w:val="006A679E"/>
    <w:rsid w:val="006A67E0"/>
    <w:rsid w:val="006A68EC"/>
    <w:rsid w:val="006A6DDF"/>
    <w:rsid w:val="006A7124"/>
    <w:rsid w:val="006A75E4"/>
    <w:rsid w:val="006A76D5"/>
    <w:rsid w:val="006A784A"/>
    <w:rsid w:val="006A7B82"/>
    <w:rsid w:val="006B0241"/>
    <w:rsid w:val="006B091A"/>
    <w:rsid w:val="006B097D"/>
    <w:rsid w:val="006B0A8C"/>
    <w:rsid w:val="006B0B29"/>
    <w:rsid w:val="006B166C"/>
    <w:rsid w:val="006B18FF"/>
    <w:rsid w:val="006B19AE"/>
    <w:rsid w:val="006B1B26"/>
    <w:rsid w:val="006B1B62"/>
    <w:rsid w:val="006B1C33"/>
    <w:rsid w:val="006B228E"/>
    <w:rsid w:val="006B22D2"/>
    <w:rsid w:val="006B29B5"/>
    <w:rsid w:val="006B35D6"/>
    <w:rsid w:val="006B3E85"/>
    <w:rsid w:val="006B3EC2"/>
    <w:rsid w:val="006B4202"/>
    <w:rsid w:val="006B47D4"/>
    <w:rsid w:val="006B47F9"/>
    <w:rsid w:val="006B4C52"/>
    <w:rsid w:val="006B4CA2"/>
    <w:rsid w:val="006B54D0"/>
    <w:rsid w:val="006B55E5"/>
    <w:rsid w:val="006B5A22"/>
    <w:rsid w:val="006B5AB8"/>
    <w:rsid w:val="006B5CEA"/>
    <w:rsid w:val="006B60B8"/>
    <w:rsid w:val="006B69D7"/>
    <w:rsid w:val="006B6F4C"/>
    <w:rsid w:val="006B709D"/>
    <w:rsid w:val="006B7171"/>
    <w:rsid w:val="006B7362"/>
    <w:rsid w:val="006B73AE"/>
    <w:rsid w:val="006C05EE"/>
    <w:rsid w:val="006C0717"/>
    <w:rsid w:val="006C0B28"/>
    <w:rsid w:val="006C1B06"/>
    <w:rsid w:val="006C1ED5"/>
    <w:rsid w:val="006C23DC"/>
    <w:rsid w:val="006C24E8"/>
    <w:rsid w:val="006C2C7F"/>
    <w:rsid w:val="006C2E61"/>
    <w:rsid w:val="006C3852"/>
    <w:rsid w:val="006C387C"/>
    <w:rsid w:val="006C3AC3"/>
    <w:rsid w:val="006C4157"/>
    <w:rsid w:val="006C438B"/>
    <w:rsid w:val="006C457D"/>
    <w:rsid w:val="006C5004"/>
    <w:rsid w:val="006C51E2"/>
    <w:rsid w:val="006C5268"/>
    <w:rsid w:val="006C540B"/>
    <w:rsid w:val="006C55BB"/>
    <w:rsid w:val="006C55CC"/>
    <w:rsid w:val="006C607E"/>
    <w:rsid w:val="006C6D41"/>
    <w:rsid w:val="006C77F8"/>
    <w:rsid w:val="006C7E03"/>
    <w:rsid w:val="006D007C"/>
    <w:rsid w:val="006D0285"/>
    <w:rsid w:val="006D040E"/>
    <w:rsid w:val="006D0600"/>
    <w:rsid w:val="006D074D"/>
    <w:rsid w:val="006D0D46"/>
    <w:rsid w:val="006D1840"/>
    <w:rsid w:val="006D1DCD"/>
    <w:rsid w:val="006D20DD"/>
    <w:rsid w:val="006D2A7C"/>
    <w:rsid w:val="006D3624"/>
    <w:rsid w:val="006D37EF"/>
    <w:rsid w:val="006D3B19"/>
    <w:rsid w:val="006D3FDB"/>
    <w:rsid w:val="006D4CCD"/>
    <w:rsid w:val="006D4D38"/>
    <w:rsid w:val="006D4D86"/>
    <w:rsid w:val="006D512E"/>
    <w:rsid w:val="006D5170"/>
    <w:rsid w:val="006D51AA"/>
    <w:rsid w:val="006D51C9"/>
    <w:rsid w:val="006D52FB"/>
    <w:rsid w:val="006D5571"/>
    <w:rsid w:val="006D5CC2"/>
    <w:rsid w:val="006D629C"/>
    <w:rsid w:val="006D638E"/>
    <w:rsid w:val="006D719F"/>
    <w:rsid w:val="006D737F"/>
    <w:rsid w:val="006D7DAE"/>
    <w:rsid w:val="006D7ECC"/>
    <w:rsid w:val="006E0458"/>
    <w:rsid w:val="006E093C"/>
    <w:rsid w:val="006E0E8A"/>
    <w:rsid w:val="006E0F2E"/>
    <w:rsid w:val="006E137B"/>
    <w:rsid w:val="006E14F4"/>
    <w:rsid w:val="006E19AC"/>
    <w:rsid w:val="006E1CB5"/>
    <w:rsid w:val="006E2554"/>
    <w:rsid w:val="006E26B0"/>
    <w:rsid w:val="006E2BCB"/>
    <w:rsid w:val="006E2DAF"/>
    <w:rsid w:val="006E3167"/>
    <w:rsid w:val="006E36A6"/>
    <w:rsid w:val="006E3EE2"/>
    <w:rsid w:val="006E3FA2"/>
    <w:rsid w:val="006E4317"/>
    <w:rsid w:val="006E49FB"/>
    <w:rsid w:val="006E4E38"/>
    <w:rsid w:val="006E5357"/>
    <w:rsid w:val="006E5763"/>
    <w:rsid w:val="006E631F"/>
    <w:rsid w:val="006E6390"/>
    <w:rsid w:val="006E696A"/>
    <w:rsid w:val="006E6A0F"/>
    <w:rsid w:val="006E6D95"/>
    <w:rsid w:val="006E7184"/>
    <w:rsid w:val="006E7866"/>
    <w:rsid w:val="006E7A18"/>
    <w:rsid w:val="006F09B2"/>
    <w:rsid w:val="006F0A2E"/>
    <w:rsid w:val="006F0B42"/>
    <w:rsid w:val="006F12F0"/>
    <w:rsid w:val="006F1C3E"/>
    <w:rsid w:val="006F1D82"/>
    <w:rsid w:val="006F2193"/>
    <w:rsid w:val="006F2BB1"/>
    <w:rsid w:val="006F3AE9"/>
    <w:rsid w:val="006F3CBA"/>
    <w:rsid w:val="006F3E75"/>
    <w:rsid w:val="006F417B"/>
    <w:rsid w:val="006F4DBC"/>
    <w:rsid w:val="006F500F"/>
    <w:rsid w:val="006F5284"/>
    <w:rsid w:val="006F5751"/>
    <w:rsid w:val="006F59FB"/>
    <w:rsid w:val="006F5C19"/>
    <w:rsid w:val="006F5CAC"/>
    <w:rsid w:val="006F5FB2"/>
    <w:rsid w:val="006F61FE"/>
    <w:rsid w:val="006F6325"/>
    <w:rsid w:val="006F690A"/>
    <w:rsid w:val="006F6FA3"/>
    <w:rsid w:val="006F6FE7"/>
    <w:rsid w:val="006F74C5"/>
    <w:rsid w:val="006F77E5"/>
    <w:rsid w:val="006F78F1"/>
    <w:rsid w:val="006F7B68"/>
    <w:rsid w:val="007013CD"/>
    <w:rsid w:val="00701697"/>
    <w:rsid w:val="00701719"/>
    <w:rsid w:val="00701906"/>
    <w:rsid w:val="00702764"/>
    <w:rsid w:val="00702A4E"/>
    <w:rsid w:val="00702F32"/>
    <w:rsid w:val="007030FE"/>
    <w:rsid w:val="007034CD"/>
    <w:rsid w:val="00703BC9"/>
    <w:rsid w:val="007048F2"/>
    <w:rsid w:val="00705068"/>
    <w:rsid w:val="00705731"/>
    <w:rsid w:val="00705988"/>
    <w:rsid w:val="00706BF3"/>
    <w:rsid w:val="0070727A"/>
    <w:rsid w:val="0070732A"/>
    <w:rsid w:val="00707E77"/>
    <w:rsid w:val="00707EA6"/>
    <w:rsid w:val="00707EC5"/>
    <w:rsid w:val="00710B2B"/>
    <w:rsid w:val="0071120C"/>
    <w:rsid w:val="0071143A"/>
    <w:rsid w:val="007114F9"/>
    <w:rsid w:val="007118EA"/>
    <w:rsid w:val="00711A54"/>
    <w:rsid w:val="00711C3A"/>
    <w:rsid w:val="007125E4"/>
    <w:rsid w:val="007127D7"/>
    <w:rsid w:val="00712937"/>
    <w:rsid w:val="00712E6B"/>
    <w:rsid w:val="00713619"/>
    <w:rsid w:val="007136D6"/>
    <w:rsid w:val="00713B6C"/>
    <w:rsid w:val="00713CFC"/>
    <w:rsid w:val="00713DA4"/>
    <w:rsid w:val="00713DC3"/>
    <w:rsid w:val="007146D2"/>
    <w:rsid w:val="007149F9"/>
    <w:rsid w:val="00715892"/>
    <w:rsid w:val="00715932"/>
    <w:rsid w:val="00716E55"/>
    <w:rsid w:val="00717C6B"/>
    <w:rsid w:val="007201C3"/>
    <w:rsid w:val="007201DC"/>
    <w:rsid w:val="00720949"/>
    <w:rsid w:val="00720C11"/>
    <w:rsid w:val="00721729"/>
    <w:rsid w:val="00721772"/>
    <w:rsid w:val="007217B2"/>
    <w:rsid w:val="00721893"/>
    <w:rsid w:val="00721B41"/>
    <w:rsid w:val="0072239F"/>
    <w:rsid w:val="00722585"/>
    <w:rsid w:val="0072353A"/>
    <w:rsid w:val="007238B3"/>
    <w:rsid w:val="00723968"/>
    <w:rsid w:val="00724B05"/>
    <w:rsid w:val="00724C26"/>
    <w:rsid w:val="00724F26"/>
    <w:rsid w:val="00724FF2"/>
    <w:rsid w:val="00725096"/>
    <w:rsid w:val="007251E4"/>
    <w:rsid w:val="007253E1"/>
    <w:rsid w:val="0072574E"/>
    <w:rsid w:val="0072591B"/>
    <w:rsid w:val="007267FB"/>
    <w:rsid w:val="00726A93"/>
    <w:rsid w:val="00726ABF"/>
    <w:rsid w:val="00726F41"/>
    <w:rsid w:val="00727507"/>
    <w:rsid w:val="0072788B"/>
    <w:rsid w:val="00727CB3"/>
    <w:rsid w:val="00727DF6"/>
    <w:rsid w:val="0073050D"/>
    <w:rsid w:val="0073060F"/>
    <w:rsid w:val="00730918"/>
    <w:rsid w:val="007309A1"/>
    <w:rsid w:val="00730B79"/>
    <w:rsid w:val="00730C9E"/>
    <w:rsid w:val="00730CA5"/>
    <w:rsid w:val="00730EFA"/>
    <w:rsid w:val="007310B2"/>
    <w:rsid w:val="00731357"/>
    <w:rsid w:val="0073135C"/>
    <w:rsid w:val="007322A6"/>
    <w:rsid w:val="007326DF"/>
    <w:rsid w:val="00732A8D"/>
    <w:rsid w:val="00732B27"/>
    <w:rsid w:val="0073318E"/>
    <w:rsid w:val="007337F8"/>
    <w:rsid w:val="0073398B"/>
    <w:rsid w:val="00733D41"/>
    <w:rsid w:val="00733F76"/>
    <w:rsid w:val="00733FB7"/>
    <w:rsid w:val="007340B3"/>
    <w:rsid w:val="00734722"/>
    <w:rsid w:val="007349B1"/>
    <w:rsid w:val="007351D3"/>
    <w:rsid w:val="0073571E"/>
    <w:rsid w:val="00735BE7"/>
    <w:rsid w:val="00735CDA"/>
    <w:rsid w:val="007365AB"/>
    <w:rsid w:val="00736755"/>
    <w:rsid w:val="00736ECC"/>
    <w:rsid w:val="007370D1"/>
    <w:rsid w:val="00737117"/>
    <w:rsid w:val="007372FC"/>
    <w:rsid w:val="007375DD"/>
    <w:rsid w:val="007376EE"/>
    <w:rsid w:val="0073795A"/>
    <w:rsid w:val="00737A2B"/>
    <w:rsid w:val="00737D67"/>
    <w:rsid w:val="00740208"/>
    <w:rsid w:val="007408DF"/>
    <w:rsid w:val="007409C4"/>
    <w:rsid w:val="00740E38"/>
    <w:rsid w:val="00740FB4"/>
    <w:rsid w:val="00741193"/>
    <w:rsid w:val="00741403"/>
    <w:rsid w:val="007420E6"/>
    <w:rsid w:val="00742AA0"/>
    <w:rsid w:val="00742D49"/>
    <w:rsid w:val="00742D78"/>
    <w:rsid w:val="0074367D"/>
    <w:rsid w:val="00743826"/>
    <w:rsid w:val="00743C7F"/>
    <w:rsid w:val="007442E8"/>
    <w:rsid w:val="00744F1D"/>
    <w:rsid w:val="0074535D"/>
    <w:rsid w:val="0074551A"/>
    <w:rsid w:val="0074556F"/>
    <w:rsid w:val="00745590"/>
    <w:rsid w:val="00746677"/>
    <w:rsid w:val="00746D79"/>
    <w:rsid w:val="00746EFC"/>
    <w:rsid w:val="007470FF"/>
    <w:rsid w:val="0074741E"/>
    <w:rsid w:val="00747834"/>
    <w:rsid w:val="0074793B"/>
    <w:rsid w:val="00747A27"/>
    <w:rsid w:val="007506FE"/>
    <w:rsid w:val="00750ADB"/>
    <w:rsid w:val="00750F6F"/>
    <w:rsid w:val="0075100E"/>
    <w:rsid w:val="0075131F"/>
    <w:rsid w:val="0075198A"/>
    <w:rsid w:val="00751A2C"/>
    <w:rsid w:val="00752396"/>
    <w:rsid w:val="00752905"/>
    <w:rsid w:val="0075314C"/>
    <w:rsid w:val="00753249"/>
    <w:rsid w:val="00753289"/>
    <w:rsid w:val="00753B7B"/>
    <w:rsid w:val="00753BC0"/>
    <w:rsid w:val="007547F0"/>
    <w:rsid w:val="0075486D"/>
    <w:rsid w:val="007549E3"/>
    <w:rsid w:val="00754FED"/>
    <w:rsid w:val="00755077"/>
    <w:rsid w:val="007552DB"/>
    <w:rsid w:val="007555BF"/>
    <w:rsid w:val="00755F28"/>
    <w:rsid w:val="0075627F"/>
    <w:rsid w:val="0075671A"/>
    <w:rsid w:val="00756941"/>
    <w:rsid w:val="00756BEA"/>
    <w:rsid w:val="00757133"/>
    <w:rsid w:val="00757327"/>
    <w:rsid w:val="00757896"/>
    <w:rsid w:val="00757F22"/>
    <w:rsid w:val="00757FA1"/>
    <w:rsid w:val="0076017A"/>
    <w:rsid w:val="0076038B"/>
    <w:rsid w:val="007608D3"/>
    <w:rsid w:val="00760BBD"/>
    <w:rsid w:val="00760C3C"/>
    <w:rsid w:val="00760E8A"/>
    <w:rsid w:val="00761660"/>
    <w:rsid w:val="007618B4"/>
    <w:rsid w:val="007620C0"/>
    <w:rsid w:val="00763EC3"/>
    <w:rsid w:val="00763FC9"/>
    <w:rsid w:val="007640FB"/>
    <w:rsid w:val="00764368"/>
    <w:rsid w:val="0076445C"/>
    <w:rsid w:val="007645C6"/>
    <w:rsid w:val="007648AA"/>
    <w:rsid w:val="00765809"/>
    <w:rsid w:val="007658FB"/>
    <w:rsid w:val="00765ADE"/>
    <w:rsid w:val="00765E31"/>
    <w:rsid w:val="00766425"/>
    <w:rsid w:val="00766447"/>
    <w:rsid w:val="0076644D"/>
    <w:rsid w:val="007668B7"/>
    <w:rsid w:val="00766A89"/>
    <w:rsid w:val="00766B4C"/>
    <w:rsid w:val="007671F6"/>
    <w:rsid w:val="00767A0C"/>
    <w:rsid w:val="00767CF4"/>
    <w:rsid w:val="00767DFD"/>
    <w:rsid w:val="0077049A"/>
    <w:rsid w:val="00770C48"/>
    <w:rsid w:val="00771275"/>
    <w:rsid w:val="007713B4"/>
    <w:rsid w:val="0077185D"/>
    <w:rsid w:val="00771C90"/>
    <w:rsid w:val="00771D1B"/>
    <w:rsid w:val="00771F0E"/>
    <w:rsid w:val="0077205B"/>
    <w:rsid w:val="007723A5"/>
    <w:rsid w:val="0077246F"/>
    <w:rsid w:val="007734B5"/>
    <w:rsid w:val="007735D2"/>
    <w:rsid w:val="0077387A"/>
    <w:rsid w:val="00773A58"/>
    <w:rsid w:val="00773D97"/>
    <w:rsid w:val="0077429B"/>
    <w:rsid w:val="00774317"/>
    <w:rsid w:val="007748AB"/>
    <w:rsid w:val="00774989"/>
    <w:rsid w:val="00774B6A"/>
    <w:rsid w:val="00774CB9"/>
    <w:rsid w:val="007751FD"/>
    <w:rsid w:val="00776078"/>
    <w:rsid w:val="007760F3"/>
    <w:rsid w:val="0077611D"/>
    <w:rsid w:val="0077625D"/>
    <w:rsid w:val="007763EE"/>
    <w:rsid w:val="0077672C"/>
    <w:rsid w:val="00776A28"/>
    <w:rsid w:val="00776C3A"/>
    <w:rsid w:val="00776D0B"/>
    <w:rsid w:val="007770FA"/>
    <w:rsid w:val="007772E0"/>
    <w:rsid w:val="0078026E"/>
    <w:rsid w:val="007806F6"/>
    <w:rsid w:val="00780C5A"/>
    <w:rsid w:val="00780F6F"/>
    <w:rsid w:val="0078108C"/>
    <w:rsid w:val="007811F9"/>
    <w:rsid w:val="007815D5"/>
    <w:rsid w:val="00781AAA"/>
    <w:rsid w:val="00781C23"/>
    <w:rsid w:val="00781C5D"/>
    <w:rsid w:val="00782052"/>
    <w:rsid w:val="00782071"/>
    <w:rsid w:val="007825E5"/>
    <w:rsid w:val="00782845"/>
    <w:rsid w:val="00782BCA"/>
    <w:rsid w:val="007831DB"/>
    <w:rsid w:val="00783273"/>
    <w:rsid w:val="007832A9"/>
    <w:rsid w:val="007834A0"/>
    <w:rsid w:val="00783A15"/>
    <w:rsid w:val="007845D0"/>
    <w:rsid w:val="0078470D"/>
    <w:rsid w:val="0078480D"/>
    <w:rsid w:val="00784901"/>
    <w:rsid w:val="00785019"/>
    <w:rsid w:val="007852B5"/>
    <w:rsid w:val="00785304"/>
    <w:rsid w:val="0078582D"/>
    <w:rsid w:val="00785915"/>
    <w:rsid w:val="00785D86"/>
    <w:rsid w:val="00786222"/>
    <w:rsid w:val="0078641D"/>
    <w:rsid w:val="007869CC"/>
    <w:rsid w:val="00786F08"/>
    <w:rsid w:val="00787CD5"/>
    <w:rsid w:val="00787E13"/>
    <w:rsid w:val="00787FE9"/>
    <w:rsid w:val="00790084"/>
    <w:rsid w:val="0079029B"/>
    <w:rsid w:val="007902E8"/>
    <w:rsid w:val="0079070A"/>
    <w:rsid w:val="007909F5"/>
    <w:rsid w:val="00790C44"/>
    <w:rsid w:val="00791660"/>
    <w:rsid w:val="00792203"/>
    <w:rsid w:val="00792901"/>
    <w:rsid w:val="00792927"/>
    <w:rsid w:val="00792D0C"/>
    <w:rsid w:val="00793220"/>
    <w:rsid w:val="00793979"/>
    <w:rsid w:val="00794C93"/>
    <w:rsid w:val="007955B5"/>
    <w:rsid w:val="0079572D"/>
    <w:rsid w:val="0079576B"/>
    <w:rsid w:val="00795A2C"/>
    <w:rsid w:val="00795EFF"/>
    <w:rsid w:val="00795F69"/>
    <w:rsid w:val="00795FE9"/>
    <w:rsid w:val="00796121"/>
    <w:rsid w:val="00796210"/>
    <w:rsid w:val="0079696B"/>
    <w:rsid w:val="00796B43"/>
    <w:rsid w:val="007971D1"/>
    <w:rsid w:val="0079744E"/>
    <w:rsid w:val="00797548"/>
    <w:rsid w:val="00797586"/>
    <w:rsid w:val="00797C48"/>
    <w:rsid w:val="00797DF2"/>
    <w:rsid w:val="007A0A3A"/>
    <w:rsid w:val="007A0CB5"/>
    <w:rsid w:val="007A0DBC"/>
    <w:rsid w:val="007A0F9E"/>
    <w:rsid w:val="007A1094"/>
    <w:rsid w:val="007A158B"/>
    <w:rsid w:val="007A1862"/>
    <w:rsid w:val="007A1890"/>
    <w:rsid w:val="007A1D88"/>
    <w:rsid w:val="007A211A"/>
    <w:rsid w:val="007A2736"/>
    <w:rsid w:val="007A29A1"/>
    <w:rsid w:val="007A2B3A"/>
    <w:rsid w:val="007A2B55"/>
    <w:rsid w:val="007A2E48"/>
    <w:rsid w:val="007A3206"/>
    <w:rsid w:val="007A3811"/>
    <w:rsid w:val="007A3FDD"/>
    <w:rsid w:val="007A3FEC"/>
    <w:rsid w:val="007A416E"/>
    <w:rsid w:val="007A41B4"/>
    <w:rsid w:val="007A435C"/>
    <w:rsid w:val="007A4A98"/>
    <w:rsid w:val="007A5085"/>
    <w:rsid w:val="007A51C5"/>
    <w:rsid w:val="007A5245"/>
    <w:rsid w:val="007A5305"/>
    <w:rsid w:val="007A5339"/>
    <w:rsid w:val="007A55F6"/>
    <w:rsid w:val="007A589C"/>
    <w:rsid w:val="007A6048"/>
    <w:rsid w:val="007A62EF"/>
    <w:rsid w:val="007A641A"/>
    <w:rsid w:val="007A6E29"/>
    <w:rsid w:val="007A7E60"/>
    <w:rsid w:val="007A7FED"/>
    <w:rsid w:val="007B007B"/>
    <w:rsid w:val="007B0181"/>
    <w:rsid w:val="007B056B"/>
    <w:rsid w:val="007B0AAD"/>
    <w:rsid w:val="007B10AA"/>
    <w:rsid w:val="007B10E5"/>
    <w:rsid w:val="007B1252"/>
    <w:rsid w:val="007B18FE"/>
    <w:rsid w:val="007B1AB9"/>
    <w:rsid w:val="007B1B4D"/>
    <w:rsid w:val="007B1BF5"/>
    <w:rsid w:val="007B1C6E"/>
    <w:rsid w:val="007B1CF8"/>
    <w:rsid w:val="007B1DCA"/>
    <w:rsid w:val="007B24D0"/>
    <w:rsid w:val="007B26B5"/>
    <w:rsid w:val="007B2A1F"/>
    <w:rsid w:val="007B2A94"/>
    <w:rsid w:val="007B320A"/>
    <w:rsid w:val="007B34E2"/>
    <w:rsid w:val="007B4099"/>
    <w:rsid w:val="007B446F"/>
    <w:rsid w:val="007B44ED"/>
    <w:rsid w:val="007B47D0"/>
    <w:rsid w:val="007B4AAA"/>
    <w:rsid w:val="007B5381"/>
    <w:rsid w:val="007B5FD0"/>
    <w:rsid w:val="007B6807"/>
    <w:rsid w:val="007B6B69"/>
    <w:rsid w:val="007B78E7"/>
    <w:rsid w:val="007C0146"/>
    <w:rsid w:val="007C060B"/>
    <w:rsid w:val="007C07D1"/>
    <w:rsid w:val="007C0876"/>
    <w:rsid w:val="007C0BC7"/>
    <w:rsid w:val="007C1185"/>
    <w:rsid w:val="007C14CB"/>
    <w:rsid w:val="007C16E5"/>
    <w:rsid w:val="007C1974"/>
    <w:rsid w:val="007C1B9E"/>
    <w:rsid w:val="007C2007"/>
    <w:rsid w:val="007C2529"/>
    <w:rsid w:val="007C2D8A"/>
    <w:rsid w:val="007C2E06"/>
    <w:rsid w:val="007C2F80"/>
    <w:rsid w:val="007C30A8"/>
    <w:rsid w:val="007C3373"/>
    <w:rsid w:val="007C369A"/>
    <w:rsid w:val="007C3892"/>
    <w:rsid w:val="007C39BD"/>
    <w:rsid w:val="007C3AAC"/>
    <w:rsid w:val="007C3E23"/>
    <w:rsid w:val="007C4705"/>
    <w:rsid w:val="007C4ADD"/>
    <w:rsid w:val="007C54AE"/>
    <w:rsid w:val="007C55E5"/>
    <w:rsid w:val="007C5798"/>
    <w:rsid w:val="007C5875"/>
    <w:rsid w:val="007C589A"/>
    <w:rsid w:val="007C5AF9"/>
    <w:rsid w:val="007C5B11"/>
    <w:rsid w:val="007C5F37"/>
    <w:rsid w:val="007C6420"/>
    <w:rsid w:val="007C711A"/>
    <w:rsid w:val="007C75B4"/>
    <w:rsid w:val="007C76F6"/>
    <w:rsid w:val="007C7C52"/>
    <w:rsid w:val="007C7E7D"/>
    <w:rsid w:val="007D003C"/>
    <w:rsid w:val="007D0287"/>
    <w:rsid w:val="007D0436"/>
    <w:rsid w:val="007D07C5"/>
    <w:rsid w:val="007D09FD"/>
    <w:rsid w:val="007D0B99"/>
    <w:rsid w:val="007D0C1E"/>
    <w:rsid w:val="007D0F36"/>
    <w:rsid w:val="007D1FAA"/>
    <w:rsid w:val="007D2441"/>
    <w:rsid w:val="007D2722"/>
    <w:rsid w:val="007D2D03"/>
    <w:rsid w:val="007D330C"/>
    <w:rsid w:val="007D3B53"/>
    <w:rsid w:val="007D3D52"/>
    <w:rsid w:val="007D40B6"/>
    <w:rsid w:val="007D453F"/>
    <w:rsid w:val="007D4A08"/>
    <w:rsid w:val="007D4BFC"/>
    <w:rsid w:val="007D4F2E"/>
    <w:rsid w:val="007D4FCB"/>
    <w:rsid w:val="007D513E"/>
    <w:rsid w:val="007D59A7"/>
    <w:rsid w:val="007D6D5A"/>
    <w:rsid w:val="007D6E33"/>
    <w:rsid w:val="007D7421"/>
    <w:rsid w:val="007D7695"/>
    <w:rsid w:val="007D79F8"/>
    <w:rsid w:val="007D7FDB"/>
    <w:rsid w:val="007E0154"/>
    <w:rsid w:val="007E070E"/>
    <w:rsid w:val="007E0828"/>
    <w:rsid w:val="007E0CDD"/>
    <w:rsid w:val="007E0CF2"/>
    <w:rsid w:val="007E0F7C"/>
    <w:rsid w:val="007E18F0"/>
    <w:rsid w:val="007E1A3A"/>
    <w:rsid w:val="007E1A4B"/>
    <w:rsid w:val="007E1A83"/>
    <w:rsid w:val="007E1B21"/>
    <w:rsid w:val="007E2E86"/>
    <w:rsid w:val="007E2F46"/>
    <w:rsid w:val="007E3191"/>
    <w:rsid w:val="007E3363"/>
    <w:rsid w:val="007E33C3"/>
    <w:rsid w:val="007E3F93"/>
    <w:rsid w:val="007E4145"/>
    <w:rsid w:val="007E48E2"/>
    <w:rsid w:val="007E4FE0"/>
    <w:rsid w:val="007E605B"/>
    <w:rsid w:val="007E62C8"/>
    <w:rsid w:val="007E7280"/>
    <w:rsid w:val="007E7629"/>
    <w:rsid w:val="007E7D86"/>
    <w:rsid w:val="007F0181"/>
    <w:rsid w:val="007F01D5"/>
    <w:rsid w:val="007F0389"/>
    <w:rsid w:val="007F07DC"/>
    <w:rsid w:val="007F080A"/>
    <w:rsid w:val="007F096C"/>
    <w:rsid w:val="007F0D64"/>
    <w:rsid w:val="007F0D82"/>
    <w:rsid w:val="007F14FE"/>
    <w:rsid w:val="007F184B"/>
    <w:rsid w:val="007F1BF5"/>
    <w:rsid w:val="007F1C3F"/>
    <w:rsid w:val="007F1D9C"/>
    <w:rsid w:val="007F227E"/>
    <w:rsid w:val="007F33CC"/>
    <w:rsid w:val="007F372B"/>
    <w:rsid w:val="007F3CC6"/>
    <w:rsid w:val="007F3D23"/>
    <w:rsid w:val="007F4177"/>
    <w:rsid w:val="007F4AE6"/>
    <w:rsid w:val="007F5228"/>
    <w:rsid w:val="007F527E"/>
    <w:rsid w:val="007F5313"/>
    <w:rsid w:val="007F532E"/>
    <w:rsid w:val="007F5896"/>
    <w:rsid w:val="007F5C46"/>
    <w:rsid w:val="007F5E01"/>
    <w:rsid w:val="007F5FEB"/>
    <w:rsid w:val="007F64A4"/>
    <w:rsid w:val="007F6636"/>
    <w:rsid w:val="007F6AFD"/>
    <w:rsid w:val="00800139"/>
    <w:rsid w:val="00800207"/>
    <w:rsid w:val="00800375"/>
    <w:rsid w:val="008006C7"/>
    <w:rsid w:val="00800721"/>
    <w:rsid w:val="00800CC8"/>
    <w:rsid w:val="00800FFD"/>
    <w:rsid w:val="00801090"/>
    <w:rsid w:val="00801503"/>
    <w:rsid w:val="00801990"/>
    <w:rsid w:val="00801D12"/>
    <w:rsid w:val="00802A87"/>
    <w:rsid w:val="0080303C"/>
    <w:rsid w:val="0080360C"/>
    <w:rsid w:val="0080412C"/>
    <w:rsid w:val="0080427D"/>
    <w:rsid w:val="00804883"/>
    <w:rsid w:val="00804A34"/>
    <w:rsid w:val="0080522A"/>
    <w:rsid w:val="00805851"/>
    <w:rsid w:val="00805CED"/>
    <w:rsid w:val="00805F74"/>
    <w:rsid w:val="008063B7"/>
    <w:rsid w:val="0080661D"/>
    <w:rsid w:val="008067E0"/>
    <w:rsid w:val="00806D27"/>
    <w:rsid w:val="0080783F"/>
    <w:rsid w:val="00807CA6"/>
    <w:rsid w:val="00807D28"/>
    <w:rsid w:val="00807F12"/>
    <w:rsid w:val="0081011E"/>
    <w:rsid w:val="0081044D"/>
    <w:rsid w:val="008106FF"/>
    <w:rsid w:val="0081072D"/>
    <w:rsid w:val="008112CD"/>
    <w:rsid w:val="00811701"/>
    <w:rsid w:val="00811F5B"/>
    <w:rsid w:val="008126A8"/>
    <w:rsid w:val="0081270E"/>
    <w:rsid w:val="00812932"/>
    <w:rsid w:val="00812972"/>
    <w:rsid w:val="00812AED"/>
    <w:rsid w:val="008131BC"/>
    <w:rsid w:val="008132E9"/>
    <w:rsid w:val="0081339F"/>
    <w:rsid w:val="00813E5E"/>
    <w:rsid w:val="0081415D"/>
    <w:rsid w:val="008143BB"/>
    <w:rsid w:val="008159F2"/>
    <w:rsid w:val="00815A55"/>
    <w:rsid w:val="008165F6"/>
    <w:rsid w:val="008166FE"/>
    <w:rsid w:val="00816772"/>
    <w:rsid w:val="00817069"/>
    <w:rsid w:val="0081756D"/>
    <w:rsid w:val="00817598"/>
    <w:rsid w:val="00817A59"/>
    <w:rsid w:val="00817A9C"/>
    <w:rsid w:val="00820267"/>
    <w:rsid w:val="008202C2"/>
    <w:rsid w:val="008209FF"/>
    <w:rsid w:val="00821431"/>
    <w:rsid w:val="0082167F"/>
    <w:rsid w:val="00821F61"/>
    <w:rsid w:val="008221CF"/>
    <w:rsid w:val="00822237"/>
    <w:rsid w:val="008224C8"/>
    <w:rsid w:val="00822724"/>
    <w:rsid w:val="0082309B"/>
    <w:rsid w:val="0082327D"/>
    <w:rsid w:val="00823336"/>
    <w:rsid w:val="008247C5"/>
    <w:rsid w:val="008249C3"/>
    <w:rsid w:val="00825046"/>
    <w:rsid w:val="00825553"/>
    <w:rsid w:val="00825643"/>
    <w:rsid w:val="0082571E"/>
    <w:rsid w:val="00825F60"/>
    <w:rsid w:val="00826671"/>
    <w:rsid w:val="00826F3A"/>
    <w:rsid w:val="0082736B"/>
    <w:rsid w:val="00827B67"/>
    <w:rsid w:val="00827E5C"/>
    <w:rsid w:val="00830368"/>
    <w:rsid w:val="0083073F"/>
    <w:rsid w:val="0083085A"/>
    <w:rsid w:val="00830936"/>
    <w:rsid w:val="00830B52"/>
    <w:rsid w:val="00830E34"/>
    <w:rsid w:val="008319CE"/>
    <w:rsid w:val="00831E33"/>
    <w:rsid w:val="0083202C"/>
    <w:rsid w:val="00832102"/>
    <w:rsid w:val="008322C5"/>
    <w:rsid w:val="0083230A"/>
    <w:rsid w:val="00832368"/>
    <w:rsid w:val="00832C9E"/>
    <w:rsid w:val="00832F64"/>
    <w:rsid w:val="00832F73"/>
    <w:rsid w:val="008331C9"/>
    <w:rsid w:val="0083357D"/>
    <w:rsid w:val="008335AE"/>
    <w:rsid w:val="008336BC"/>
    <w:rsid w:val="00833949"/>
    <w:rsid w:val="008343B0"/>
    <w:rsid w:val="008346B0"/>
    <w:rsid w:val="0083497A"/>
    <w:rsid w:val="00834EA0"/>
    <w:rsid w:val="00835123"/>
    <w:rsid w:val="008351C1"/>
    <w:rsid w:val="00835446"/>
    <w:rsid w:val="00835893"/>
    <w:rsid w:val="00835C88"/>
    <w:rsid w:val="00835E87"/>
    <w:rsid w:val="00836317"/>
    <w:rsid w:val="008363C5"/>
    <w:rsid w:val="00836CE1"/>
    <w:rsid w:val="00836EDB"/>
    <w:rsid w:val="0083709C"/>
    <w:rsid w:val="0083718B"/>
    <w:rsid w:val="008373BF"/>
    <w:rsid w:val="00837689"/>
    <w:rsid w:val="008401DB"/>
    <w:rsid w:val="00840322"/>
    <w:rsid w:val="00840ABA"/>
    <w:rsid w:val="00841148"/>
    <w:rsid w:val="008416E1"/>
    <w:rsid w:val="008417E9"/>
    <w:rsid w:val="00841878"/>
    <w:rsid w:val="00841942"/>
    <w:rsid w:val="00841F81"/>
    <w:rsid w:val="008425B6"/>
    <w:rsid w:val="008427F6"/>
    <w:rsid w:val="008428C4"/>
    <w:rsid w:val="008429E8"/>
    <w:rsid w:val="00842EA9"/>
    <w:rsid w:val="00842F90"/>
    <w:rsid w:val="00842FA0"/>
    <w:rsid w:val="00843599"/>
    <w:rsid w:val="008435EF"/>
    <w:rsid w:val="00843B61"/>
    <w:rsid w:val="008444EA"/>
    <w:rsid w:val="00844787"/>
    <w:rsid w:val="00844C87"/>
    <w:rsid w:val="00844D7B"/>
    <w:rsid w:val="00845895"/>
    <w:rsid w:val="00845C65"/>
    <w:rsid w:val="00845C76"/>
    <w:rsid w:val="00845DD6"/>
    <w:rsid w:val="00846094"/>
    <w:rsid w:val="00846311"/>
    <w:rsid w:val="0084688C"/>
    <w:rsid w:val="008468D0"/>
    <w:rsid w:val="00846DB2"/>
    <w:rsid w:val="00847201"/>
    <w:rsid w:val="0084759F"/>
    <w:rsid w:val="008476C5"/>
    <w:rsid w:val="008476D6"/>
    <w:rsid w:val="008479AE"/>
    <w:rsid w:val="008479D8"/>
    <w:rsid w:val="00847AD6"/>
    <w:rsid w:val="008500AA"/>
    <w:rsid w:val="008502CA"/>
    <w:rsid w:val="008506B2"/>
    <w:rsid w:val="008509FC"/>
    <w:rsid w:val="00850A33"/>
    <w:rsid w:val="00851098"/>
    <w:rsid w:val="00851918"/>
    <w:rsid w:val="008519D2"/>
    <w:rsid w:val="00851A26"/>
    <w:rsid w:val="00851CEF"/>
    <w:rsid w:val="00852128"/>
    <w:rsid w:val="008521D5"/>
    <w:rsid w:val="00852200"/>
    <w:rsid w:val="008524C4"/>
    <w:rsid w:val="00852BAF"/>
    <w:rsid w:val="008531EB"/>
    <w:rsid w:val="00853341"/>
    <w:rsid w:val="00853B25"/>
    <w:rsid w:val="00853D5C"/>
    <w:rsid w:val="00853F38"/>
    <w:rsid w:val="00854033"/>
    <w:rsid w:val="00854853"/>
    <w:rsid w:val="00854896"/>
    <w:rsid w:val="008553C3"/>
    <w:rsid w:val="00856366"/>
    <w:rsid w:val="00856BC2"/>
    <w:rsid w:val="00857A33"/>
    <w:rsid w:val="008600BC"/>
    <w:rsid w:val="008602AA"/>
    <w:rsid w:val="008606AD"/>
    <w:rsid w:val="008608C8"/>
    <w:rsid w:val="0086093E"/>
    <w:rsid w:val="008609B3"/>
    <w:rsid w:val="00860DC7"/>
    <w:rsid w:val="008610BB"/>
    <w:rsid w:val="00861B3E"/>
    <w:rsid w:val="00861BB2"/>
    <w:rsid w:val="00861CB7"/>
    <w:rsid w:val="008623EC"/>
    <w:rsid w:val="008629F3"/>
    <w:rsid w:val="00863083"/>
    <w:rsid w:val="008633D4"/>
    <w:rsid w:val="008635B5"/>
    <w:rsid w:val="0086395E"/>
    <w:rsid w:val="00863B12"/>
    <w:rsid w:val="0086418F"/>
    <w:rsid w:val="0086477F"/>
    <w:rsid w:val="00864B23"/>
    <w:rsid w:val="00864D9E"/>
    <w:rsid w:val="008650A3"/>
    <w:rsid w:val="00865191"/>
    <w:rsid w:val="00865426"/>
    <w:rsid w:val="008655AD"/>
    <w:rsid w:val="0086568F"/>
    <w:rsid w:val="008659C7"/>
    <w:rsid w:val="00865A4A"/>
    <w:rsid w:val="0086609D"/>
    <w:rsid w:val="008670E5"/>
    <w:rsid w:val="00867B83"/>
    <w:rsid w:val="00867F1F"/>
    <w:rsid w:val="00870665"/>
    <w:rsid w:val="00870CBB"/>
    <w:rsid w:val="008714DD"/>
    <w:rsid w:val="00871B20"/>
    <w:rsid w:val="00871E03"/>
    <w:rsid w:val="00871E9E"/>
    <w:rsid w:val="008723BF"/>
    <w:rsid w:val="00872C2F"/>
    <w:rsid w:val="00873915"/>
    <w:rsid w:val="00873CC3"/>
    <w:rsid w:val="00873D7D"/>
    <w:rsid w:val="00874083"/>
    <w:rsid w:val="00874A38"/>
    <w:rsid w:val="00875070"/>
    <w:rsid w:val="00875370"/>
    <w:rsid w:val="00875A53"/>
    <w:rsid w:val="008763C3"/>
    <w:rsid w:val="008769FA"/>
    <w:rsid w:val="00876B5E"/>
    <w:rsid w:val="0087735E"/>
    <w:rsid w:val="00877388"/>
    <w:rsid w:val="0087776D"/>
    <w:rsid w:val="008778D9"/>
    <w:rsid w:val="0087799F"/>
    <w:rsid w:val="00880111"/>
    <w:rsid w:val="008810FC"/>
    <w:rsid w:val="00881838"/>
    <w:rsid w:val="008820DA"/>
    <w:rsid w:val="00882318"/>
    <w:rsid w:val="00882644"/>
    <w:rsid w:val="00883088"/>
    <w:rsid w:val="00883630"/>
    <w:rsid w:val="00883922"/>
    <w:rsid w:val="00883CB3"/>
    <w:rsid w:val="00883E68"/>
    <w:rsid w:val="00884281"/>
    <w:rsid w:val="008843B1"/>
    <w:rsid w:val="008847B6"/>
    <w:rsid w:val="00884B44"/>
    <w:rsid w:val="00884D6F"/>
    <w:rsid w:val="0088597B"/>
    <w:rsid w:val="00885CAC"/>
    <w:rsid w:val="0088640B"/>
    <w:rsid w:val="00886604"/>
    <w:rsid w:val="008867E4"/>
    <w:rsid w:val="00886BCE"/>
    <w:rsid w:val="00886D2A"/>
    <w:rsid w:val="00887152"/>
    <w:rsid w:val="00887589"/>
    <w:rsid w:val="0089003F"/>
    <w:rsid w:val="0089050B"/>
    <w:rsid w:val="00891AE0"/>
    <w:rsid w:val="00891E1D"/>
    <w:rsid w:val="008921FC"/>
    <w:rsid w:val="008922B5"/>
    <w:rsid w:val="008923E4"/>
    <w:rsid w:val="00892C2A"/>
    <w:rsid w:val="00893072"/>
    <w:rsid w:val="00893375"/>
    <w:rsid w:val="00893C0C"/>
    <w:rsid w:val="00893D05"/>
    <w:rsid w:val="00893D56"/>
    <w:rsid w:val="00893F2F"/>
    <w:rsid w:val="00894524"/>
    <w:rsid w:val="00894D58"/>
    <w:rsid w:val="00894D6D"/>
    <w:rsid w:val="00895393"/>
    <w:rsid w:val="00895444"/>
    <w:rsid w:val="00896451"/>
    <w:rsid w:val="0089669F"/>
    <w:rsid w:val="00896DEC"/>
    <w:rsid w:val="008970EE"/>
    <w:rsid w:val="00897254"/>
    <w:rsid w:val="00897882"/>
    <w:rsid w:val="00897EAC"/>
    <w:rsid w:val="008A01F4"/>
    <w:rsid w:val="008A0385"/>
    <w:rsid w:val="008A07AD"/>
    <w:rsid w:val="008A101E"/>
    <w:rsid w:val="008A20D9"/>
    <w:rsid w:val="008A24ED"/>
    <w:rsid w:val="008A2908"/>
    <w:rsid w:val="008A3F87"/>
    <w:rsid w:val="008A4227"/>
    <w:rsid w:val="008A4388"/>
    <w:rsid w:val="008A44A2"/>
    <w:rsid w:val="008A539B"/>
    <w:rsid w:val="008A583C"/>
    <w:rsid w:val="008A5D34"/>
    <w:rsid w:val="008A6668"/>
    <w:rsid w:val="008A6AD8"/>
    <w:rsid w:val="008A6C53"/>
    <w:rsid w:val="008A74CA"/>
    <w:rsid w:val="008A7916"/>
    <w:rsid w:val="008A7AA9"/>
    <w:rsid w:val="008A7B84"/>
    <w:rsid w:val="008B042A"/>
    <w:rsid w:val="008B08F2"/>
    <w:rsid w:val="008B13F8"/>
    <w:rsid w:val="008B1624"/>
    <w:rsid w:val="008B1975"/>
    <w:rsid w:val="008B1E26"/>
    <w:rsid w:val="008B1EBD"/>
    <w:rsid w:val="008B1F76"/>
    <w:rsid w:val="008B2361"/>
    <w:rsid w:val="008B23BE"/>
    <w:rsid w:val="008B2476"/>
    <w:rsid w:val="008B268C"/>
    <w:rsid w:val="008B2765"/>
    <w:rsid w:val="008B292B"/>
    <w:rsid w:val="008B33A1"/>
    <w:rsid w:val="008B33B2"/>
    <w:rsid w:val="008B356E"/>
    <w:rsid w:val="008B367C"/>
    <w:rsid w:val="008B3983"/>
    <w:rsid w:val="008B3A6E"/>
    <w:rsid w:val="008B406E"/>
    <w:rsid w:val="008B4097"/>
    <w:rsid w:val="008B420D"/>
    <w:rsid w:val="008B422E"/>
    <w:rsid w:val="008B42A1"/>
    <w:rsid w:val="008B4373"/>
    <w:rsid w:val="008B45BB"/>
    <w:rsid w:val="008B4A4C"/>
    <w:rsid w:val="008B4AB8"/>
    <w:rsid w:val="008B4CB5"/>
    <w:rsid w:val="008B5C31"/>
    <w:rsid w:val="008B5E46"/>
    <w:rsid w:val="008B7277"/>
    <w:rsid w:val="008B7334"/>
    <w:rsid w:val="008B7638"/>
    <w:rsid w:val="008B7D2D"/>
    <w:rsid w:val="008C02A6"/>
    <w:rsid w:val="008C0D54"/>
    <w:rsid w:val="008C0D73"/>
    <w:rsid w:val="008C1189"/>
    <w:rsid w:val="008C1636"/>
    <w:rsid w:val="008C193C"/>
    <w:rsid w:val="008C19DF"/>
    <w:rsid w:val="008C1ED0"/>
    <w:rsid w:val="008C2314"/>
    <w:rsid w:val="008C25D9"/>
    <w:rsid w:val="008C28E6"/>
    <w:rsid w:val="008C2CC7"/>
    <w:rsid w:val="008C352E"/>
    <w:rsid w:val="008C3715"/>
    <w:rsid w:val="008C3AF3"/>
    <w:rsid w:val="008C47B2"/>
    <w:rsid w:val="008C47B4"/>
    <w:rsid w:val="008C4842"/>
    <w:rsid w:val="008C4F80"/>
    <w:rsid w:val="008C5753"/>
    <w:rsid w:val="008C5991"/>
    <w:rsid w:val="008C6A21"/>
    <w:rsid w:val="008C6A2B"/>
    <w:rsid w:val="008C742F"/>
    <w:rsid w:val="008C74B2"/>
    <w:rsid w:val="008C759B"/>
    <w:rsid w:val="008C7AE9"/>
    <w:rsid w:val="008C7F26"/>
    <w:rsid w:val="008D00D3"/>
    <w:rsid w:val="008D0133"/>
    <w:rsid w:val="008D060B"/>
    <w:rsid w:val="008D197B"/>
    <w:rsid w:val="008D1A1B"/>
    <w:rsid w:val="008D1C0A"/>
    <w:rsid w:val="008D25FF"/>
    <w:rsid w:val="008D2BCB"/>
    <w:rsid w:val="008D2C8F"/>
    <w:rsid w:val="008D2E81"/>
    <w:rsid w:val="008D31AD"/>
    <w:rsid w:val="008D34CA"/>
    <w:rsid w:val="008D399D"/>
    <w:rsid w:val="008D3DDE"/>
    <w:rsid w:val="008D40AD"/>
    <w:rsid w:val="008D53F9"/>
    <w:rsid w:val="008D5476"/>
    <w:rsid w:val="008D5700"/>
    <w:rsid w:val="008D573A"/>
    <w:rsid w:val="008D5EE5"/>
    <w:rsid w:val="008D6433"/>
    <w:rsid w:val="008D6F29"/>
    <w:rsid w:val="008D7461"/>
    <w:rsid w:val="008D78C6"/>
    <w:rsid w:val="008D7B02"/>
    <w:rsid w:val="008D7B11"/>
    <w:rsid w:val="008D7C5B"/>
    <w:rsid w:val="008E00C9"/>
    <w:rsid w:val="008E030E"/>
    <w:rsid w:val="008E112C"/>
    <w:rsid w:val="008E165F"/>
    <w:rsid w:val="008E198F"/>
    <w:rsid w:val="008E20AC"/>
    <w:rsid w:val="008E2266"/>
    <w:rsid w:val="008E2783"/>
    <w:rsid w:val="008E2B66"/>
    <w:rsid w:val="008E3040"/>
    <w:rsid w:val="008E322C"/>
    <w:rsid w:val="008E3F0F"/>
    <w:rsid w:val="008E4294"/>
    <w:rsid w:val="008E44E5"/>
    <w:rsid w:val="008E474D"/>
    <w:rsid w:val="008E4D4F"/>
    <w:rsid w:val="008E5468"/>
    <w:rsid w:val="008E5B28"/>
    <w:rsid w:val="008E6602"/>
    <w:rsid w:val="008E669E"/>
    <w:rsid w:val="008E6DB7"/>
    <w:rsid w:val="008E7BF7"/>
    <w:rsid w:val="008F02D3"/>
    <w:rsid w:val="008F063B"/>
    <w:rsid w:val="008F08CE"/>
    <w:rsid w:val="008F0955"/>
    <w:rsid w:val="008F0A5B"/>
    <w:rsid w:val="008F0E63"/>
    <w:rsid w:val="008F14EA"/>
    <w:rsid w:val="008F1783"/>
    <w:rsid w:val="008F1827"/>
    <w:rsid w:val="008F194B"/>
    <w:rsid w:val="008F19FE"/>
    <w:rsid w:val="008F1ED1"/>
    <w:rsid w:val="008F20A5"/>
    <w:rsid w:val="008F23AD"/>
    <w:rsid w:val="008F27F0"/>
    <w:rsid w:val="008F2A04"/>
    <w:rsid w:val="008F2AC1"/>
    <w:rsid w:val="008F2B5F"/>
    <w:rsid w:val="008F2DC2"/>
    <w:rsid w:val="008F3119"/>
    <w:rsid w:val="008F3174"/>
    <w:rsid w:val="008F35E2"/>
    <w:rsid w:val="008F3715"/>
    <w:rsid w:val="008F404D"/>
    <w:rsid w:val="008F4DDC"/>
    <w:rsid w:val="008F4E00"/>
    <w:rsid w:val="008F4FFC"/>
    <w:rsid w:val="008F5465"/>
    <w:rsid w:val="008F55AB"/>
    <w:rsid w:val="008F5891"/>
    <w:rsid w:val="008F59F6"/>
    <w:rsid w:val="008F611C"/>
    <w:rsid w:val="008F64EE"/>
    <w:rsid w:val="008F6542"/>
    <w:rsid w:val="008F6D23"/>
    <w:rsid w:val="008F6F88"/>
    <w:rsid w:val="008F7384"/>
    <w:rsid w:val="008F7516"/>
    <w:rsid w:val="008F77A3"/>
    <w:rsid w:val="008F7B5E"/>
    <w:rsid w:val="009000DC"/>
    <w:rsid w:val="0090024D"/>
    <w:rsid w:val="009006B5"/>
    <w:rsid w:val="00900ADF"/>
    <w:rsid w:val="00900B8F"/>
    <w:rsid w:val="00900C5E"/>
    <w:rsid w:val="00900E69"/>
    <w:rsid w:val="00900F0B"/>
    <w:rsid w:val="00900F39"/>
    <w:rsid w:val="0090115F"/>
    <w:rsid w:val="0090129A"/>
    <w:rsid w:val="00901446"/>
    <w:rsid w:val="00901762"/>
    <w:rsid w:val="009019D7"/>
    <w:rsid w:val="00901AC3"/>
    <w:rsid w:val="009024CE"/>
    <w:rsid w:val="009027A7"/>
    <w:rsid w:val="00902980"/>
    <w:rsid w:val="00902C78"/>
    <w:rsid w:val="00902FA7"/>
    <w:rsid w:val="00902FFE"/>
    <w:rsid w:val="00904766"/>
    <w:rsid w:val="00904DE5"/>
    <w:rsid w:val="009053EE"/>
    <w:rsid w:val="0090593C"/>
    <w:rsid w:val="009067B1"/>
    <w:rsid w:val="00910080"/>
    <w:rsid w:val="00910F11"/>
    <w:rsid w:val="009112B3"/>
    <w:rsid w:val="009113B3"/>
    <w:rsid w:val="009113D9"/>
    <w:rsid w:val="009115E6"/>
    <w:rsid w:val="009119C3"/>
    <w:rsid w:val="00911A29"/>
    <w:rsid w:val="00911C6D"/>
    <w:rsid w:val="00911F63"/>
    <w:rsid w:val="009122D4"/>
    <w:rsid w:val="00912585"/>
    <w:rsid w:val="0091289D"/>
    <w:rsid w:val="0091297D"/>
    <w:rsid w:val="00913057"/>
    <w:rsid w:val="00913319"/>
    <w:rsid w:val="009135DB"/>
    <w:rsid w:val="00913A5F"/>
    <w:rsid w:val="00913CAD"/>
    <w:rsid w:val="00913E9B"/>
    <w:rsid w:val="00913FF9"/>
    <w:rsid w:val="009144B3"/>
    <w:rsid w:val="00914879"/>
    <w:rsid w:val="009149E1"/>
    <w:rsid w:val="00914FC5"/>
    <w:rsid w:val="00915746"/>
    <w:rsid w:val="0091622B"/>
    <w:rsid w:val="009166E6"/>
    <w:rsid w:val="00917281"/>
    <w:rsid w:val="00917743"/>
    <w:rsid w:val="009179C7"/>
    <w:rsid w:val="00917D43"/>
    <w:rsid w:val="00920107"/>
    <w:rsid w:val="009201D8"/>
    <w:rsid w:val="0092046A"/>
    <w:rsid w:val="00920C61"/>
    <w:rsid w:val="00920CEF"/>
    <w:rsid w:val="009212DA"/>
    <w:rsid w:val="009215E5"/>
    <w:rsid w:val="0092175C"/>
    <w:rsid w:val="0092211B"/>
    <w:rsid w:val="009228AF"/>
    <w:rsid w:val="00922A29"/>
    <w:rsid w:val="009232D7"/>
    <w:rsid w:val="009242BF"/>
    <w:rsid w:val="0092490A"/>
    <w:rsid w:val="00924E8B"/>
    <w:rsid w:val="00925A41"/>
    <w:rsid w:val="00925F18"/>
    <w:rsid w:val="00925FC7"/>
    <w:rsid w:val="009261B9"/>
    <w:rsid w:val="00926B63"/>
    <w:rsid w:val="00927296"/>
    <w:rsid w:val="009277B4"/>
    <w:rsid w:val="00927BB1"/>
    <w:rsid w:val="00927C9A"/>
    <w:rsid w:val="00930182"/>
    <w:rsid w:val="00930210"/>
    <w:rsid w:val="00930474"/>
    <w:rsid w:val="009306B9"/>
    <w:rsid w:val="00930715"/>
    <w:rsid w:val="009308AF"/>
    <w:rsid w:val="00930998"/>
    <w:rsid w:val="00931204"/>
    <w:rsid w:val="009314AB"/>
    <w:rsid w:val="009318A1"/>
    <w:rsid w:val="00931A89"/>
    <w:rsid w:val="00931DE7"/>
    <w:rsid w:val="009323E4"/>
    <w:rsid w:val="00932720"/>
    <w:rsid w:val="00932AC7"/>
    <w:rsid w:val="00932F88"/>
    <w:rsid w:val="00932FE4"/>
    <w:rsid w:val="00933263"/>
    <w:rsid w:val="00933346"/>
    <w:rsid w:val="00933615"/>
    <w:rsid w:val="00933E70"/>
    <w:rsid w:val="0093400A"/>
    <w:rsid w:val="009340A4"/>
    <w:rsid w:val="00934355"/>
    <w:rsid w:val="0093449D"/>
    <w:rsid w:val="009344C9"/>
    <w:rsid w:val="0093450E"/>
    <w:rsid w:val="00934BDC"/>
    <w:rsid w:val="00934E39"/>
    <w:rsid w:val="00935085"/>
    <w:rsid w:val="009351F4"/>
    <w:rsid w:val="00935FC1"/>
    <w:rsid w:val="009363C9"/>
    <w:rsid w:val="0093688C"/>
    <w:rsid w:val="009370F5"/>
    <w:rsid w:val="00937537"/>
    <w:rsid w:val="009375AC"/>
    <w:rsid w:val="00937998"/>
    <w:rsid w:val="00937BAE"/>
    <w:rsid w:val="00940281"/>
    <w:rsid w:val="00940703"/>
    <w:rsid w:val="00940A88"/>
    <w:rsid w:val="009412EC"/>
    <w:rsid w:val="00941500"/>
    <w:rsid w:val="009416C9"/>
    <w:rsid w:val="0094171C"/>
    <w:rsid w:val="0094180B"/>
    <w:rsid w:val="00941BAB"/>
    <w:rsid w:val="00941C7F"/>
    <w:rsid w:val="0094240D"/>
    <w:rsid w:val="00942C2B"/>
    <w:rsid w:val="00942C5C"/>
    <w:rsid w:val="00942D52"/>
    <w:rsid w:val="00942F2E"/>
    <w:rsid w:val="00943FBC"/>
    <w:rsid w:val="00944598"/>
    <w:rsid w:val="009445FF"/>
    <w:rsid w:val="009458A5"/>
    <w:rsid w:val="00946663"/>
    <w:rsid w:val="00946B7C"/>
    <w:rsid w:val="009472C0"/>
    <w:rsid w:val="00947593"/>
    <w:rsid w:val="00947BFD"/>
    <w:rsid w:val="009500DE"/>
    <w:rsid w:val="009506CE"/>
    <w:rsid w:val="009506DB"/>
    <w:rsid w:val="00950976"/>
    <w:rsid w:val="00950EAA"/>
    <w:rsid w:val="00951BF7"/>
    <w:rsid w:val="0095222B"/>
    <w:rsid w:val="00952956"/>
    <w:rsid w:val="00952C60"/>
    <w:rsid w:val="0095334C"/>
    <w:rsid w:val="00953B2B"/>
    <w:rsid w:val="00954951"/>
    <w:rsid w:val="009549AD"/>
    <w:rsid w:val="00954A84"/>
    <w:rsid w:val="00954D34"/>
    <w:rsid w:val="00955449"/>
    <w:rsid w:val="009554D8"/>
    <w:rsid w:val="009558B8"/>
    <w:rsid w:val="00955C46"/>
    <w:rsid w:val="00955E81"/>
    <w:rsid w:val="00956C6F"/>
    <w:rsid w:val="0095744B"/>
    <w:rsid w:val="00957DA5"/>
    <w:rsid w:val="00957DF2"/>
    <w:rsid w:val="00957EE0"/>
    <w:rsid w:val="0096051D"/>
    <w:rsid w:val="0096134A"/>
    <w:rsid w:val="0096153A"/>
    <w:rsid w:val="00961789"/>
    <w:rsid w:val="00961830"/>
    <w:rsid w:val="00962272"/>
    <w:rsid w:val="009624E8"/>
    <w:rsid w:val="00962744"/>
    <w:rsid w:val="0096292A"/>
    <w:rsid w:val="009640CF"/>
    <w:rsid w:val="0096462E"/>
    <w:rsid w:val="0096480B"/>
    <w:rsid w:val="00964858"/>
    <w:rsid w:val="00964D6B"/>
    <w:rsid w:val="00965240"/>
    <w:rsid w:val="00965276"/>
    <w:rsid w:val="00965F27"/>
    <w:rsid w:val="009661D1"/>
    <w:rsid w:val="00966B02"/>
    <w:rsid w:val="00966CF1"/>
    <w:rsid w:val="00966EB7"/>
    <w:rsid w:val="0096724D"/>
    <w:rsid w:val="00967651"/>
    <w:rsid w:val="009678E3"/>
    <w:rsid w:val="00967FF6"/>
    <w:rsid w:val="009704CA"/>
    <w:rsid w:val="00970D8A"/>
    <w:rsid w:val="0097106F"/>
    <w:rsid w:val="009712AF"/>
    <w:rsid w:val="009712C8"/>
    <w:rsid w:val="00971364"/>
    <w:rsid w:val="0097261B"/>
    <w:rsid w:val="00972EC4"/>
    <w:rsid w:val="00973346"/>
    <w:rsid w:val="009734AC"/>
    <w:rsid w:val="00973598"/>
    <w:rsid w:val="009739AA"/>
    <w:rsid w:val="00973A47"/>
    <w:rsid w:val="00973AFA"/>
    <w:rsid w:val="00973E8D"/>
    <w:rsid w:val="0097479E"/>
    <w:rsid w:val="00974930"/>
    <w:rsid w:val="00974A8C"/>
    <w:rsid w:val="00974C60"/>
    <w:rsid w:val="00974E3D"/>
    <w:rsid w:val="0097559E"/>
    <w:rsid w:val="009759FA"/>
    <w:rsid w:val="00975BCE"/>
    <w:rsid w:val="009761C5"/>
    <w:rsid w:val="009766C1"/>
    <w:rsid w:val="009773E3"/>
    <w:rsid w:val="00977960"/>
    <w:rsid w:val="00977D11"/>
    <w:rsid w:val="00980252"/>
    <w:rsid w:val="00980B1C"/>
    <w:rsid w:val="00981E7B"/>
    <w:rsid w:val="0098245D"/>
    <w:rsid w:val="0098260F"/>
    <w:rsid w:val="00982A52"/>
    <w:rsid w:val="00982B2D"/>
    <w:rsid w:val="00982DC6"/>
    <w:rsid w:val="00983012"/>
    <w:rsid w:val="009831CE"/>
    <w:rsid w:val="009836AC"/>
    <w:rsid w:val="00983ECC"/>
    <w:rsid w:val="0098420E"/>
    <w:rsid w:val="00984239"/>
    <w:rsid w:val="009843E5"/>
    <w:rsid w:val="009845FC"/>
    <w:rsid w:val="00984E05"/>
    <w:rsid w:val="00984E97"/>
    <w:rsid w:val="00984F92"/>
    <w:rsid w:val="00985647"/>
    <w:rsid w:val="009859C9"/>
    <w:rsid w:val="009859EB"/>
    <w:rsid w:val="00985DFB"/>
    <w:rsid w:val="009868E8"/>
    <w:rsid w:val="00986A66"/>
    <w:rsid w:val="00986A6B"/>
    <w:rsid w:val="00986B1D"/>
    <w:rsid w:val="00986CBC"/>
    <w:rsid w:val="00986DDD"/>
    <w:rsid w:val="009872EB"/>
    <w:rsid w:val="0098745B"/>
    <w:rsid w:val="009875B8"/>
    <w:rsid w:val="00987701"/>
    <w:rsid w:val="00987DDB"/>
    <w:rsid w:val="009907B9"/>
    <w:rsid w:val="00991030"/>
    <w:rsid w:val="00991074"/>
    <w:rsid w:val="00992090"/>
    <w:rsid w:val="0099236A"/>
    <w:rsid w:val="0099262D"/>
    <w:rsid w:val="009926E7"/>
    <w:rsid w:val="00992F9E"/>
    <w:rsid w:val="009933BA"/>
    <w:rsid w:val="009939EC"/>
    <w:rsid w:val="00993A05"/>
    <w:rsid w:val="00993FD8"/>
    <w:rsid w:val="009941B6"/>
    <w:rsid w:val="00994672"/>
    <w:rsid w:val="00994689"/>
    <w:rsid w:val="009946D2"/>
    <w:rsid w:val="00994B3F"/>
    <w:rsid w:val="00994C77"/>
    <w:rsid w:val="009950FB"/>
    <w:rsid w:val="00995307"/>
    <w:rsid w:val="00995C81"/>
    <w:rsid w:val="009962E0"/>
    <w:rsid w:val="0099638F"/>
    <w:rsid w:val="00996AB5"/>
    <w:rsid w:val="009974D1"/>
    <w:rsid w:val="0099786E"/>
    <w:rsid w:val="009A0409"/>
    <w:rsid w:val="009A05E2"/>
    <w:rsid w:val="009A09FE"/>
    <w:rsid w:val="009A0FD0"/>
    <w:rsid w:val="009A2040"/>
    <w:rsid w:val="009A3025"/>
    <w:rsid w:val="009A35C1"/>
    <w:rsid w:val="009A3B4E"/>
    <w:rsid w:val="009A3C9E"/>
    <w:rsid w:val="009A42AD"/>
    <w:rsid w:val="009A4D11"/>
    <w:rsid w:val="009A5774"/>
    <w:rsid w:val="009A5CCA"/>
    <w:rsid w:val="009A5E54"/>
    <w:rsid w:val="009A6605"/>
    <w:rsid w:val="009A6F94"/>
    <w:rsid w:val="009A7039"/>
    <w:rsid w:val="009A7270"/>
    <w:rsid w:val="009A76DD"/>
    <w:rsid w:val="009A7D3B"/>
    <w:rsid w:val="009B143D"/>
    <w:rsid w:val="009B1518"/>
    <w:rsid w:val="009B1A4E"/>
    <w:rsid w:val="009B253B"/>
    <w:rsid w:val="009B2AF5"/>
    <w:rsid w:val="009B2D23"/>
    <w:rsid w:val="009B2D4D"/>
    <w:rsid w:val="009B30B5"/>
    <w:rsid w:val="009B3247"/>
    <w:rsid w:val="009B3375"/>
    <w:rsid w:val="009B3460"/>
    <w:rsid w:val="009B3966"/>
    <w:rsid w:val="009B3C87"/>
    <w:rsid w:val="009B4484"/>
    <w:rsid w:val="009B44D6"/>
    <w:rsid w:val="009B4BCE"/>
    <w:rsid w:val="009B4FD8"/>
    <w:rsid w:val="009B532E"/>
    <w:rsid w:val="009B5516"/>
    <w:rsid w:val="009B5B22"/>
    <w:rsid w:val="009B6188"/>
    <w:rsid w:val="009B6860"/>
    <w:rsid w:val="009B6AD1"/>
    <w:rsid w:val="009B6E83"/>
    <w:rsid w:val="009B7199"/>
    <w:rsid w:val="009B765B"/>
    <w:rsid w:val="009B79BF"/>
    <w:rsid w:val="009B7C77"/>
    <w:rsid w:val="009B7EFB"/>
    <w:rsid w:val="009C0025"/>
    <w:rsid w:val="009C016C"/>
    <w:rsid w:val="009C0422"/>
    <w:rsid w:val="009C049C"/>
    <w:rsid w:val="009C052F"/>
    <w:rsid w:val="009C0B49"/>
    <w:rsid w:val="009C2B3A"/>
    <w:rsid w:val="009C2E26"/>
    <w:rsid w:val="009C3514"/>
    <w:rsid w:val="009C3D45"/>
    <w:rsid w:val="009C3F25"/>
    <w:rsid w:val="009C4463"/>
    <w:rsid w:val="009C47C9"/>
    <w:rsid w:val="009C4D0D"/>
    <w:rsid w:val="009C53FD"/>
    <w:rsid w:val="009C5C5E"/>
    <w:rsid w:val="009C638E"/>
    <w:rsid w:val="009C64BA"/>
    <w:rsid w:val="009C6500"/>
    <w:rsid w:val="009C653D"/>
    <w:rsid w:val="009C67C2"/>
    <w:rsid w:val="009C76ED"/>
    <w:rsid w:val="009C7AE2"/>
    <w:rsid w:val="009D004D"/>
    <w:rsid w:val="009D044B"/>
    <w:rsid w:val="009D0530"/>
    <w:rsid w:val="009D0C2F"/>
    <w:rsid w:val="009D0E9F"/>
    <w:rsid w:val="009D100E"/>
    <w:rsid w:val="009D1193"/>
    <w:rsid w:val="009D13E6"/>
    <w:rsid w:val="009D1448"/>
    <w:rsid w:val="009D1617"/>
    <w:rsid w:val="009D1627"/>
    <w:rsid w:val="009D1781"/>
    <w:rsid w:val="009D1A30"/>
    <w:rsid w:val="009D2369"/>
    <w:rsid w:val="009D23C5"/>
    <w:rsid w:val="009D2604"/>
    <w:rsid w:val="009D288F"/>
    <w:rsid w:val="009D2991"/>
    <w:rsid w:val="009D2C4E"/>
    <w:rsid w:val="009D2D38"/>
    <w:rsid w:val="009D2DC9"/>
    <w:rsid w:val="009D330E"/>
    <w:rsid w:val="009D3358"/>
    <w:rsid w:val="009D3371"/>
    <w:rsid w:val="009D35BB"/>
    <w:rsid w:val="009D35E9"/>
    <w:rsid w:val="009D36B9"/>
    <w:rsid w:val="009D3B75"/>
    <w:rsid w:val="009D3EB0"/>
    <w:rsid w:val="009D4324"/>
    <w:rsid w:val="009D4678"/>
    <w:rsid w:val="009D48E7"/>
    <w:rsid w:val="009D4ED7"/>
    <w:rsid w:val="009D5071"/>
    <w:rsid w:val="009D51AA"/>
    <w:rsid w:val="009D5542"/>
    <w:rsid w:val="009D5AAD"/>
    <w:rsid w:val="009D5CFC"/>
    <w:rsid w:val="009D5E02"/>
    <w:rsid w:val="009D60C5"/>
    <w:rsid w:val="009D6210"/>
    <w:rsid w:val="009D6337"/>
    <w:rsid w:val="009D6AA4"/>
    <w:rsid w:val="009D6B37"/>
    <w:rsid w:val="009D6E84"/>
    <w:rsid w:val="009D718B"/>
    <w:rsid w:val="009D73FA"/>
    <w:rsid w:val="009D7815"/>
    <w:rsid w:val="009D7977"/>
    <w:rsid w:val="009D7AA7"/>
    <w:rsid w:val="009E0214"/>
    <w:rsid w:val="009E068E"/>
    <w:rsid w:val="009E09C9"/>
    <w:rsid w:val="009E0C26"/>
    <w:rsid w:val="009E0DF5"/>
    <w:rsid w:val="009E0E23"/>
    <w:rsid w:val="009E0E54"/>
    <w:rsid w:val="009E118F"/>
    <w:rsid w:val="009E1804"/>
    <w:rsid w:val="009E1ECE"/>
    <w:rsid w:val="009E24AB"/>
    <w:rsid w:val="009E2A2A"/>
    <w:rsid w:val="009E3195"/>
    <w:rsid w:val="009E3225"/>
    <w:rsid w:val="009E35C2"/>
    <w:rsid w:val="009E3637"/>
    <w:rsid w:val="009E36EA"/>
    <w:rsid w:val="009E3CC6"/>
    <w:rsid w:val="009E42DA"/>
    <w:rsid w:val="009E4996"/>
    <w:rsid w:val="009E4AB3"/>
    <w:rsid w:val="009E4D5C"/>
    <w:rsid w:val="009E5A78"/>
    <w:rsid w:val="009E5DDD"/>
    <w:rsid w:val="009E6023"/>
    <w:rsid w:val="009E6EFF"/>
    <w:rsid w:val="009E734E"/>
    <w:rsid w:val="009E74A2"/>
    <w:rsid w:val="009E7978"/>
    <w:rsid w:val="009E7F35"/>
    <w:rsid w:val="009F15A1"/>
    <w:rsid w:val="009F16EF"/>
    <w:rsid w:val="009F1949"/>
    <w:rsid w:val="009F19C6"/>
    <w:rsid w:val="009F22C4"/>
    <w:rsid w:val="009F239B"/>
    <w:rsid w:val="009F2517"/>
    <w:rsid w:val="009F256A"/>
    <w:rsid w:val="009F285C"/>
    <w:rsid w:val="009F2A1F"/>
    <w:rsid w:val="009F2EEE"/>
    <w:rsid w:val="009F3013"/>
    <w:rsid w:val="009F31DD"/>
    <w:rsid w:val="009F335A"/>
    <w:rsid w:val="009F3D1D"/>
    <w:rsid w:val="009F3D8F"/>
    <w:rsid w:val="009F3DC0"/>
    <w:rsid w:val="009F3EFA"/>
    <w:rsid w:val="009F4902"/>
    <w:rsid w:val="009F4CC6"/>
    <w:rsid w:val="009F4E1C"/>
    <w:rsid w:val="009F4F00"/>
    <w:rsid w:val="009F5090"/>
    <w:rsid w:val="009F5936"/>
    <w:rsid w:val="009F5A89"/>
    <w:rsid w:val="009F5FAD"/>
    <w:rsid w:val="009F6926"/>
    <w:rsid w:val="009F6AD2"/>
    <w:rsid w:val="009F6C6C"/>
    <w:rsid w:val="009F71EA"/>
    <w:rsid w:val="009F71ED"/>
    <w:rsid w:val="009F76B5"/>
    <w:rsid w:val="009F777B"/>
    <w:rsid w:val="009F7AB5"/>
    <w:rsid w:val="009F7EDC"/>
    <w:rsid w:val="00A0007D"/>
    <w:rsid w:val="00A001B9"/>
    <w:rsid w:val="00A004DF"/>
    <w:rsid w:val="00A00BE1"/>
    <w:rsid w:val="00A00ECD"/>
    <w:rsid w:val="00A010F0"/>
    <w:rsid w:val="00A018E5"/>
    <w:rsid w:val="00A01990"/>
    <w:rsid w:val="00A019DD"/>
    <w:rsid w:val="00A01EBF"/>
    <w:rsid w:val="00A02293"/>
    <w:rsid w:val="00A0269A"/>
    <w:rsid w:val="00A02E4F"/>
    <w:rsid w:val="00A0329A"/>
    <w:rsid w:val="00A0385F"/>
    <w:rsid w:val="00A03F7A"/>
    <w:rsid w:val="00A04035"/>
    <w:rsid w:val="00A04E0D"/>
    <w:rsid w:val="00A04FD2"/>
    <w:rsid w:val="00A04FE7"/>
    <w:rsid w:val="00A05044"/>
    <w:rsid w:val="00A0537F"/>
    <w:rsid w:val="00A054A6"/>
    <w:rsid w:val="00A05883"/>
    <w:rsid w:val="00A0698B"/>
    <w:rsid w:val="00A06B4D"/>
    <w:rsid w:val="00A06D11"/>
    <w:rsid w:val="00A07104"/>
    <w:rsid w:val="00A0741A"/>
    <w:rsid w:val="00A074A2"/>
    <w:rsid w:val="00A07C2B"/>
    <w:rsid w:val="00A10407"/>
    <w:rsid w:val="00A10899"/>
    <w:rsid w:val="00A10919"/>
    <w:rsid w:val="00A10B96"/>
    <w:rsid w:val="00A10B9D"/>
    <w:rsid w:val="00A10CF4"/>
    <w:rsid w:val="00A10D2F"/>
    <w:rsid w:val="00A1122B"/>
    <w:rsid w:val="00A1171D"/>
    <w:rsid w:val="00A11814"/>
    <w:rsid w:val="00A11A2F"/>
    <w:rsid w:val="00A11BFB"/>
    <w:rsid w:val="00A11D94"/>
    <w:rsid w:val="00A12085"/>
    <w:rsid w:val="00A12E06"/>
    <w:rsid w:val="00A12F92"/>
    <w:rsid w:val="00A13113"/>
    <w:rsid w:val="00A13CFB"/>
    <w:rsid w:val="00A13E00"/>
    <w:rsid w:val="00A140DB"/>
    <w:rsid w:val="00A144EB"/>
    <w:rsid w:val="00A144FB"/>
    <w:rsid w:val="00A14CFA"/>
    <w:rsid w:val="00A14F92"/>
    <w:rsid w:val="00A14F9E"/>
    <w:rsid w:val="00A150BE"/>
    <w:rsid w:val="00A153AE"/>
    <w:rsid w:val="00A153EC"/>
    <w:rsid w:val="00A15403"/>
    <w:rsid w:val="00A155F6"/>
    <w:rsid w:val="00A1566D"/>
    <w:rsid w:val="00A15E3C"/>
    <w:rsid w:val="00A161D3"/>
    <w:rsid w:val="00A1638E"/>
    <w:rsid w:val="00A16C46"/>
    <w:rsid w:val="00A17141"/>
    <w:rsid w:val="00A17256"/>
    <w:rsid w:val="00A1732B"/>
    <w:rsid w:val="00A1763C"/>
    <w:rsid w:val="00A17740"/>
    <w:rsid w:val="00A177EB"/>
    <w:rsid w:val="00A178B7"/>
    <w:rsid w:val="00A20602"/>
    <w:rsid w:val="00A2086F"/>
    <w:rsid w:val="00A20905"/>
    <w:rsid w:val="00A20A2B"/>
    <w:rsid w:val="00A21476"/>
    <w:rsid w:val="00A217A3"/>
    <w:rsid w:val="00A21B98"/>
    <w:rsid w:val="00A232F4"/>
    <w:rsid w:val="00A23454"/>
    <w:rsid w:val="00A235F6"/>
    <w:rsid w:val="00A24233"/>
    <w:rsid w:val="00A247BB"/>
    <w:rsid w:val="00A24970"/>
    <w:rsid w:val="00A24C00"/>
    <w:rsid w:val="00A24CC5"/>
    <w:rsid w:val="00A24DC3"/>
    <w:rsid w:val="00A2540B"/>
    <w:rsid w:val="00A2543E"/>
    <w:rsid w:val="00A25B4E"/>
    <w:rsid w:val="00A26C0B"/>
    <w:rsid w:val="00A26D50"/>
    <w:rsid w:val="00A26F27"/>
    <w:rsid w:val="00A26FC1"/>
    <w:rsid w:val="00A27112"/>
    <w:rsid w:val="00A27177"/>
    <w:rsid w:val="00A272C3"/>
    <w:rsid w:val="00A27343"/>
    <w:rsid w:val="00A276CF"/>
    <w:rsid w:val="00A27806"/>
    <w:rsid w:val="00A27B74"/>
    <w:rsid w:val="00A27DDA"/>
    <w:rsid w:val="00A27F84"/>
    <w:rsid w:val="00A304A6"/>
    <w:rsid w:val="00A30645"/>
    <w:rsid w:val="00A308FE"/>
    <w:rsid w:val="00A30C47"/>
    <w:rsid w:val="00A30E08"/>
    <w:rsid w:val="00A30FD4"/>
    <w:rsid w:val="00A31042"/>
    <w:rsid w:val="00A31595"/>
    <w:rsid w:val="00A31E1B"/>
    <w:rsid w:val="00A3236D"/>
    <w:rsid w:val="00A32431"/>
    <w:rsid w:val="00A3272A"/>
    <w:rsid w:val="00A32B93"/>
    <w:rsid w:val="00A32BDB"/>
    <w:rsid w:val="00A3345B"/>
    <w:rsid w:val="00A33CB3"/>
    <w:rsid w:val="00A33CE7"/>
    <w:rsid w:val="00A347C2"/>
    <w:rsid w:val="00A35202"/>
    <w:rsid w:val="00A355B5"/>
    <w:rsid w:val="00A356AF"/>
    <w:rsid w:val="00A35BFE"/>
    <w:rsid w:val="00A35FD1"/>
    <w:rsid w:val="00A366C4"/>
    <w:rsid w:val="00A36760"/>
    <w:rsid w:val="00A36B08"/>
    <w:rsid w:val="00A36E88"/>
    <w:rsid w:val="00A37288"/>
    <w:rsid w:val="00A37A4C"/>
    <w:rsid w:val="00A40887"/>
    <w:rsid w:val="00A40969"/>
    <w:rsid w:val="00A40E95"/>
    <w:rsid w:val="00A4130D"/>
    <w:rsid w:val="00A41970"/>
    <w:rsid w:val="00A41B15"/>
    <w:rsid w:val="00A41EB4"/>
    <w:rsid w:val="00A41F04"/>
    <w:rsid w:val="00A41FCE"/>
    <w:rsid w:val="00A42025"/>
    <w:rsid w:val="00A420A2"/>
    <w:rsid w:val="00A4226D"/>
    <w:rsid w:val="00A42671"/>
    <w:rsid w:val="00A4299A"/>
    <w:rsid w:val="00A42F95"/>
    <w:rsid w:val="00A43860"/>
    <w:rsid w:val="00A44199"/>
    <w:rsid w:val="00A4429B"/>
    <w:rsid w:val="00A4433C"/>
    <w:rsid w:val="00A447B5"/>
    <w:rsid w:val="00A44958"/>
    <w:rsid w:val="00A44C1C"/>
    <w:rsid w:val="00A44F92"/>
    <w:rsid w:val="00A4594C"/>
    <w:rsid w:val="00A459EC"/>
    <w:rsid w:val="00A45F65"/>
    <w:rsid w:val="00A4656F"/>
    <w:rsid w:val="00A46D69"/>
    <w:rsid w:val="00A47B99"/>
    <w:rsid w:val="00A47EAC"/>
    <w:rsid w:val="00A50393"/>
    <w:rsid w:val="00A5094C"/>
    <w:rsid w:val="00A50BF2"/>
    <w:rsid w:val="00A51875"/>
    <w:rsid w:val="00A51C73"/>
    <w:rsid w:val="00A51DC8"/>
    <w:rsid w:val="00A5229D"/>
    <w:rsid w:val="00A52815"/>
    <w:rsid w:val="00A53235"/>
    <w:rsid w:val="00A533E5"/>
    <w:rsid w:val="00A53812"/>
    <w:rsid w:val="00A53A71"/>
    <w:rsid w:val="00A53E8B"/>
    <w:rsid w:val="00A54137"/>
    <w:rsid w:val="00A541CD"/>
    <w:rsid w:val="00A544E9"/>
    <w:rsid w:val="00A54DAF"/>
    <w:rsid w:val="00A55427"/>
    <w:rsid w:val="00A55982"/>
    <w:rsid w:val="00A57896"/>
    <w:rsid w:val="00A57E77"/>
    <w:rsid w:val="00A57EC4"/>
    <w:rsid w:val="00A602F5"/>
    <w:rsid w:val="00A6098B"/>
    <w:rsid w:val="00A60A56"/>
    <w:rsid w:val="00A60D7F"/>
    <w:rsid w:val="00A6134A"/>
    <w:rsid w:val="00A613AF"/>
    <w:rsid w:val="00A61557"/>
    <w:rsid w:val="00A61A08"/>
    <w:rsid w:val="00A6201E"/>
    <w:rsid w:val="00A628BE"/>
    <w:rsid w:val="00A629EC"/>
    <w:rsid w:val="00A63000"/>
    <w:rsid w:val="00A6381F"/>
    <w:rsid w:val="00A6462C"/>
    <w:rsid w:val="00A64E56"/>
    <w:rsid w:val="00A653D9"/>
    <w:rsid w:val="00A65696"/>
    <w:rsid w:val="00A65776"/>
    <w:rsid w:val="00A659DD"/>
    <w:rsid w:val="00A65AC5"/>
    <w:rsid w:val="00A6681D"/>
    <w:rsid w:val="00A670B7"/>
    <w:rsid w:val="00A67719"/>
    <w:rsid w:val="00A677B5"/>
    <w:rsid w:val="00A67BC4"/>
    <w:rsid w:val="00A67F90"/>
    <w:rsid w:val="00A67F9C"/>
    <w:rsid w:val="00A70149"/>
    <w:rsid w:val="00A70966"/>
    <w:rsid w:val="00A70A52"/>
    <w:rsid w:val="00A70C9E"/>
    <w:rsid w:val="00A70F9B"/>
    <w:rsid w:val="00A71042"/>
    <w:rsid w:val="00A7107C"/>
    <w:rsid w:val="00A713CF"/>
    <w:rsid w:val="00A7169F"/>
    <w:rsid w:val="00A717EB"/>
    <w:rsid w:val="00A717F9"/>
    <w:rsid w:val="00A718F3"/>
    <w:rsid w:val="00A71ECB"/>
    <w:rsid w:val="00A721A3"/>
    <w:rsid w:val="00A72232"/>
    <w:rsid w:val="00A7229A"/>
    <w:rsid w:val="00A72966"/>
    <w:rsid w:val="00A72AD1"/>
    <w:rsid w:val="00A72ADA"/>
    <w:rsid w:val="00A72BC6"/>
    <w:rsid w:val="00A7306E"/>
    <w:rsid w:val="00A73177"/>
    <w:rsid w:val="00A732F8"/>
    <w:rsid w:val="00A73563"/>
    <w:rsid w:val="00A73D31"/>
    <w:rsid w:val="00A750F6"/>
    <w:rsid w:val="00A754D9"/>
    <w:rsid w:val="00A75693"/>
    <w:rsid w:val="00A75F13"/>
    <w:rsid w:val="00A75FE5"/>
    <w:rsid w:val="00A764F6"/>
    <w:rsid w:val="00A76942"/>
    <w:rsid w:val="00A772B2"/>
    <w:rsid w:val="00A77598"/>
    <w:rsid w:val="00A77734"/>
    <w:rsid w:val="00A779B3"/>
    <w:rsid w:val="00A77F7F"/>
    <w:rsid w:val="00A800C0"/>
    <w:rsid w:val="00A801E0"/>
    <w:rsid w:val="00A8023E"/>
    <w:rsid w:val="00A804EB"/>
    <w:rsid w:val="00A8081B"/>
    <w:rsid w:val="00A80A09"/>
    <w:rsid w:val="00A80E98"/>
    <w:rsid w:val="00A81628"/>
    <w:rsid w:val="00A81BDC"/>
    <w:rsid w:val="00A820EA"/>
    <w:rsid w:val="00A8247A"/>
    <w:rsid w:val="00A826F6"/>
    <w:rsid w:val="00A8279B"/>
    <w:rsid w:val="00A82D2B"/>
    <w:rsid w:val="00A8379F"/>
    <w:rsid w:val="00A83892"/>
    <w:rsid w:val="00A83B45"/>
    <w:rsid w:val="00A849FF"/>
    <w:rsid w:val="00A85076"/>
    <w:rsid w:val="00A85EC8"/>
    <w:rsid w:val="00A86070"/>
    <w:rsid w:val="00A864D2"/>
    <w:rsid w:val="00A865E8"/>
    <w:rsid w:val="00A8731F"/>
    <w:rsid w:val="00A87DA6"/>
    <w:rsid w:val="00A90485"/>
    <w:rsid w:val="00A90993"/>
    <w:rsid w:val="00A909E4"/>
    <w:rsid w:val="00A90C98"/>
    <w:rsid w:val="00A912E6"/>
    <w:rsid w:val="00A9190C"/>
    <w:rsid w:val="00A91976"/>
    <w:rsid w:val="00A91A7C"/>
    <w:rsid w:val="00A9231E"/>
    <w:rsid w:val="00A9242E"/>
    <w:rsid w:val="00A928B4"/>
    <w:rsid w:val="00A92917"/>
    <w:rsid w:val="00A92BE3"/>
    <w:rsid w:val="00A92C08"/>
    <w:rsid w:val="00A9317B"/>
    <w:rsid w:val="00A931E1"/>
    <w:rsid w:val="00A93DC6"/>
    <w:rsid w:val="00A9486E"/>
    <w:rsid w:val="00A9487E"/>
    <w:rsid w:val="00A94B2D"/>
    <w:rsid w:val="00A95521"/>
    <w:rsid w:val="00A95546"/>
    <w:rsid w:val="00A958BB"/>
    <w:rsid w:val="00A959F8"/>
    <w:rsid w:val="00A96201"/>
    <w:rsid w:val="00A962F9"/>
    <w:rsid w:val="00A9639B"/>
    <w:rsid w:val="00A96793"/>
    <w:rsid w:val="00A96AD5"/>
    <w:rsid w:val="00A96FD7"/>
    <w:rsid w:val="00A9759D"/>
    <w:rsid w:val="00A97748"/>
    <w:rsid w:val="00AA03F5"/>
    <w:rsid w:val="00AA0522"/>
    <w:rsid w:val="00AA09A2"/>
    <w:rsid w:val="00AA137D"/>
    <w:rsid w:val="00AA14FA"/>
    <w:rsid w:val="00AA1534"/>
    <w:rsid w:val="00AA15A0"/>
    <w:rsid w:val="00AA2147"/>
    <w:rsid w:val="00AA2210"/>
    <w:rsid w:val="00AA2B42"/>
    <w:rsid w:val="00AA2BDD"/>
    <w:rsid w:val="00AA2EFA"/>
    <w:rsid w:val="00AA3688"/>
    <w:rsid w:val="00AA3E01"/>
    <w:rsid w:val="00AA4743"/>
    <w:rsid w:val="00AA5304"/>
    <w:rsid w:val="00AA532D"/>
    <w:rsid w:val="00AA546E"/>
    <w:rsid w:val="00AA54CA"/>
    <w:rsid w:val="00AA5911"/>
    <w:rsid w:val="00AA67BE"/>
    <w:rsid w:val="00AA7CA6"/>
    <w:rsid w:val="00AA7F09"/>
    <w:rsid w:val="00AA7F9F"/>
    <w:rsid w:val="00AA7FC3"/>
    <w:rsid w:val="00AB013E"/>
    <w:rsid w:val="00AB0737"/>
    <w:rsid w:val="00AB0E9A"/>
    <w:rsid w:val="00AB1341"/>
    <w:rsid w:val="00AB1615"/>
    <w:rsid w:val="00AB1861"/>
    <w:rsid w:val="00AB1E7E"/>
    <w:rsid w:val="00AB1FE9"/>
    <w:rsid w:val="00AB26E9"/>
    <w:rsid w:val="00AB2871"/>
    <w:rsid w:val="00AB28EA"/>
    <w:rsid w:val="00AB3167"/>
    <w:rsid w:val="00AB325D"/>
    <w:rsid w:val="00AB33F1"/>
    <w:rsid w:val="00AB375E"/>
    <w:rsid w:val="00AB38BE"/>
    <w:rsid w:val="00AB404F"/>
    <w:rsid w:val="00AB44B0"/>
    <w:rsid w:val="00AB4579"/>
    <w:rsid w:val="00AB4BB6"/>
    <w:rsid w:val="00AB4C55"/>
    <w:rsid w:val="00AB50DC"/>
    <w:rsid w:val="00AB50F6"/>
    <w:rsid w:val="00AB53E5"/>
    <w:rsid w:val="00AB54A1"/>
    <w:rsid w:val="00AB599F"/>
    <w:rsid w:val="00AB5C33"/>
    <w:rsid w:val="00AB688E"/>
    <w:rsid w:val="00AB6B7C"/>
    <w:rsid w:val="00AB7632"/>
    <w:rsid w:val="00AB7714"/>
    <w:rsid w:val="00AC033D"/>
    <w:rsid w:val="00AC0576"/>
    <w:rsid w:val="00AC0ADE"/>
    <w:rsid w:val="00AC0BB7"/>
    <w:rsid w:val="00AC185B"/>
    <w:rsid w:val="00AC19B0"/>
    <w:rsid w:val="00AC20D2"/>
    <w:rsid w:val="00AC21AC"/>
    <w:rsid w:val="00AC24EE"/>
    <w:rsid w:val="00AC2997"/>
    <w:rsid w:val="00AC2D46"/>
    <w:rsid w:val="00AC34BF"/>
    <w:rsid w:val="00AC3530"/>
    <w:rsid w:val="00AC377C"/>
    <w:rsid w:val="00AC3DA5"/>
    <w:rsid w:val="00AC41DC"/>
    <w:rsid w:val="00AC49A5"/>
    <w:rsid w:val="00AC4F7B"/>
    <w:rsid w:val="00AC525D"/>
    <w:rsid w:val="00AC5268"/>
    <w:rsid w:val="00AC5727"/>
    <w:rsid w:val="00AC640B"/>
    <w:rsid w:val="00AC6DD9"/>
    <w:rsid w:val="00AC71F3"/>
    <w:rsid w:val="00AD02EB"/>
    <w:rsid w:val="00AD04BC"/>
    <w:rsid w:val="00AD079B"/>
    <w:rsid w:val="00AD09FD"/>
    <w:rsid w:val="00AD0C04"/>
    <w:rsid w:val="00AD0CCC"/>
    <w:rsid w:val="00AD0EEB"/>
    <w:rsid w:val="00AD16F5"/>
    <w:rsid w:val="00AD193A"/>
    <w:rsid w:val="00AD1CBE"/>
    <w:rsid w:val="00AD1DA3"/>
    <w:rsid w:val="00AD1F76"/>
    <w:rsid w:val="00AD20F5"/>
    <w:rsid w:val="00AD24F0"/>
    <w:rsid w:val="00AD3065"/>
    <w:rsid w:val="00AD3086"/>
    <w:rsid w:val="00AD321C"/>
    <w:rsid w:val="00AD3289"/>
    <w:rsid w:val="00AD3638"/>
    <w:rsid w:val="00AD452E"/>
    <w:rsid w:val="00AD4B4B"/>
    <w:rsid w:val="00AD4D53"/>
    <w:rsid w:val="00AD4E61"/>
    <w:rsid w:val="00AD514B"/>
    <w:rsid w:val="00AD5A97"/>
    <w:rsid w:val="00AD6DF3"/>
    <w:rsid w:val="00AD781D"/>
    <w:rsid w:val="00AD79AD"/>
    <w:rsid w:val="00AD7BA6"/>
    <w:rsid w:val="00AD7E5E"/>
    <w:rsid w:val="00AE00B1"/>
    <w:rsid w:val="00AE0162"/>
    <w:rsid w:val="00AE02E3"/>
    <w:rsid w:val="00AE0325"/>
    <w:rsid w:val="00AE03D1"/>
    <w:rsid w:val="00AE0B03"/>
    <w:rsid w:val="00AE0BA1"/>
    <w:rsid w:val="00AE1111"/>
    <w:rsid w:val="00AE12FE"/>
    <w:rsid w:val="00AE166C"/>
    <w:rsid w:val="00AE23F5"/>
    <w:rsid w:val="00AE2A85"/>
    <w:rsid w:val="00AE389D"/>
    <w:rsid w:val="00AE40DD"/>
    <w:rsid w:val="00AE4D24"/>
    <w:rsid w:val="00AE4DF0"/>
    <w:rsid w:val="00AE5055"/>
    <w:rsid w:val="00AE5470"/>
    <w:rsid w:val="00AE549D"/>
    <w:rsid w:val="00AE56F8"/>
    <w:rsid w:val="00AE5D02"/>
    <w:rsid w:val="00AE655F"/>
    <w:rsid w:val="00AE6CD0"/>
    <w:rsid w:val="00AE70F0"/>
    <w:rsid w:val="00AE7B63"/>
    <w:rsid w:val="00AF092C"/>
    <w:rsid w:val="00AF0E2C"/>
    <w:rsid w:val="00AF10D3"/>
    <w:rsid w:val="00AF1120"/>
    <w:rsid w:val="00AF147A"/>
    <w:rsid w:val="00AF1B89"/>
    <w:rsid w:val="00AF1F09"/>
    <w:rsid w:val="00AF1F11"/>
    <w:rsid w:val="00AF2308"/>
    <w:rsid w:val="00AF2B2C"/>
    <w:rsid w:val="00AF2BBA"/>
    <w:rsid w:val="00AF302E"/>
    <w:rsid w:val="00AF3BDA"/>
    <w:rsid w:val="00AF3C93"/>
    <w:rsid w:val="00AF41AD"/>
    <w:rsid w:val="00AF42B8"/>
    <w:rsid w:val="00AF47D0"/>
    <w:rsid w:val="00AF4A15"/>
    <w:rsid w:val="00AF5053"/>
    <w:rsid w:val="00AF5218"/>
    <w:rsid w:val="00AF55EF"/>
    <w:rsid w:val="00AF5600"/>
    <w:rsid w:val="00AF59C8"/>
    <w:rsid w:val="00AF59DB"/>
    <w:rsid w:val="00AF612E"/>
    <w:rsid w:val="00AF62C4"/>
    <w:rsid w:val="00AF671A"/>
    <w:rsid w:val="00AF68A7"/>
    <w:rsid w:val="00AF7086"/>
    <w:rsid w:val="00AF723D"/>
    <w:rsid w:val="00AF73BE"/>
    <w:rsid w:val="00AF7B9A"/>
    <w:rsid w:val="00AF7BDA"/>
    <w:rsid w:val="00B00269"/>
    <w:rsid w:val="00B004F4"/>
    <w:rsid w:val="00B0078B"/>
    <w:rsid w:val="00B00892"/>
    <w:rsid w:val="00B00C25"/>
    <w:rsid w:val="00B00D1B"/>
    <w:rsid w:val="00B01615"/>
    <w:rsid w:val="00B01DBC"/>
    <w:rsid w:val="00B025CE"/>
    <w:rsid w:val="00B02610"/>
    <w:rsid w:val="00B029EA"/>
    <w:rsid w:val="00B02A92"/>
    <w:rsid w:val="00B030AA"/>
    <w:rsid w:val="00B04869"/>
    <w:rsid w:val="00B04940"/>
    <w:rsid w:val="00B04AB8"/>
    <w:rsid w:val="00B04EBB"/>
    <w:rsid w:val="00B0501B"/>
    <w:rsid w:val="00B05838"/>
    <w:rsid w:val="00B05B53"/>
    <w:rsid w:val="00B05C92"/>
    <w:rsid w:val="00B06195"/>
    <w:rsid w:val="00B06337"/>
    <w:rsid w:val="00B06511"/>
    <w:rsid w:val="00B06C38"/>
    <w:rsid w:val="00B06E0C"/>
    <w:rsid w:val="00B06FB9"/>
    <w:rsid w:val="00B070D8"/>
    <w:rsid w:val="00B07605"/>
    <w:rsid w:val="00B07AA4"/>
    <w:rsid w:val="00B07E06"/>
    <w:rsid w:val="00B07F34"/>
    <w:rsid w:val="00B07FEB"/>
    <w:rsid w:val="00B10600"/>
    <w:rsid w:val="00B10E2B"/>
    <w:rsid w:val="00B11033"/>
    <w:rsid w:val="00B115E4"/>
    <w:rsid w:val="00B11769"/>
    <w:rsid w:val="00B11C62"/>
    <w:rsid w:val="00B11C8B"/>
    <w:rsid w:val="00B11CA8"/>
    <w:rsid w:val="00B12565"/>
    <w:rsid w:val="00B126B2"/>
    <w:rsid w:val="00B131DE"/>
    <w:rsid w:val="00B133CD"/>
    <w:rsid w:val="00B13491"/>
    <w:rsid w:val="00B135C3"/>
    <w:rsid w:val="00B135FD"/>
    <w:rsid w:val="00B138FA"/>
    <w:rsid w:val="00B13D05"/>
    <w:rsid w:val="00B14114"/>
    <w:rsid w:val="00B141B4"/>
    <w:rsid w:val="00B141E9"/>
    <w:rsid w:val="00B1529C"/>
    <w:rsid w:val="00B1548B"/>
    <w:rsid w:val="00B15596"/>
    <w:rsid w:val="00B1560F"/>
    <w:rsid w:val="00B15964"/>
    <w:rsid w:val="00B15C00"/>
    <w:rsid w:val="00B164C6"/>
    <w:rsid w:val="00B16D4D"/>
    <w:rsid w:val="00B16DFD"/>
    <w:rsid w:val="00B16F39"/>
    <w:rsid w:val="00B17B47"/>
    <w:rsid w:val="00B20249"/>
    <w:rsid w:val="00B207D0"/>
    <w:rsid w:val="00B20DCB"/>
    <w:rsid w:val="00B21332"/>
    <w:rsid w:val="00B2269F"/>
    <w:rsid w:val="00B22816"/>
    <w:rsid w:val="00B22A15"/>
    <w:rsid w:val="00B22E67"/>
    <w:rsid w:val="00B23329"/>
    <w:rsid w:val="00B23494"/>
    <w:rsid w:val="00B23990"/>
    <w:rsid w:val="00B23A3B"/>
    <w:rsid w:val="00B245E1"/>
    <w:rsid w:val="00B246A5"/>
    <w:rsid w:val="00B246B0"/>
    <w:rsid w:val="00B249A5"/>
    <w:rsid w:val="00B24BE5"/>
    <w:rsid w:val="00B24D53"/>
    <w:rsid w:val="00B250B0"/>
    <w:rsid w:val="00B25764"/>
    <w:rsid w:val="00B2589E"/>
    <w:rsid w:val="00B25A30"/>
    <w:rsid w:val="00B2643C"/>
    <w:rsid w:val="00B26ACA"/>
    <w:rsid w:val="00B26B4A"/>
    <w:rsid w:val="00B26DD0"/>
    <w:rsid w:val="00B26EC9"/>
    <w:rsid w:val="00B271F8"/>
    <w:rsid w:val="00B27372"/>
    <w:rsid w:val="00B274A5"/>
    <w:rsid w:val="00B27533"/>
    <w:rsid w:val="00B275DE"/>
    <w:rsid w:val="00B27668"/>
    <w:rsid w:val="00B27978"/>
    <w:rsid w:val="00B27C6D"/>
    <w:rsid w:val="00B27DCD"/>
    <w:rsid w:val="00B27E9B"/>
    <w:rsid w:val="00B3022C"/>
    <w:rsid w:val="00B30567"/>
    <w:rsid w:val="00B3063A"/>
    <w:rsid w:val="00B30953"/>
    <w:rsid w:val="00B30B45"/>
    <w:rsid w:val="00B30FED"/>
    <w:rsid w:val="00B31668"/>
    <w:rsid w:val="00B3191A"/>
    <w:rsid w:val="00B3198E"/>
    <w:rsid w:val="00B31D3E"/>
    <w:rsid w:val="00B31D5E"/>
    <w:rsid w:val="00B32105"/>
    <w:rsid w:val="00B323B9"/>
    <w:rsid w:val="00B32F60"/>
    <w:rsid w:val="00B34047"/>
    <w:rsid w:val="00B34227"/>
    <w:rsid w:val="00B345F4"/>
    <w:rsid w:val="00B34D43"/>
    <w:rsid w:val="00B34EDD"/>
    <w:rsid w:val="00B357FB"/>
    <w:rsid w:val="00B35CD5"/>
    <w:rsid w:val="00B36406"/>
    <w:rsid w:val="00B36B25"/>
    <w:rsid w:val="00B3704C"/>
    <w:rsid w:val="00B37094"/>
    <w:rsid w:val="00B370F2"/>
    <w:rsid w:val="00B37147"/>
    <w:rsid w:val="00B37815"/>
    <w:rsid w:val="00B379F4"/>
    <w:rsid w:val="00B37B30"/>
    <w:rsid w:val="00B37C29"/>
    <w:rsid w:val="00B37C35"/>
    <w:rsid w:val="00B4063E"/>
    <w:rsid w:val="00B40B3C"/>
    <w:rsid w:val="00B40CC7"/>
    <w:rsid w:val="00B41678"/>
    <w:rsid w:val="00B41B29"/>
    <w:rsid w:val="00B42238"/>
    <w:rsid w:val="00B42821"/>
    <w:rsid w:val="00B42E89"/>
    <w:rsid w:val="00B43C1F"/>
    <w:rsid w:val="00B4556B"/>
    <w:rsid w:val="00B45772"/>
    <w:rsid w:val="00B464A5"/>
    <w:rsid w:val="00B46786"/>
    <w:rsid w:val="00B47123"/>
    <w:rsid w:val="00B4729E"/>
    <w:rsid w:val="00B477EF"/>
    <w:rsid w:val="00B47930"/>
    <w:rsid w:val="00B5071D"/>
    <w:rsid w:val="00B50AF2"/>
    <w:rsid w:val="00B5187B"/>
    <w:rsid w:val="00B51C9F"/>
    <w:rsid w:val="00B522CD"/>
    <w:rsid w:val="00B524C9"/>
    <w:rsid w:val="00B5257E"/>
    <w:rsid w:val="00B5299F"/>
    <w:rsid w:val="00B52A27"/>
    <w:rsid w:val="00B52DE9"/>
    <w:rsid w:val="00B54723"/>
    <w:rsid w:val="00B54A04"/>
    <w:rsid w:val="00B54AB8"/>
    <w:rsid w:val="00B54F4C"/>
    <w:rsid w:val="00B5531E"/>
    <w:rsid w:val="00B55452"/>
    <w:rsid w:val="00B56099"/>
    <w:rsid w:val="00B56F85"/>
    <w:rsid w:val="00B5726C"/>
    <w:rsid w:val="00B57509"/>
    <w:rsid w:val="00B57D68"/>
    <w:rsid w:val="00B60268"/>
    <w:rsid w:val="00B603D1"/>
    <w:rsid w:val="00B60491"/>
    <w:rsid w:val="00B604EE"/>
    <w:rsid w:val="00B60AB3"/>
    <w:rsid w:val="00B6104A"/>
    <w:rsid w:val="00B6108E"/>
    <w:rsid w:val="00B61D02"/>
    <w:rsid w:val="00B620DE"/>
    <w:rsid w:val="00B62227"/>
    <w:rsid w:val="00B63785"/>
    <w:rsid w:val="00B63A82"/>
    <w:rsid w:val="00B63B6E"/>
    <w:rsid w:val="00B64426"/>
    <w:rsid w:val="00B64B0D"/>
    <w:rsid w:val="00B65372"/>
    <w:rsid w:val="00B6579F"/>
    <w:rsid w:val="00B6626E"/>
    <w:rsid w:val="00B6634A"/>
    <w:rsid w:val="00B66769"/>
    <w:rsid w:val="00B669DB"/>
    <w:rsid w:val="00B67A84"/>
    <w:rsid w:val="00B701AC"/>
    <w:rsid w:val="00B703C2"/>
    <w:rsid w:val="00B708A4"/>
    <w:rsid w:val="00B71446"/>
    <w:rsid w:val="00B7174F"/>
    <w:rsid w:val="00B71CE3"/>
    <w:rsid w:val="00B72039"/>
    <w:rsid w:val="00B727B7"/>
    <w:rsid w:val="00B727DE"/>
    <w:rsid w:val="00B728F8"/>
    <w:rsid w:val="00B72B16"/>
    <w:rsid w:val="00B72C59"/>
    <w:rsid w:val="00B7318E"/>
    <w:rsid w:val="00B73390"/>
    <w:rsid w:val="00B73C23"/>
    <w:rsid w:val="00B74DCD"/>
    <w:rsid w:val="00B74F6A"/>
    <w:rsid w:val="00B751CF"/>
    <w:rsid w:val="00B7552D"/>
    <w:rsid w:val="00B75658"/>
    <w:rsid w:val="00B75DAA"/>
    <w:rsid w:val="00B75F12"/>
    <w:rsid w:val="00B768C7"/>
    <w:rsid w:val="00B76D9E"/>
    <w:rsid w:val="00B777CE"/>
    <w:rsid w:val="00B77D89"/>
    <w:rsid w:val="00B77EAF"/>
    <w:rsid w:val="00B800BB"/>
    <w:rsid w:val="00B807BA"/>
    <w:rsid w:val="00B80927"/>
    <w:rsid w:val="00B8092B"/>
    <w:rsid w:val="00B80EE5"/>
    <w:rsid w:val="00B80F83"/>
    <w:rsid w:val="00B816B9"/>
    <w:rsid w:val="00B81E76"/>
    <w:rsid w:val="00B81F77"/>
    <w:rsid w:val="00B82005"/>
    <w:rsid w:val="00B821DA"/>
    <w:rsid w:val="00B831A7"/>
    <w:rsid w:val="00B837B0"/>
    <w:rsid w:val="00B8413D"/>
    <w:rsid w:val="00B845F2"/>
    <w:rsid w:val="00B84A7B"/>
    <w:rsid w:val="00B85511"/>
    <w:rsid w:val="00B85C63"/>
    <w:rsid w:val="00B85DF0"/>
    <w:rsid w:val="00B85E49"/>
    <w:rsid w:val="00B85E81"/>
    <w:rsid w:val="00B8607C"/>
    <w:rsid w:val="00B8651F"/>
    <w:rsid w:val="00B86698"/>
    <w:rsid w:val="00B869AD"/>
    <w:rsid w:val="00B86A6C"/>
    <w:rsid w:val="00B86D01"/>
    <w:rsid w:val="00B87147"/>
    <w:rsid w:val="00B871B5"/>
    <w:rsid w:val="00B87A4C"/>
    <w:rsid w:val="00B87C7F"/>
    <w:rsid w:val="00B87F35"/>
    <w:rsid w:val="00B90051"/>
    <w:rsid w:val="00B90637"/>
    <w:rsid w:val="00B908EF"/>
    <w:rsid w:val="00B91055"/>
    <w:rsid w:val="00B918A7"/>
    <w:rsid w:val="00B91BBB"/>
    <w:rsid w:val="00B91CB1"/>
    <w:rsid w:val="00B91D1D"/>
    <w:rsid w:val="00B91D48"/>
    <w:rsid w:val="00B91F2B"/>
    <w:rsid w:val="00B92188"/>
    <w:rsid w:val="00B92D9A"/>
    <w:rsid w:val="00B93150"/>
    <w:rsid w:val="00B93EED"/>
    <w:rsid w:val="00B941F9"/>
    <w:rsid w:val="00B94489"/>
    <w:rsid w:val="00B944AA"/>
    <w:rsid w:val="00B946AE"/>
    <w:rsid w:val="00B94874"/>
    <w:rsid w:val="00B949A0"/>
    <w:rsid w:val="00B94D9F"/>
    <w:rsid w:val="00B95667"/>
    <w:rsid w:val="00B959B5"/>
    <w:rsid w:val="00B95BD4"/>
    <w:rsid w:val="00B962BA"/>
    <w:rsid w:val="00B963C2"/>
    <w:rsid w:val="00B96552"/>
    <w:rsid w:val="00B969EA"/>
    <w:rsid w:val="00B97028"/>
    <w:rsid w:val="00B97590"/>
    <w:rsid w:val="00B97FDE"/>
    <w:rsid w:val="00BA0CBE"/>
    <w:rsid w:val="00BA0E82"/>
    <w:rsid w:val="00BA0FE3"/>
    <w:rsid w:val="00BA11AC"/>
    <w:rsid w:val="00BA124A"/>
    <w:rsid w:val="00BA1305"/>
    <w:rsid w:val="00BA13B5"/>
    <w:rsid w:val="00BA14E3"/>
    <w:rsid w:val="00BA1BEF"/>
    <w:rsid w:val="00BA1C22"/>
    <w:rsid w:val="00BA214C"/>
    <w:rsid w:val="00BA23A7"/>
    <w:rsid w:val="00BA26F9"/>
    <w:rsid w:val="00BA2785"/>
    <w:rsid w:val="00BA27BD"/>
    <w:rsid w:val="00BA2D61"/>
    <w:rsid w:val="00BA32F2"/>
    <w:rsid w:val="00BA369F"/>
    <w:rsid w:val="00BA375A"/>
    <w:rsid w:val="00BA3A2C"/>
    <w:rsid w:val="00BA3C3C"/>
    <w:rsid w:val="00BA43B6"/>
    <w:rsid w:val="00BA48E3"/>
    <w:rsid w:val="00BA4D08"/>
    <w:rsid w:val="00BA5084"/>
    <w:rsid w:val="00BA5166"/>
    <w:rsid w:val="00BA5387"/>
    <w:rsid w:val="00BA5780"/>
    <w:rsid w:val="00BA5BB2"/>
    <w:rsid w:val="00BA5BC9"/>
    <w:rsid w:val="00BA72DE"/>
    <w:rsid w:val="00BA739A"/>
    <w:rsid w:val="00BA7AEA"/>
    <w:rsid w:val="00BA7E07"/>
    <w:rsid w:val="00BB00D1"/>
    <w:rsid w:val="00BB01C7"/>
    <w:rsid w:val="00BB01C9"/>
    <w:rsid w:val="00BB0771"/>
    <w:rsid w:val="00BB0819"/>
    <w:rsid w:val="00BB0964"/>
    <w:rsid w:val="00BB0D14"/>
    <w:rsid w:val="00BB1242"/>
    <w:rsid w:val="00BB18D4"/>
    <w:rsid w:val="00BB1A58"/>
    <w:rsid w:val="00BB1AB2"/>
    <w:rsid w:val="00BB2873"/>
    <w:rsid w:val="00BB2955"/>
    <w:rsid w:val="00BB2CC2"/>
    <w:rsid w:val="00BB2F81"/>
    <w:rsid w:val="00BB30D5"/>
    <w:rsid w:val="00BB347C"/>
    <w:rsid w:val="00BB3CCC"/>
    <w:rsid w:val="00BB3F03"/>
    <w:rsid w:val="00BB41A2"/>
    <w:rsid w:val="00BB4491"/>
    <w:rsid w:val="00BB50C6"/>
    <w:rsid w:val="00BB54F8"/>
    <w:rsid w:val="00BB5611"/>
    <w:rsid w:val="00BB5A76"/>
    <w:rsid w:val="00BB6D55"/>
    <w:rsid w:val="00BB6E3C"/>
    <w:rsid w:val="00BB7120"/>
    <w:rsid w:val="00BB744D"/>
    <w:rsid w:val="00BB756F"/>
    <w:rsid w:val="00BC0361"/>
    <w:rsid w:val="00BC09B0"/>
    <w:rsid w:val="00BC09E8"/>
    <w:rsid w:val="00BC0CC8"/>
    <w:rsid w:val="00BC1253"/>
    <w:rsid w:val="00BC152C"/>
    <w:rsid w:val="00BC16B8"/>
    <w:rsid w:val="00BC18C7"/>
    <w:rsid w:val="00BC1AE5"/>
    <w:rsid w:val="00BC1B19"/>
    <w:rsid w:val="00BC1C5D"/>
    <w:rsid w:val="00BC1D37"/>
    <w:rsid w:val="00BC2140"/>
    <w:rsid w:val="00BC2478"/>
    <w:rsid w:val="00BC2DD8"/>
    <w:rsid w:val="00BC3339"/>
    <w:rsid w:val="00BC4185"/>
    <w:rsid w:val="00BC4A9D"/>
    <w:rsid w:val="00BC519F"/>
    <w:rsid w:val="00BC5999"/>
    <w:rsid w:val="00BC5CB9"/>
    <w:rsid w:val="00BC5F5A"/>
    <w:rsid w:val="00BC6210"/>
    <w:rsid w:val="00BC67CE"/>
    <w:rsid w:val="00BC6821"/>
    <w:rsid w:val="00BC795D"/>
    <w:rsid w:val="00BD023E"/>
    <w:rsid w:val="00BD0701"/>
    <w:rsid w:val="00BD075C"/>
    <w:rsid w:val="00BD141D"/>
    <w:rsid w:val="00BD19B4"/>
    <w:rsid w:val="00BD1E54"/>
    <w:rsid w:val="00BD227A"/>
    <w:rsid w:val="00BD23F5"/>
    <w:rsid w:val="00BD2502"/>
    <w:rsid w:val="00BD2B68"/>
    <w:rsid w:val="00BD2FF4"/>
    <w:rsid w:val="00BD30CB"/>
    <w:rsid w:val="00BD311A"/>
    <w:rsid w:val="00BD3B0F"/>
    <w:rsid w:val="00BD3BC0"/>
    <w:rsid w:val="00BD3E3D"/>
    <w:rsid w:val="00BD484F"/>
    <w:rsid w:val="00BD4E84"/>
    <w:rsid w:val="00BD52AC"/>
    <w:rsid w:val="00BD5802"/>
    <w:rsid w:val="00BD5A7A"/>
    <w:rsid w:val="00BD5C5A"/>
    <w:rsid w:val="00BD5E28"/>
    <w:rsid w:val="00BD605A"/>
    <w:rsid w:val="00BD6603"/>
    <w:rsid w:val="00BD6715"/>
    <w:rsid w:val="00BD6E0D"/>
    <w:rsid w:val="00BE0670"/>
    <w:rsid w:val="00BE09DE"/>
    <w:rsid w:val="00BE0B64"/>
    <w:rsid w:val="00BE12E7"/>
    <w:rsid w:val="00BE13C6"/>
    <w:rsid w:val="00BE13FC"/>
    <w:rsid w:val="00BE1486"/>
    <w:rsid w:val="00BE14AC"/>
    <w:rsid w:val="00BE17BB"/>
    <w:rsid w:val="00BE1823"/>
    <w:rsid w:val="00BE184F"/>
    <w:rsid w:val="00BE22F7"/>
    <w:rsid w:val="00BE24B5"/>
    <w:rsid w:val="00BE2C24"/>
    <w:rsid w:val="00BE2CCE"/>
    <w:rsid w:val="00BE316F"/>
    <w:rsid w:val="00BE39BF"/>
    <w:rsid w:val="00BE4094"/>
    <w:rsid w:val="00BE4262"/>
    <w:rsid w:val="00BE44DD"/>
    <w:rsid w:val="00BE456C"/>
    <w:rsid w:val="00BE484A"/>
    <w:rsid w:val="00BE5310"/>
    <w:rsid w:val="00BE5865"/>
    <w:rsid w:val="00BE58B6"/>
    <w:rsid w:val="00BE694A"/>
    <w:rsid w:val="00BE70FA"/>
    <w:rsid w:val="00BE72BE"/>
    <w:rsid w:val="00BE7FA5"/>
    <w:rsid w:val="00BF001F"/>
    <w:rsid w:val="00BF00DE"/>
    <w:rsid w:val="00BF08EA"/>
    <w:rsid w:val="00BF0E4A"/>
    <w:rsid w:val="00BF0EC5"/>
    <w:rsid w:val="00BF184F"/>
    <w:rsid w:val="00BF1B93"/>
    <w:rsid w:val="00BF1D15"/>
    <w:rsid w:val="00BF2644"/>
    <w:rsid w:val="00BF28E5"/>
    <w:rsid w:val="00BF2A01"/>
    <w:rsid w:val="00BF30A6"/>
    <w:rsid w:val="00BF3A94"/>
    <w:rsid w:val="00BF3C07"/>
    <w:rsid w:val="00BF3D00"/>
    <w:rsid w:val="00BF3DD5"/>
    <w:rsid w:val="00BF464C"/>
    <w:rsid w:val="00BF46FD"/>
    <w:rsid w:val="00BF4DF0"/>
    <w:rsid w:val="00BF56A1"/>
    <w:rsid w:val="00BF5E09"/>
    <w:rsid w:val="00BF5ED0"/>
    <w:rsid w:val="00BF61D1"/>
    <w:rsid w:val="00BF6219"/>
    <w:rsid w:val="00BF62FB"/>
    <w:rsid w:val="00BF6588"/>
    <w:rsid w:val="00BF69C5"/>
    <w:rsid w:val="00BF6E03"/>
    <w:rsid w:val="00BF6EE7"/>
    <w:rsid w:val="00BF72B4"/>
    <w:rsid w:val="00BF7DDE"/>
    <w:rsid w:val="00C00298"/>
    <w:rsid w:val="00C007E1"/>
    <w:rsid w:val="00C01FF9"/>
    <w:rsid w:val="00C02806"/>
    <w:rsid w:val="00C028CC"/>
    <w:rsid w:val="00C035AC"/>
    <w:rsid w:val="00C0390D"/>
    <w:rsid w:val="00C03AB0"/>
    <w:rsid w:val="00C03AE1"/>
    <w:rsid w:val="00C03EC0"/>
    <w:rsid w:val="00C044EC"/>
    <w:rsid w:val="00C04829"/>
    <w:rsid w:val="00C04AC4"/>
    <w:rsid w:val="00C04CA5"/>
    <w:rsid w:val="00C0520A"/>
    <w:rsid w:val="00C05DFB"/>
    <w:rsid w:val="00C05F5B"/>
    <w:rsid w:val="00C061E4"/>
    <w:rsid w:val="00C063AC"/>
    <w:rsid w:val="00C0654D"/>
    <w:rsid w:val="00C065BE"/>
    <w:rsid w:val="00C0662A"/>
    <w:rsid w:val="00C06845"/>
    <w:rsid w:val="00C068D8"/>
    <w:rsid w:val="00C06ACF"/>
    <w:rsid w:val="00C06AD5"/>
    <w:rsid w:val="00C10341"/>
    <w:rsid w:val="00C10CA3"/>
    <w:rsid w:val="00C10F6B"/>
    <w:rsid w:val="00C11180"/>
    <w:rsid w:val="00C112E1"/>
    <w:rsid w:val="00C12444"/>
    <w:rsid w:val="00C126AA"/>
    <w:rsid w:val="00C12AD5"/>
    <w:rsid w:val="00C12AEB"/>
    <w:rsid w:val="00C13CB3"/>
    <w:rsid w:val="00C14834"/>
    <w:rsid w:val="00C1503C"/>
    <w:rsid w:val="00C15169"/>
    <w:rsid w:val="00C16172"/>
    <w:rsid w:val="00C164F6"/>
    <w:rsid w:val="00C16E4A"/>
    <w:rsid w:val="00C17004"/>
    <w:rsid w:val="00C17168"/>
    <w:rsid w:val="00C17800"/>
    <w:rsid w:val="00C17C8A"/>
    <w:rsid w:val="00C206DA"/>
    <w:rsid w:val="00C20A60"/>
    <w:rsid w:val="00C2147E"/>
    <w:rsid w:val="00C215EF"/>
    <w:rsid w:val="00C21605"/>
    <w:rsid w:val="00C21684"/>
    <w:rsid w:val="00C21783"/>
    <w:rsid w:val="00C218A1"/>
    <w:rsid w:val="00C2282B"/>
    <w:rsid w:val="00C2324A"/>
    <w:rsid w:val="00C237C8"/>
    <w:rsid w:val="00C242C6"/>
    <w:rsid w:val="00C245CC"/>
    <w:rsid w:val="00C2461B"/>
    <w:rsid w:val="00C249C8"/>
    <w:rsid w:val="00C24D52"/>
    <w:rsid w:val="00C24F50"/>
    <w:rsid w:val="00C253CF"/>
    <w:rsid w:val="00C254DE"/>
    <w:rsid w:val="00C25EA4"/>
    <w:rsid w:val="00C26116"/>
    <w:rsid w:val="00C26F39"/>
    <w:rsid w:val="00C27387"/>
    <w:rsid w:val="00C27682"/>
    <w:rsid w:val="00C27C72"/>
    <w:rsid w:val="00C27F01"/>
    <w:rsid w:val="00C27F70"/>
    <w:rsid w:val="00C30F08"/>
    <w:rsid w:val="00C314C5"/>
    <w:rsid w:val="00C319EB"/>
    <w:rsid w:val="00C31AF5"/>
    <w:rsid w:val="00C3215C"/>
    <w:rsid w:val="00C32455"/>
    <w:rsid w:val="00C324F5"/>
    <w:rsid w:val="00C3257C"/>
    <w:rsid w:val="00C32ED0"/>
    <w:rsid w:val="00C3309D"/>
    <w:rsid w:val="00C333A7"/>
    <w:rsid w:val="00C334B9"/>
    <w:rsid w:val="00C33864"/>
    <w:rsid w:val="00C34629"/>
    <w:rsid w:val="00C34B13"/>
    <w:rsid w:val="00C34BC6"/>
    <w:rsid w:val="00C351B2"/>
    <w:rsid w:val="00C353E0"/>
    <w:rsid w:val="00C35681"/>
    <w:rsid w:val="00C3593B"/>
    <w:rsid w:val="00C35A1D"/>
    <w:rsid w:val="00C36F1F"/>
    <w:rsid w:val="00C37455"/>
    <w:rsid w:val="00C37473"/>
    <w:rsid w:val="00C3785B"/>
    <w:rsid w:val="00C378FB"/>
    <w:rsid w:val="00C37BC9"/>
    <w:rsid w:val="00C4045D"/>
    <w:rsid w:val="00C40668"/>
    <w:rsid w:val="00C406A3"/>
    <w:rsid w:val="00C413A6"/>
    <w:rsid w:val="00C4153F"/>
    <w:rsid w:val="00C418D5"/>
    <w:rsid w:val="00C41C74"/>
    <w:rsid w:val="00C41FBC"/>
    <w:rsid w:val="00C42098"/>
    <w:rsid w:val="00C421F4"/>
    <w:rsid w:val="00C42296"/>
    <w:rsid w:val="00C427D5"/>
    <w:rsid w:val="00C4289E"/>
    <w:rsid w:val="00C42E46"/>
    <w:rsid w:val="00C43886"/>
    <w:rsid w:val="00C43E28"/>
    <w:rsid w:val="00C43F21"/>
    <w:rsid w:val="00C44145"/>
    <w:rsid w:val="00C44B2A"/>
    <w:rsid w:val="00C44E1C"/>
    <w:rsid w:val="00C4511B"/>
    <w:rsid w:val="00C451C0"/>
    <w:rsid w:val="00C453B3"/>
    <w:rsid w:val="00C458FE"/>
    <w:rsid w:val="00C45EE2"/>
    <w:rsid w:val="00C46705"/>
    <w:rsid w:val="00C46F26"/>
    <w:rsid w:val="00C479DE"/>
    <w:rsid w:val="00C5008E"/>
    <w:rsid w:val="00C5075A"/>
    <w:rsid w:val="00C50EE0"/>
    <w:rsid w:val="00C50F30"/>
    <w:rsid w:val="00C515FF"/>
    <w:rsid w:val="00C51FB1"/>
    <w:rsid w:val="00C52033"/>
    <w:rsid w:val="00C523EC"/>
    <w:rsid w:val="00C525CE"/>
    <w:rsid w:val="00C52662"/>
    <w:rsid w:val="00C52A38"/>
    <w:rsid w:val="00C52B7A"/>
    <w:rsid w:val="00C52F7D"/>
    <w:rsid w:val="00C531F8"/>
    <w:rsid w:val="00C5350C"/>
    <w:rsid w:val="00C53DFE"/>
    <w:rsid w:val="00C540AB"/>
    <w:rsid w:val="00C54C34"/>
    <w:rsid w:val="00C54E95"/>
    <w:rsid w:val="00C5543E"/>
    <w:rsid w:val="00C555E5"/>
    <w:rsid w:val="00C5566B"/>
    <w:rsid w:val="00C55B06"/>
    <w:rsid w:val="00C56227"/>
    <w:rsid w:val="00C56961"/>
    <w:rsid w:val="00C56983"/>
    <w:rsid w:val="00C56CEE"/>
    <w:rsid w:val="00C56EFA"/>
    <w:rsid w:val="00C57D45"/>
    <w:rsid w:val="00C60AC5"/>
    <w:rsid w:val="00C60F48"/>
    <w:rsid w:val="00C61621"/>
    <w:rsid w:val="00C6272F"/>
    <w:rsid w:val="00C6318D"/>
    <w:rsid w:val="00C63554"/>
    <w:rsid w:val="00C63741"/>
    <w:rsid w:val="00C63D4E"/>
    <w:rsid w:val="00C63DE8"/>
    <w:rsid w:val="00C63F11"/>
    <w:rsid w:val="00C64381"/>
    <w:rsid w:val="00C6453F"/>
    <w:rsid w:val="00C646C2"/>
    <w:rsid w:val="00C64D87"/>
    <w:rsid w:val="00C64F19"/>
    <w:rsid w:val="00C64F56"/>
    <w:rsid w:val="00C66605"/>
    <w:rsid w:val="00C66761"/>
    <w:rsid w:val="00C66E3E"/>
    <w:rsid w:val="00C67044"/>
    <w:rsid w:val="00C67295"/>
    <w:rsid w:val="00C674BD"/>
    <w:rsid w:val="00C6756D"/>
    <w:rsid w:val="00C6786C"/>
    <w:rsid w:val="00C6797E"/>
    <w:rsid w:val="00C67BC8"/>
    <w:rsid w:val="00C67C47"/>
    <w:rsid w:val="00C67C6B"/>
    <w:rsid w:val="00C67D43"/>
    <w:rsid w:val="00C7039C"/>
    <w:rsid w:val="00C70BDA"/>
    <w:rsid w:val="00C70D97"/>
    <w:rsid w:val="00C70F56"/>
    <w:rsid w:val="00C70F92"/>
    <w:rsid w:val="00C7168E"/>
    <w:rsid w:val="00C716BD"/>
    <w:rsid w:val="00C71CAD"/>
    <w:rsid w:val="00C72838"/>
    <w:rsid w:val="00C72978"/>
    <w:rsid w:val="00C731A5"/>
    <w:rsid w:val="00C739A0"/>
    <w:rsid w:val="00C73BA9"/>
    <w:rsid w:val="00C73D08"/>
    <w:rsid w:val="00C73DD4"/>
    <w:rsid w:val="00C74132"/>
    <w:rsid w:val="00C74333"/>
    <w:rsid w:val="00C745C1"/>
    <w:rsid w:val="00C74A48"/>
    <w:rsid w:val="00C74B56"/>
    <w:rsid w:val="00C74D33"/>
    <w:rsid w:val="00C751F1"/>
    <w:rsid w:val="00C75216"/>
    <w:rsid w:val="00C75B6F"/>
    <w:rsid w:val="00C76199"/>
    <w:rsid w:val="00C764E1"/>
    <w:rsid w:val="00C76AB8"/>
    <w:rsid w:val="00C771E6"/>
    <w:rsid w:val="00C77432"/>
    <w:rsid w:val="00C776CB"/>
    <w:rsid w:val="00C77E79"/>
    <w:rsid w:val="00C807DE"/>
    <w:rsid w:val="00C80DDF"/>
    <w:rsid w:val="00C80EAA"/>
    <w:rsid w:val="00C81599"/>
    <w:rsid w:val="00C8183F"/>
    <w:rsid w:val="00C822CB"/>
    <w:rsid w:val="00C8307E"/>
    <w:rsid w:val="00C831ED"/>
    <w:rsid w:val="00C83416"/>
    <w:rsid w:val="00C83593"/>
    <w:rsid w:val="00C8417A"/>
    <w:rsid w:val="00C8443E"/>
    <w:rsid w:val="00C84A13"/>
    <w:rsid w:val="00C84C13"/>
    <w:rsid w:val="00C84D22"/>
    <w:rsid w:val="00C85258"/>
    <w:rsid w:val="00C85663"/>
    <w:rsid w:val="00C86074"/>
    <w:rsid w:val="00C8646A"/>
    <w:rsid w:val="00C865C9"/>
    <w:rsid w:val="00C865D2"/>
    <w:rsid w:val="00C86B69"/>
    <w:rsid w:val="00C86D71"/>
    <w:rsid w:val="00C86E4C"/>
    <w:rsid w:val="00C8793B"/>
    <w:rsid w:val="00C87E5C"/>
    <w:rsid w:val="00C87F0B"/>
    <w:rsid w:val="00C87FFA"/>
    <w:rsid w:val="00C90349"/>
    <w:rsid w:val="00C905F7"/>
    <w:rsid w:val="00C9078B"/>
    <w:rsid w:val="00C91487"/>
    <w:rsid w:val="00C91E6B"/>
    <w:rsid w:val="00C92E83"/>
    <w:rsid w:val="00C93081"/>
    <w:rsid w:val="00C93172"/>
    <w:rsid w:val="00C934C0"/>
    <w:rsid w:val="00C934DD"/>
    <w:rsid w:val="00C93882"/>
    <w:rsid w:val="00C93DA6"/>
    <w:rsid w:val="00C94CD9"/>
    <w:rsid w:val="00C94CFE"/>
    <w:rsid w:val="00C94D4C"/>
    <w:rsid w:val="00C95722"/>
    <w:rsid w:val="00C96247"/>
    <w:rsid w:val="00C96E7F"/>
    <w:rsid w:val="00C96FED"/>
    <w:rsid w:val="00C97021"/>
    <w:rsid w:val="00C9773B"/>
    <w:rsid w:val="00C97A5D"/>
    <w:rsid w:val="00CA01B7"/>
    <w:rsid w:val="00CA02AF"/>
    <w:rsid w:val="00CA04EC"/>
    <w:rsid w:val="00CA0B6A"/>
    <w:rsid w:val="00CA0D9B"/>
    <w:rsid w:val="00CA0DC4"/>
    <w:rsid w:val="00CA0E34"/>
    <w:rsid w:val="00CA124C"/>
    <w:rsid w:val="00CA1433"/>
    <w:rsid w:val="00CA1ECD"/>
    <w:rsid w:val="00CA204D"/>
    <w:rsid w:val="00CA210F"/>
    <w:rsid w:val="00CA263F"/>
    <w:rsid w:val="00CA2EC1"/>
    <w:rsid w:val="00CA4616"/>
    <w:rsid w:val="00CA4A95"/>
    <w:rsid w:val="00CA5241"/>
    <w:rsid w:val="00CA5249"/>
    <w:rsid w:val="00CA53B6"/>
    <w:rsid w:val="00CA5A1D"/>
    <w:rsid w:val="00CA5A32"/>
    <w:rsid w:val="00CA5B7C"/>
    <w:rsid w:val="00CA5D9C"/>
    <w:rsid w:val="00CA6185"/>
    <w:rsid w:val="00CA61BA"/>
    <w:rsid w:val="00CA6896"/>
    <w:rsid w:val="00CA7000"/>
    <w:rsid w:val="00CA7252"/>
    <w:rsid w:val="00CA78F8"/>
    <w:rsid w:val="00CA7FBD"/>
    <w:rsid w:val="00CB0069"/>
    <w:rsid w:val="00CB0517"/>
    <w:rsid w:val="00CB0B02"/>
    <w:rsid w:val="00CB0B7D"/>
    <w:rsid w:val="00CB0E67"/>
    <w:rsid w:val="00CB1469"/>
    <w:rsid w:val="00CB1B3B"/>
    <w:rsid w:val="00CB1CAD"/>
    <w:rsid w:val="00CB209C"/>
    <w:rsid w:val="00CB2D2A"/>
    <w:rsid w:val="00CB2E84"/>
    <w:rsid w:val="00CB3501"/>
    <w:rsid w:val="00CB3770"/>
    <w:rsid w:val="00CB3A44"/>
    <w:rsid w:val="00CB40F8"/>
    <w:rsid w:val="00CB44CF"/>
    <w:rsid w:val="00CB46B7"/>
    <w:rsid w:val="00CB4DD0"/>
    <w:rsid w:val="00CB55A4"/>
    <w:rsid w:val="00CB6AA9"/>
    <w:rsid w:val="00CB71D6"/>
    <w:rsid w:val="00CC0558"/>
    <w:rsid w:val="00CC0E14"/>
    <w:rsid w:val="00CC0F36"/>
    <w:rsid w:val="00CC0F8D"/>
    <w:rsid w:val="00CC1287"/>
    <w:rsid w:val="00CC19A2"/>
    <w:rsid w:val="00CC1C94"/>
    <w:rsid w:val="00CC2075"/>
    <w:rsid w:val="00CC20E8"/>
    <w:rsid w:val="00CC2420"/>
    <w:rsid w:val="00CC2750"/>
    <w:rsid w:val="00CC29C4"/>
    <w:rsid w:val="00CC2BA1"/>
    <w:rsid w:val="00CC344F"/>
    <w:rsid w:val="00CC374F"/>
    <w:rsid w:val="00CC37BB"/>
    <w:rsid w:val="00CC3918"/>
    <w:rsid w:val="00CC3A15"/>
    <w:rsid w:val="00CC3FFD"/>
    <w:rsid w:val="00CC4707"/>
    <w:rsid w:val="00CC52E6"/>
    <w:rsid w:val="00CC5C9E"/>
    <w:rsid w:val="00CC66C3"/>
    <w:rsid w:val="00CC66E4"/>
    <w:rsid w:val="00CC681B"/>
    <w:rsid w:val="00CC68AD"/>
    <w:rsid w:val="00CC69FF"/>
    <w:rsid w:val="00CC6BBE"/>
    <w:rsid w:val="00CC6F61"/>
    <w:rsid w:val="00CC7487"/>
    <w:rsid w:val="00CC7F7F"/>
    <w:rsid w:val="00CD0A66"/>
    <w:rsid w:val="00CD1873"/>
    <w:rsid w:val="00CD1966"/>
    <w:rsid w:val="00CD28B0"/>
    <w:rsid w:val="00CD2BC6"/>
    <w:rsid w:val="00CD3069"/>
    <w:rsid w:val="00CD3406"/>
    <w:rsid w:val="00CD370C"/>
    <w:rsid w:val="00CD4FD8"/>
    <w:rsid w:val="00CD5238"/>
    <w:rsid w:val="00CD5604"/>
    <w:rsid w:val="00CD5642"/>
    <w:rsid w:val="00CD56C7"/>
    <w:rsid w:val="00CD60BA"/>
    <w:rsid w:val="00CD68F7"/>
    <w:rsid w:val="00CD691B"/>
    <w:rsid w:val="00CD6A56"/>
    <w:rsid w:val="00CD6D22"/>
    <w:rsid w:val="00CD723D"/>
    <w:rsid w:val="00CD7712"/>
    <w:rsid w:val="00CD7FEB"/>
    <w:rsid w:val="00CE0281"/>
    <w:rsid w:val="00CE0348"/>
    <w:rsid w:val="00CE088B"/>
    <w:rsid w:val="00CE0E88"/>
    <w:rsid w:val="00CE1845"/>
    <w:rsid w:val="00CE1E3A"/>
    <w:rsid w:val="00CE223A"/>
    <w:rsid w:val="00CE225D"/>
    <w:rsid w:val="00CE2572"/>
    <w:rsid w:val="00CE259B"/>
    <w:rsid w:val="00CE37A6"/>
    <w:rsid w:val="00CE3CCB"/>
    <w:rsid w:val="00CE3CF1"/>
    <w:rsid w:val="00CE3D60"/>
    <w:rsid w:val="00CE4751"/>
    <w:rsid w:val="00CE4EF6"/>
    <w:rsid w:val="00CE57FB"/>
    <w:rsid w:val="00CE5C74"/>
    <w:rsid w:val="00CE6248"/>
    <w:rsid w:val="00CE646C"/>
    <w:rsid w:val="00CE64D0"/>
    <w:rsid w:val="00CE711F"/>
    <w:rsid w:val="00CE7749"/>
    <w:rsid w:val="00CE7C6D"/>
    <w:rsid w:val="00CE7EFA"/>
    <w:rsid w:val="00CF080E"/>
    <w:rsid w:val="00CF0BF8"/>
    <w:rsid w:val="00CF0E34"/>
    <w:rsid w:val="00CF195E"/>
    <w:rsid w:val="00CF1D15"/>
    <w:rsid w:val="00CF1D4E"/>
    <w:rsid w:val="00CF1D74"/>
    <w:rsid w:val="00CF223C"/>
    <w:rsid w:val="00CF22DC"/>
    <w:rsid w:val="00CF2567"/>
    <w:rsid w:val="00CF2AC0"/>
    <w:rsid w:val="00CF2CA5"/>
    <w:rsid w:val="00CF2E7B"/>
    <w:rsid w:val="00CF3260"/>
    <w:rsid w:val="00CF3B51"/>
    <w:rsid w:val="00CF3DD3"/>
    <w:rsid w:val="00CF527E"/>
    <w:rsid w:val="00CF5392"/>
    <w:rsid w:val="00CF5A49"/>
    <w:rsid w:val="00CF5A52"/>
    <w:rsid w:val="00CF5F68"/>
    <w:rsid w:val="00CF645D"/>
    <w:rsid w:val="00CF6A38"/>
    <w:rsid w:val="00CF70A1"/>
    <w:rsid w:val="00CF7125"/>
    <w:rsid w:val="00CF7191"/>
    <w:rsid w:val="00CF79CE"/>
    <w:rsid w:val="00CF7A42"/>
    <w:rsid w:val="00CF7A9F"/>
    <w:rsid w:val="00CF7F8C"/>
    <w:rsid w:val="00CF7F8F"/>
    <w:rsid w:val="00D005AC"/>
    <w:rsid w:val="00D006F4"/>
    <w:rsid w:val="00D00780"/>
    <w:rsid w:val="00D00F54"/>
    <w:rsid w:val="00D01391"/>
    <w:rsid w:val="00D01451"/>
    <w:rsid w:val="00D015AA"/>
    <w:rsid w:val="00D0167B"/>
    <w:rsid w:val="00D0180C"/>
    <w:rsid w:val="00D01966"/>
    <w:rsid w:val="00D01DD9"/>
    <w:rsid w:val="00D01FD5"/>
    <w:rsid w:val="00D020F2"/>
    <w:rsid w:val="00D0231A"/>
    <w:rsid w:val="00D028E5"/>
    <w:rsid w:val="00D02FD1"/>
    <w:rsid w:val="00D0349A"/>
    <w:rsid w:val="00D03CD6"/>
    <w:rsid w:val="00D0408B"/>
    <w:rsid w:val="00D0494F"/>
    <w:rsid w:val="00D04A06"/>
    <w:rsid w:val="00D04BB4"/>
    <w:rsid w:val="00D04C2A"/>
    <w:rsid w:val="00D05329"/>
    <w:rsid w:val="00D0585C"/>
    <w:rsid w:val="00D058C1"/>
    <w:rsid w:val="00D05E56"/>
    <w:rsid w:val="00D063C7"/>
    <w:rsid w:val="00D0691E"/>
    <w:rsid w:val="00D06DF5"/>
    <w:rsid w:val="00D070A6"/>
    <w:rsid w:val="00D071A8"/>
    <w:rsid w:val="00D07CBE"/>
    <w:rsid w:val="00D07E98"/>
    <w:rsid w:val="00D103B7"/>
    <w:rsid w:val="00D106FE"/>
    <w:rsid w:val="00D10D19"/>
    <w:rsid w:val="00D111F2"/>
    <w:rsid w:val="00D1134C"/>
    <w:rsid w:val="00D11946"/>
    <w:rsid w:val="00D11BC4"/>
    <w:rsid w:val="00D11D4A"/>
    <w:rsid w:val="00D11D7D"/>
    <w:rsid w:val="00D12420"/>
    <w:rsid w:val="00D12909"/>
    <w:rsid w:val="00D12993"/>
    <w:rsid w:val="00D12D2D"/>
    <w:rsid w:val="00D13269"/>
    <w:rsid w:val="00D1338D"/>
    <w:rsid w:val="00D137F3"/>
    <w:rsid w:val="00D139B6"/>
    <w:rsid w:val="00D13AFC"/>
    <w:rsid w:val="00D13CEE"/>
    <w:rsid w:val="00D14361"/>
    <w:rsid w:val="00D14DD3"/>
    <w:rsid w:val="00D14EEB"/>
    <w:rsid w:val="00D1543B"/>
    <w:rsid w:val="00D1544A"/>
    <w:rsid w:val="00D15461"/>
    <w:rsid w:val="00D1594A"/>
    <w:rsid w:val="00D162C7"/>
    <w:rsid w:val="00D16602"/>
    <w:rsid w:val="00D16803"/>
    <w:rsid w:val="00D16ADF"/>
    <w:rsid w:val="00D16D11"/>
    <w:rsid w:val="00D174E9"/>
    <w:rsid w:val="00D1754B"/>
    <w:rsid w:val="00D17599"/>
    <w:rsid w:val="00D17D4D"/>
    <w:rsid w:val="00D17EBE"/>
    <w:rsid w:val="00D20563"/>
    <w:rsid w:val="00D2094C"/>
    <w:rsid w:val="00D21346"/>
    <w:rsid w:val="00D219C0"/>
    <w:rsid w:val="00D21EBA"/>
    <w:rsid w:val="00D2205D"/>
    <w:rsid w:val="00D2224E"/>
    <w:rsid w:val="00D22D79"/>
    <w:rsid w:val="00D22DA7"/>
    <w:rsid w:val="00D2311E"/>
    <w:rsid w:val="00D23803"/>
    <w:rsid w:val="00D239AA"/>
    <w:rsid w:val="00D243CA"/>
    <w:rsid w:val="00D24440"/>
    <w:rsid w:val="00D246F7"/>
    <w:rsid w:val="00D25122"/>
    <w:rsid w:val="00D251C2"/>
    <w:rsid w:val="00D25297"/>
    <w:rsid w:val="00D25FB1"/>
    <w:rsid w:val="00D260A2"/>
    <w:rsid w:val="00D2636D"/>
    <w:rsid w:val="00D26454"/>
    <w:rsid w:val="00D26C1F"/>
    <w:rsid w:val="00D26C27"/>
    <w:rsid w:val="00D26E97"/>
    <w:rsid w:val="00D273EF"/>
    <w:rsid w:val="00D27590"/>
    <w:rsid w:val="00D275C1"/>
    <w:rsid w:val="00D276CF"/>
    <w:rsid w:val="00D27839"/>
    <w:rsid w:val="00D2794B"/>
    <w:rsid w:val="00D27A6E"/>
    <w:rsid w:val="00D27B63"/>
    <w:rsid w:val="00D27BEC"/>
    <w:rsid w:val="00D27F28"/>
    <w:rsid w:val="00D27F81"/>
    <w:rsid w:val="00D301D2"/>
    <w:rsid w:val="00D30294"/>
    <w:rsid w:val="00D306A2"/>
    <w:rsid w:val="00D30787"/>
    <w:rsid w:val="00D30A43"/>
    <w:rsid w:val="00D30BC8"/>
    <w:rsid w:val="00D30CF8"/>
    <w:rsid w:val="00D32178"/>
    <w:rsid w:val="00D32225"/>
    <w:rsid w:val="00D32513"/>
    <w:rsid w:val="00D3357D"/>
    <w:rsid w:val="00D33895"/>
    <w:rsid w:val="00D33A1B"/>
    <w:rsid w:val="00D33A9B"/>
    <w:rsid w:val="00D33DD8"/>
    <w:rsid w:val="00D3482B"/>
    <w:rsid w:val="00D356AC"/>
    <w:rsid w:val="00D3579E"/>
    <w:rsid w:val="00D35EA9"/>
    <w:rsid w:val="00D35F19"/>
    <w:rsid w:val="00D360E8"/>
    <w:rsid w:val="00D36F8A"/>
    <w:rsid w:val="00D374B4"/>
    <w:rsid w:val="00D3761B"/>
    <w:rsid w:val="00D3794B"/>
    <w:rsid w:val="00D40340"/>
    <w:rsid w:val="00D4049D"/>
    <w:rsid w:val="00D40E3A"/>
    <w:rsid w:val="00D4114F"/>
    <w:rsid w:val="00D4172F"/>
    <w:rsid w:val="00D419C4"/>
    <w:rsid w:val="00D419D2"/>
    <w:rsid w:val="00D41CAB"/>
    <w:rsid w:val="00D420DA"/>
    <w:rsid w:val="00D43486"/>
    <w:rsid w:val="00D43882"/>
    <w:rsid w:val="00D43CC4"/>
    <w:rsid w:val="00D44C3B"/>
    <w:rsid w:val="00D44CB3"/>
    <w:rsid w:val="00D44EB8"/>
    <w:rsid w:val="00D4565B"/>
    <w:rsid w:val="00D45799"/>
    <w:rsid w:val="00D45DF0"/>
    <w:rsid w:val="00D45E66"/>
    <w:rsid w:val="00D46530"/>
    <w:rsid w:val="00D46A12"/>
    <w:rsid w:val="00D471BC"/>
    <w:rsid w:val="00D47849"/>
    <w:rsid w:val="00D47F2B"/>
    <w:rsid w:val="00D501FE"/>
    <w:rsid w:val="00D50660"/>
    <w:rsid w:val="00D50718"/>
    <w:rsid w:val="00D50EB7"/>
    <w:rsid w:val="00D514DC"/>
    <w:rsid w:val="00D51A0E"/>
    <w:rsid w:val="00D51AFB"/>
    <w:rsid w:val="00D51FE1"/>
    <w:rsid w:val="00D51FFA"/>
    <w:rsid w:val="00D520D2"/>
    <w:rsid w:val="00D52543"/>
    <w:rsid w:val="00D52551"/>
    <w:rsid w:val="00D5266A"/>
    <w:rsid w:val="00D52BA0"/>
    <w:rsid w:val="00D53238"/>
    <w:rsid w:val="00D539BC"/>
    <w:rsid w:val="00D542A5"/>
    <w:rsid w:val="00D54D01"/>
    <w:rsid w:val="00D55633"/>
    <w:rsid w:val="00D559E8"/>
    <w:rsid w:val="00D55AA1"/>
    <w:rsid w:val="00D55DE3"/>
    <w:rsid w:val="00D5647E"/>
    <w:rsid w:val="00D56B01"/>
    <w:rsid w:val="00D56B07"/>
    <w:rsid w:val="00D56B18"/>
    <w:rsid w:val="00D5764B"/>
    <w:rsid w:val="00D577A5"/>
    <w:rsid w:val="00D57AEB"/>
    <w:rsid w:val="00D57FE6"/>
    <w:rsid w:val="00D60079"/>
    <w:rsid w:val="00D602FC"/>
    <w:rsid w:val="00D606C1"/>
    <w:rsid w:val="00D608D3"/>
    <w:rsid w:val="00D60AFD"/>
    <w:rsid w:val="00D619D9"/>
    <w:rsid w:val="00D61CAF"/>
    <w:rsid w:val="00D61F96"/>
    <w:rsid w:val="00D62076"/>
    <w:rsid w:val="00D6253C"/>
    <w:rsid w:val="00D62A48"/>
    <w:rsid w:val="00D62ED1"/>
    <w:rsid w:val="00D636C8"/>
    <w:rsid w:val="00D63B86"/>
    <w:rsid w:val="00D63E45"/>
    <w:rsid w:val="00D63F47"/>
    <w:rsid w:val="00D641A8"/>
    <w:rsid w:val="00D64283"/>
    <w:rsid w:val="00D64390"/>
    <w:rsid w:val="00D64468"/>
    <w:rsid w:val="00D64530"/>
    <w:rsid w:val="00D64A4B"/>
    <w:rsid w:val="00D64B30"/>
    <w:rsid w:val="00D64BC1"/>
    <w:rsid w:val="00D64C44"/>
    <w:rsid w:val="00D6703B"/>
    <w:rsid w:val="00D67114"/>
    <w:rsid w:val="00D6771A"/>
    <w:rsid w:val="00D7001B"/>
    <w:rsid w:val="00D70165"/>
    <w:rsid w:val="00D70166"/>
    <w:rsid w:val="00D702BD"/>
    <w:rsid w:val="00D7042D"/>
    <w:rsid w:val="00D7090E"/>
    <w:rsid w:val="00D71349"/>
    <w:rsid w:val="00D71428"/>
    <w:rsid w:val="00D71C8B"/>
    <w:rsid w:val="00D71DC1"/>
    <w:rsid w:val="00D727A0"/>
    <w:rsid w:val="00D727E0"/>
    <w:rsid w:val="00D72900"/>
    <w:rsid w:val="00D72BF6"/>
    <w:rsid w:val="00D72CC2"/>
    <w:rsid w:val="00D72EF0"/>
    <w:rsid w:val="00D73434"/>
    <w:rsid w:val="00D73722"/>
    <w:rsid w:val="00D73C21"/>
    <w:rsid w:val="00D74033"/>
    <w:rsid w:val="00D74445"/>
    <w:rsid w:val="00D745F5"/>
    <w:rsid w:val="00D74BEA"/>
    <w:rsid w:val="00D74CAA"/>
    <w:rsid w:val="00D751C5"/>
    <w:rsid w:val="00D751D9"/>
    <w:rsid w:val="00D757D2"/>
    <w:rsid w:val="00D75B30"/>
    <w:rsid w:val="00D75C8A"/>
    <w:rsid w:val="00D75E3B"/>
    <w:rsid w:val="00D75F1A"/>
    <w:rsid w:val="00D7647B"/>
    <w:rsid w:val="00D7647F"/>
    <w:rsid w:val="00D768F0"/>
    <w:rsid w:val="00D76F68"/>
    <w:rsid w:val="00D7774C"/>
    <w:rsid w:val="00D77785"/>
    <w:rsid w:val="00D77B2A"/>
    <w:rsid w:val="00D77FBB"/>
    <w:rsid w:val="00D800F8"/>
    <w:rsid w:val="00D80309"/>
    <w:rsid w:val="00D8041D"/>
    <w:rsid w:val="00D805F1"/>
    <w:rsid w:val="00D80856"/>
    <w:rsid w:val="00D80A28"/>
    <w:rsid w:val="00D80D99"/>
    <w:rsid w:val="00D81017"/>
    <w:rsid w:val="00D82023"/>
    <w:rsid w:val="00D8222A"/>
    <w:rsid w:val="00D82252"/>
    <w:rsid w:val="00D824DC"/>
    <w:rsid w:val="00D82A85"/>
    <w:rsid w:val="00D82C11"/>
    <w:rsid w:val="00D82FA1"/>
    <w:rsid w:val="00D83542"/>
    <w:rsid w:val="00D836C0"/>
    <w:rsid w:val="00D85306"/>
    <w:rsid w:val="00D8544F"/>
    <w:rsid w:val="00D85477"/>
    <w:rsid w:val="00D85687"/>
    <w:rsid w:val="00D85860"/>
    <w:rsid w:val="00D86132"/>
    <w:rsid w:val="00D86257"/>
    <w:rsid w:val="00D86529"/>
    <w:rsid w:val="00D866C4"/>
    <w:rsid w:val="00D86E28"/>
    <w:rsid w:val="00D87577"/>
    <w:rsid w:val="00D87687"/>
    <w:rsid w:val="00D90059"/>
    <w:rsid w:val="00D90269"/>
    <w:rsid w:val="00D90793"/>
    <w:rsid w:val="00D90936"/>
    <w:rsid w:val="00D90B06"/>
    <w:rsid w:val="00D9144D"/>
    <w:rsid w:val="00D91571"/>
    <w:rsid w:val="00D9167F"/>
    <w:rsid w:val="00D916B6"/>
    <w:rsid w:val="00D9186C"/>
    <w:rsid w:val="00D92B60"/>
    <w:rsid w:val="00D92CA8"/>
    <w:rsid w:val="00D93194"/>
    <w:rsid w:val="00D9322F"/>
    <w:rsid w:val="00D93839"/>
    <w:rsid w:val="00D93EFB"/>
    <w:rsid w:val="00D93F78"/>
    <w:rsid w:val="00D941BA"/>
    <w:rsid w:val="00D9430D"/>
    <w:rsid w:val="00D947BF"/>
    <w:rsid w:val="00D950C3"/>
    <w:rsid w:val="00D95E07"/>
    <w:rsid w:val="00D96093"/>
    <w:rsid w:val="00D96151"/>
    <w:rsid w:val="00D962BE"/>
    <w:rsid w:val="00D96870"/>
    <w:rsid w:val="00D96AE8"/>
    <w:rsid w:val="00D97024"/>
    <w:rsid w:val="00D9792B"/>
    <w:rsid w:val="00D97A2F"/>
    <w:rsid w:val="00D97C98"/>
    <w:rsid w:val="00D97F09"/>
    <w:rsid w:val="00DA0CDD"/>
    <w:rsid w:val="00DA11FE"/>
    <w:rsid w:val="00DA1459"/>
    <w:rsid w:val="00DA1872"/>
    <w:rsid w:val="00DA1BBA"/>
    <w:rsid w:val="00DA1CCC"/>
    <w:rsid w:val="00DA1E34"/>
    <w:rsid w:val="00DA1E83"/>
    <w:rsid w:val="00DA1EFD"/>
    <w:rsid w:val="00DA2166"/>
    <w:rsid w:val="00DA2707"/>
    <w:rsid w:val="00DA32CB"/>
    <w:rsid w:val="00DA340A"/>
    <w:rsid w:val="00DA3440"/>
    <w:rsid w:val="00DA3BD5"/>
    <w:rsid w:val="00DA3F31"/>
    <w:rsid w:val="00DA45F1"/>
    <w:rsid w:val="00DA4765"/>
    <w:rsid w:val="00DA485E"/>
    <w:rsid w:val="00DA48D5"/>
    <w:rsid w:val="00DA4D20"/>
    <w:rsid w:val="00DA4EC1"/>
    <w:rsid w:val="00DA4F8D"/>
    <w:rsid w:val="00DA50F1"/>
    <w:rsid w:val="00DA52F6"/>
    <w:rsid w:val="00DA5C33"/>
    <w:rsid w:val="00DA6243"/>
    <w:rsid w:val="00DA65C9"/>
    <w:rsid w:val="00DA6643"/>
    <w:rsid w:val="00DA6F6A"/>
    <w:rsid w:val="00DA7919"/>
    <w:rsid w:val="00DA7987"/>
    <w:rsid w:val="00DA7CC2"/>
    <w:rsid w:val="00DA7E93"/>
    <w:rsid w:val="00DB003A"/>
    <w:rsid w:val="00DB0B92"/>
    <w:rsid w:val="00DB0D64"/>
    <w:rsid w:val="00DB0FB6"/>
    <w:rsid w:val="00DB11DC"/>
    <w:rsid w:val="00DB1CD0"/>
    <w:rsid w:val="00DB292A"/>
    <w:rsid w:val="00DB2ED1"/>
    <w:rsid w:val="00DB3005"/>
    <w:rsid w:val="00DB33C3"/>
    <w:rsid w:val="00DB38AF"/>
    <w:rsid w:val="00DB3F96"/>
    <w:rsid w:val="00DB445B"/>
    <w:rsid w:val="00DB4DE9"/>
    <w:rsid w:val="00DB5D04"/>
    <w:rsid w:val="00DB6CBE"/>
    <w:rsid w:val="00DB726A"/>
    <w:rsid w:val="00DB762D"/>
    <w:rsid w:val="00DB777C"/>
    <w:rsid w:val="00DB7B62"/>
    <w:rsid w:val="00DB7EC2"/>
    <w:rsid w:val="00DC022D"/>
    <w:rsid w:val="00DC0393"/>
    <w:rsid w:val="00DC05CD"/>
    <w:rsid w:val="00DC0B5E"/>
    <w:rsid w:val="00DC1D30"/>
    <w:rsid w:val="00DC1EB9"/>
    <w:rsid w:val="00DC223F"/>
    <w:rsid w:val="00DC2445"/>
    <w:rsid w:val="00DC2C6E"/>
    <w:rsid w:val="00DC2FA5"/>
    <w:rsid w:val="00DC30B9"/>
    <w:rsid w:val="00DC31CB"/>
    <w:rsid w:val="00DC329F"/>
    <w:rsid w:val="00DC39D3"/>
    <w:rsid w:val="00DC3B6C"/>
    <w:rsid w:val="00DC3C20"/>
    <w:rsid w:val="00DC403E"/>
    <w:rsid w:val="00DC41DD"/>
    <w:rsid w:val="00DC44B6"/>
    <w:rsid w:val="00DC4686"/>
    <w:rsid w:val="00DC469A"/>
    <w:rsid w:val="00DC5061"/>
    <w:rsid w:val="00DC63FA"/>
    <w:rsid w:val="00DC6CA5"/>
    <w:rsid w:val="00DC6EC8"/>
    <w:rsid w:val="00DC7940"/>
    <w:rsid w:val="00DC7A47"/>
    <w:rsid w:val="00DC7B1B"/>
    <w:rsid w:val="00DC7B38"/>
    <w:rsid w:val="00DC7F16"/>
    <w:rsid w:val="00DD009B"/>
    <w:rsid w:val="00DD03BC"/>
    <w:rsid w:val="00DD0C21"/>
    <w:rsid w:val="00DD0EFC"/>
    <w:rsid w:val="00DD0EFE"/>
    <w:rsid w:val="00DD0F20"/>
    <w:rsid w:val="00DD0FA5"/>
    <w:rsid w:val="00DD0FEC"/>
    <w:rsid w:val="00DD13DF"/>
    <w:rsid w:val="00DD14C6"/>
    <w:rsid w:val="00DD2222"/>
    <w:rsid w:val="00DD22B4"/>
    <w:rsid w:val="00DD2495"/>
    <w:rsid w:val="00DD27EA"/>
    <w:rsid w:val="00DD2A37"/>
    <w:rsid w:val="00DD2E49"/>
    <w:rsid w:val="00DD2F26"/>
    <w:rsid w:val="00DD30A1"/>
    <w:rsid w:val="00DD30CE"/>
    <w:rsid w:val="00DD3426"/>
    <w:rsid w:val="00DD37DD"/>
    <w:rsid w:val="00DD3862"/>
    <w:rsid w:val="00DD3939"/>
    <w:rsid w:val="00DD3AF7"/>
    <w:rsid w:val="00DD3B9C"/>
    <w:rsid w:val="00DD3ED4"/>
    <w:rsid w:val="00DD3FD0"/>
    <w:rsid w:val="00DD4B71"/>
    <w:rsid w:val="00DD4BF6"/>
    <w:rsid w:val="00DD5462"/>
    <w:rsid w:val="00DD5721"/>
    <w:rsid w:val="00DD587F"/>
    <w:rsid w:val="00DD5BA4"/>
    <w:rsid w:val="00DD6023"/>
    <w:rsid w:val="00DD6340"/>
    <w:rsid w:val="00DD6628"/>
    <w:rsid w:val="00DD6CCE"/>
    <w:rsid w:val="00DD6EA7"/>
    <w:rsid w:val="00DE00A7"/>
    <w:rsid w:val="00DE102A"/>
    <w:rsid w:val="00DE1C29"/>
    <w:rsid w:val="00DE1CB3"/>
    <w:rsid w:val="00DE1D3E"/>
    <w:rsid w:val="00DE1DA2"/>
    <w:rsid w:val="00DE24C9"/>
    <w:rsid w:val="00DE27E3"/>
    <w:rsid w:val="00DE2B3B"/>
    <w:rsid w:val="00DE2F16"/>
    <w:rsid w:val="00DE3445"/>
    <w:rsid w:val="00DE3884"/>
    <w:rsid w:val="00DE3905"/>
    <w:rsid w:val="00DE3912"/>
    <w:rsid w:val="00DE3A22"/>
    <w:rsid w:val="00DE4048"/>
    <w:rsid w:val="00DE407F"/>
    <w:rsid w:val="00DE4C92"/>
    <w:rsid w:val="00DE5466"/>
    <w:rsid w:val="00DE5669"/>
    <w:rsid w:val="00DE56F2"/>
    <w:rsid w:val="00DE5ACC"/>
    <w:rsid w:val="00DE5F45"/>
    <w:rsid w:val="00DE609C"/>
    <w:rsid w:val="00DE629C"/>
    <w:rsid w:val="00DE6C62"/>
    <w:rsid w:val="00DE7583"/>
    <w:rsid w:val="00DE767A"/>
    <w:rsid w:val="00DE7D0E"/>
    <w:rsid w:val="00DE7EEA"/>
    <w:rsid w:val="00DE7F44"/>
    <w:rsid w:val="00DF0422"/>
    <w:rsid w:val="00DF046B"/>
    <w:rsid w:val="00DF088B"/>
    <w:rsid w:val="00DF0A1D"/>
    <w:rsid w:val="00DF0C23"/>
    <w:rsid w:val="00DF1061"/>
    <w:rsid w:val="00DF1273"/>
    <w:rsid w:val="00DF1294"/>
    <w:rsid w:val="00DF1316"/>
    <w:rsid w:val="00DF1337"/>
    <w:rsid w:val="00DF14D6"/>
    <w:rsid w:val="00DF1908"/>
    <w:rsid w:val="00DF1E3B"/>
    <w:rsid w:val="00DF1EB1"/>
    <w:rsid w:val="00DF1F8C"/>
    <w:rsid w:val="00DF201A"/>
    <w:rsid w:val="00DF21BB"/>
    <w:rsid w:val="00DF2474"/>
    <w:rsid w:val="00DF26B4"/>
    <w:rsid w:val="00DF270D"/>
    <w:rsid w:val="00DF27BA"/>
    <w:rsid w:val="00DF30E9"/>
    <w:rsid w:val="00DF3514"/>
    <w:rsid w:val="00DF367B"/>
    <w:rsid w:val="00DF4EE7"/>
    <w:rsid w:val="00DF53E7"/>
    <w:rsid w:val="00DF555D"/>
    <w:rsid w:val="00DF60A5"/>
    <w:rsid w:val="00DF6457"/>
    <w:rsid w:val="00DF6A03"/>
    <w:rsid w:val="00DF6BE5"/>
    <w:rsid w:val="00DF7095"/>
    <w:rsid w:val="00DF7165"/>
    <w:rsid w:val="00DF720A"/>
    <w:rsid w:val="00DF720E"/>
    <w:rsid w:val="00DF72B7"/>
    <w:rsid w:val="00DF75B3"/>
    <w:rsid w:val="00DF7905"/>
    <w:rsid w:val="00E00A88"/>
    <w:rsid w:val="00E0115A"/>
    <w:rsid w:val="00E01364"/>
    <w:rsid w:val="00E01BD1"/>
    <w:rsid w:val="00E027C1"/>
    <w:rsid w:val="00E02E8B"/>
    <w:rsid w:val="00E02ECA"/>
    <w:rsid w:val="00E03731"/>
    <w:rsid w:val="00E0413E"/>
    <w:rsid w:val="00E0425B"/>
    <w:rsid w:val="00E042F8"/>
    <w:rsid w:val="00E04655"/>
    <w:rsid w:val="00E048BC"/>
    <w:rsid w:val="00E04907"/>
    <w:rsid w:val="00E04E63"/>
    <w:rsid w:val="00E0541B"/>
    <w:rsid w:val="00E0554E"/>
    <w:rsid w:val="00E05BB7"/>
    <w:rsid w:val="00E05D8C"/>
    <w:rsid w:val="00E0601B"/>
    <w:rsid w:val="00E06754"/>
    <w:rsid w:val="00E06995"/>
    <w:rsid w:val="00E078F3"/>
    <w:rsid w:val="00E07A8A"/>
    <w:rsid w:val="00E10202"/>
    <w:rsid w:val="00E1026C"/>
    <w:rsid w:val="00E10392"/>
    <w:rsid w:val="00E108CC"/>
    <w:rsid w:val="00E10902"/>
    <w:rsid w:val="00E10C4A"/>
    <w:rsid w:val="00E10DB5"/>
    <w:rsid w:val="00E1132C"/>
    <w:rsid w:val="00E114F5"/>
    <w:rsid w:val="00E11C4A"/>
    <w:rsid w:val="00E11EBE"/>
    <w:rsid w:val="00E12013"/>
    <w:rsid w:val="00E12AB1"/>
    <w:rsid w:val="00E1330E"/>
    <w:rsid w:val="00E135A2"/>
    <w:rsid w:val="00E13E23"/>
    <w:rsid w:val="00E14682"/>
    <w:rsid w:val="00E146EB"/>
    <w:rsid w:val="00E147C5"/>
    <w:rsid w:val="00E14878"/>
    <w:rsid w:val="00E14AF1"/>
    <w:rsid w:val="00E14BEE"/>
    <w:rsid w:val="00E14E3E"/>
    <w:rsid w:val="00E1501F"/>
    <w:rsid w:val="00E15FE3"/>
    <w:rsid w:val="00E1616D"/>
    <w:rsid w:val="00E162A9"/>
    <w:rsid w:val="00E16349"/>
    <w:rsid w:val="00E16821"/>
    <w:rsid w:val="00E16A49"/>
    <w:rsid w:val="00E16DE4"/>
    <w:rsid w:val="00E17868"/>
    <w:rsid w:val="00E178A6"/>
    <w:rsid w:val="00E17EA3"/>
    <w:rsid w:val="00E20019"/>
    <w:rsid w:val="00E202F4"/>
    <w:rsid w:val="00E20313"/>
    <w:rsid w:val="00E20636"/>
    <w:rsid w:val="00E209C9"/>
    <w:rsid w:val="00E20AFA"/>
    <w:rsid w:val="00E213AB"/>
    <w:rsid w:val="00E21667"/>
    <w:rsid w:val="00E2168A"/>
    <w:rsid w:val="00E221E4"/>
    <w:rsid w:val="00E22212"/>
    <w:rsid w:val="00E2248E"/>
    <w:rsid w:val="00E22B8D"/>
    <w:rsid w:val="00E233D0"/>
    <w:rsid w:val="00E23A90"/>
    <w:rsid w:val="00E2481B"/>
    <w:rsid w:val="00E248E4"/>
    <w:rsid w:val="00E24C38"/>
    <w:rsid w:val="00E257E1"/>
    <w:rsid w:val="00E25D18"/>
    <w:rsid w:val="00E25F08"/>
    <w:rsid w:val="00E26197"/>
    <w:rsid w:val="00E26204"/>
    <w:rsid w:val="00E2629D"/>
    <w:rsid w:val="00E26625"/>
    <w:rsid w:val="00E26754"/>
    <w:rsid w:val="00E2714B"/>
    <w:rsid w:val="00E273D4"/>
    <w:rsid w:val="00E279FD"/>
    <w:rsid w:val="00E30143"/>
    <w:rsid w:val="00E306FA"/>
    <w:rsid w:val="00E30E1C"/>
    <w:rsid w:val="00E312DC"/>
    <w:rsid w:val="00E313C7"/>
    <w:rsid w:val="00E31455"/>
    <w:rsid w:val="00E32042"/>
    <w:rsid w:val="00E3227C"/>
    <w:rsid w:val="00E32437"/>
    <w:rsid w:val="00E32751"/>
    <w:rsid w:val="00E32A85"/>
    <w:rsid w:val="00E32CCE"/>
    <w:rsid w:val="00E32D40"/>
    <w:rsid w:val="00E32E8B"/>
    <w:rsid w:val="00E334A8"/>
    <w:rsid w:val="00E3383C"/>
    <w:rsid w:val="00E338A0"/>
    <w:rsid w:val="00E341EE"/>
    <w:rsid w:val="00E343C5"/>
    <w:rsid w:val="00E3492C"/>
    <w:rsid w:val="00E34B24"/>
    <w:rsid w:val="00E34BA6"/>
    <w:rsid w:val="00E35253"/>
    <w:rsid w:val="00E353DE"/>
    <w:rsid w:val="00E3658A"/>
    <w:rsid w:val="00E37215"/>
    <w:rsid w:val="00E3768B"/>
    <w:rsid w:val="00E400AD"/>
    <w:rsid w:val="00E4015F"/>
    <w:rsid w:val="00E401CD"/>
    <w:rsid w:val="00E401F8"/>
    <w:rsid w:val="00E40438"/>
    <w:rsid w:val="00E40811"/>
    <w:rsid w:val="00E41CC4"/>
    <w:rsid w:val="00E42049"/>
    <w:rsid w:val="00E42564"/>
    <w:rsid w:val="00E42883"/>
    <w:rsid w:val="00E42A96"/>
    <w:rsid w:val="00E4309C"/>
    <w:rsid w:val="00E43833"/>
    <w:rsid w:val="00E43F4D"/>
    <w:rsid w:val="00E43F9F"/>
    <w:rsid w:val="00E4484E"/>
    <w:rsid w:val="00E44C3A"/>
    <w:rsid w:val="00E44E2E"/>
    <w:rsid w:val="00E45F44"/>
    <w:rsid w:val="00E46014"/>
    <w:rsid w:val="00E460FD"/>
    <w:rsid w:val="00E4654A"/>
    <w:rsid w:val="00E46556"/>
    <w:rsid w:val="00E46652"/>
    <w:rsid w:val="00E46856"/>
    <w:rsid w:val="00E46F75"/>
    <w:rsid w:val="00E4747D"/>
    <w:rsid w:val="00E47673"/>
    <w:rsid w:val="00E476F3"/>
    <w:rsid w:val="00E479FB"/>
    <w:rsid w:val="00E47E67"/>
    <w:rsid w:val="00E5009C"/>
    <w:rsid w:val="00E50492"/>
    <w:rsid w:val="00E50AD8"/>
    <w:rsid w:val="00E50F0F"/>
    <w:rsid w:val="00E50F61"/>
    <w:rsid w:val="00E510B8"/>
    <w:rsid w:val="00E51106"/>
    <w:rsid w:val="00E51287"/>
    <w:rsid w:val="00E5142B"/>
    <w:rsid w:val="00E51B04"/>
    <w:rsid w:val="00E51FBB"/>
    <w:rsid w:val="00E52B90"/>
    <w:rsid w:val="00E52D25"/>
    <w:rsid w:val="00E52ECD"/>
    <w:rsid w:val="00E530C4"/>
    <w:rsid w:val="00E53507"/>
    <w:rsid w:val="00E539FD"/>
    <w:rsid w:val="00E53D51"/>
    <w:rsid w:val="00E53E1C"/>
    <w:rsid w:val="00E53E32"/>
    <w:rsid w:val="00E54108"/>
    <w:rsid w:val="00E547F7"/>
    <w:rsid w:val="00E54AE3"/>
    <w:rsid w:val="00E54F1B"/>
    <w:rsid w:val="00E54F9E"/>
    <w:rsid w:val="00E5503C"/>
    <w:rsid w:val="00E55601"/>
    <w:rsid w:val="00E559E0"/>
    <w:rsid w:val="00E55D2F"/>
    <w:rsid w:val="00E561C9"/>
    <w:rsid w:val="00E566A7"/>
    <w:rsid w:val="00E56A70"/>
    <w:rsid w:val="00E57EAE"/>
    <w:rsid w:val="00E60665"/>
    <w:rsid w:val="00E607C7"/>
    <w:rsid w:val="00E60C0E"/>
    <w:rsid w:val="00E61240"/>
    <w:rsid w:val="00E61929"/>
    <w:rsid w:val="00E61BD0"/>
    <w:rsid w:val="00E6256F"/>
    <w:rsid w:val="00E62709"/>
    <w:rsid w:val="00E627C2"/>
    <w:rsid w:val="00E62B7D"/>
    <w:rsid w:val="00E62E94"/>
    <w:rsid w:val="00E62EA5"/>
    <w:rsid w:val="00E63194"/>
    <w:rsid w:val="00E63DEC"/>
    <w:rsid w:val="00E63F3C"/>
    <w:rsid w:val="00E6402F"/>
    <w:rsid w:val="00E640DC"/>
    <w:rsid w:val="00E64405"/>
    <w:rsid w:val="00E657A8"/>
    <w:rsid w:val="00E65D17"/>
    <w:rsid w:val="00E6632F"/>
    <w:rsid w:val="00E667EB"/>
    <w:rsid w:val="00E6689C"/>
    <w:rsid w:val="00E66919"/>
    <w:rsid w:val="00E6719A"/>
    <w:rsid w:val="00E672AF"/>
    <w:rsid w:val="00E67832"/>
    <w:rsid w:val="00E67871"/>
    <w:rsid w:val="00E67FAD"/>
    <w:rsid w:val="00E701EE"/>
    <w:rsid w:val="00E70493"/>
    <w:rsid w:val="00E70BAB"/>
    <w:rsid w:val="00E70BBF"/>
    <w:rsid w:val="00E71125"/>
    <w:rsid w:val="00E7173B"/>
    <w:rsid w:val="00E71889"/>
    <w:rsid w:val="00E71F6B"/>
    <w:rsid w:val="00E72886"/>
    <w:rsid w:val="00E72923"/>
    <w:rsid w:val="00E73339"/>
    <w:rsid w:val="00E737A9"/>
    <w:rsid w:val="00E73A0B"/>
    <w:rsid w:val="00E73CBB"/>
    <w:rsid w:val="00E73EE4"/>
    <w:rsid w:val="00E744D3"/>
    <w:rsid w:val="00E74582"/>
    <w:rsid w:val="00E7468E"/>
    <w:rsid w:val="00E74891"/>
    <w:rsid w:val="00E75105"/>
    <w:rsid w:val="00E752BE"/>
    <w:rsid w:val="00E7553F"/>
    <w:rsid w:val="00E7650B"/>
    <w:rsid w:val="00E76EAE"/>
    <w:rsid w:val="00E772E8"/>
    <w:rsid w:val="00E774D7"/>
    <w:rsid w:val="00E77581"/>
    <w:rsid w:val="00E77597"/>
    <w:rsid w:val="00E77AB0"/>
    <w:rsid w:val="00E77F08"/>
    <w:rsid w:val="00E80068"/>
    <w:rsid w:val="00E805E7"/>
    <w:rsid w:val="00E8070C"/>
    <w:rsid w:val="00E80A28"/>
    <w:rsid w:val="00E814E1"/>
    <w:rsid w:val="00E81500"/>
    <w:rsid w:val="00E81578"/>
    <w:rsid w:val="00E81992"/>
    <w:rsid w:val="00E81BB4"/>
    <w:rsid w:val="00E81C72"/>
    <w:rsid w:val="00E81DBE"/>
    <w:rsid w:val="00E8243A"/>
    <w:rsid w:val="00E82A0F"/>
    <w:rsid w:val="00E837C9"/>
    <w:rsid w:val="00E83A71"/>
    <w:rsid w:val="00E8402F"/>
    <w:rsid w:val="00E8431D"/>
    <w:rsid w:val="00E8458B"/>
    <w:rsid w:val="00E85172"/>
    <w:rsid w:val="00E8575D"/>
    <w:rsid w:val="00E858CD"/>
    <w:rsid w:val="00E859E8"/>
    <w:rsid w:val="00E864C6"/>
    <w:rsid w:val="00E8692E"/>
    <w:rsid w:val="00E871FB"/>
    <w:rsid w:val="00E877FB"/>
    <w:rsid w:val="00E879CD"/>
    <w:rsid w:val="00E87B0C"/>
    <w:rsid w:val="00E87CA2"/>
    <w:rsid w:val="00E87D22"/>
    <w:rsid w:val="00E901AC"/>
    <w:rsid w:val="00E90301"/>
    <w:rsid w:val="00E90447"/>
    <w:rsid w:val="00E9062A"/>
    <w:rsid w:val="00E9077F"/>
    <w:rsid w:val="00E90C6D"/>
    <w:rsid w:val="00E9126C"/>
    <w:rsid w:val="00E9200A"/>
    <w:rsid w:val="00E9208E"/>
    <w:rsid w:val="00E9219A"/>
    <w:rsid w:val="00E923F1"/>
    <w:rsid w:val="00E92A37"/>
    <w:rsid w:val="00E92D26"/>
    <w:rsid w:val="00E94424"/>
    <w:rsid w:val="00E94C05"/>
    <w:rsid w:val="00E94EA0"/>
    <w:rsid w:val="00E95687"/>
    <w:rsid w:val="00E9578F"/>
    <w:rsid w:val="00E957F6"/>
    <w:rsid w:val="00E95A7E"/>
    <w:rsid w:val="00E96132"/>
    <w:rsid w:val="00E96346"/>
    <w:rsid w:val="00E96663"/>
    <w:rsid w:val="00E9677C"/>
    <w:rsid w:val="00E96A78"/>
    <w:rsid w:val="00E972EE"/>
    <w:rsid w:val="00EA008C"/>
    <w:rsid w:val="00EA02DC"/>
    <w:rsid w:val="00EA05D0"/>
    <w:rsid w:val="00EA0CBA"/>
    <w:rsid w:val="00EA0DC5"/>
    <w:rsid w:val="00EA120D"/>
    <w:rsid w:val="00EA1219"/>
    <w:rsid w:val="00EA17AD"/>
    <w:rsid w:val="00EA1C33"/>
    <w:rsid w:val="00EA2744"/>
    <w:rsid w:val="00EA2C53"/>
    <w:rsid w:val="00EA2C7F"/>
    <w:rsid w:val="00EA2D63"/>
    <w:rsid w:val="00EA2DD4"/>
    <w:rsid w:val="00EA2E7D"/>
    <w:rsid w:val="00EA3581"/>
    <w:rsid w:val="00EA3873"/>
    <w:rsid w:val="00EA4103"/>
    <w:rsid w:val="00EA467C"/>
    <w:rsid w:val="00EA4928"/>
    <w:rsid w:val="00EA4C3D"/>
    <w:rsid w:val="00EA5760"/>
    <w:rsid w:val="00EA5C54"/>
    <w:rsid w:val="00EA5D12"/>
    <w:rsid w:val="00EA5DA5"/>
    <w:rsid w:val="00EA6054"/>
    <w:rsid w:val="00EA66B0"/>
    <w:rsid w:val="00EA6730"/>
    <w:rsid w:val="00EA6D73"/>
    <w:rsid w:val="00EA72BA"/>
    <w:rsid w:val="00EA7868"/>
    <w:rsid w:val="00EA7CBD"/>
    <w:rsid w:val="00EB0636"/>
    <w:rsid w:val="00EB1237"/>
    <w:rsid w:val="00EB12DC"/>
    <w:rsid w:val="00EB1ACB"/>
    <w:rsid w:val="00EB1AF2"/>
    <w:rsid w:val="00EB1CDF"/>
    <w:rsid w:val="00EB2760"/>
    <w:rsid w:val="00EB3941"/>
    <w:rsid w:val="00EB3BD4"/>
    <w:rsid w:val="00EB4004"/>
    <w:rsid w:val="00EB4026"/>
    <w:rsid w:val="00EB40DF"/>
    <w:rsid w:val="00EB462C"/>
    <w:rsid w:val="00EB55C9"/>
    <w:rsid w:val="00EB584F"/>
    <w:rsid w:val="00EB5E0D"/>
    <w:rsid w:val="00EB5F2D"/>
    <w:rsid w:val="00EB63E3"/>
    <w:rsid w:val="00EB66BA"/>
    <w:rsid w:val="00EB7060"/>
    <w:rsid w:val="00EB7453"/>
    <w:rsid w:val="00EB7696"/>
    <w:rsid w:val="00EB7982"/>
    <w:rsid w:val="00EB7F62"/>
    <w:rsid w:val="00EC0193"/>
    <w:rsid w:val="00EC07E5"/>
    <w:rsid w:val="00EC0931"/>
    <w:rsid w:val="00EC0B8E"/>
    <w:rsid w:val="00EC1161"/>
    <w:rsid w:val="00EC12EF"/>
    <w:rsid w:val="00EC1F9B"/>
    <w:rsid w:val="00EC21FE"/>
    <w:rsid w:val="00EC2B48"/>
    <w:rsid w:val="00EC3116"/>
    <w:rsid w:val="00EC3457"/>
    <w:rsid w:val="00EC3644"/>
    <w:rsid w:val="00EC3764"/>
    <w:rsid w:val="00EC3B0C"/>
    <w:rsid w:val="00EC3EBB"/>
    <w:rsid w:val="00EC4185"/>
    <w:rsid w:val="00EC4662"/>
    <w:rsid w:val="00EC55FF"/>
    <w:rsid w:val="00EC5F8B"/>
    <w:rsid w:val="00EC5FB5"/>
    <w:rsid w:val="00EC669F"/>
    <w:rsid w:val="00EC7275"/>
    <w:rsid w:val="00EC72CF"/>
    <w:rsid w:val="00EC7EBD"/>
    <w:rsid w:val="00ED04A0"/>
    <w:rsid w:val="00ED11F0"/>
    <w:rsid w:val="00ED1A4D"/>
    <w:rsid w:val="00ED2E4A"/>
    <w:rsid w:val="00ED2F9B"/>
    <w:rsid w:val="00ED33A0"/>
    <w:rsid w:val="00ED3477"/>
    <w:rsid w:val="00ED35E4"/>
    <w:rsid w:val="00ED3933"/>
    <w:rsid w:val="00ED3A6F"/>
    <w:rsid w:val="00ED3CD6"/>
    <w:rsid w:val="00ED3D16"/>
    <w:rsid w:val="00ED3F9C"/>
    <w:rsid w:val="00ED42CE"/>
    <w:rsid w:val="00ED4FFD"/>
    <w:rsid w:val="00ED55B8"/>
    <w:rsid w:val="00ED5BF3"/>
    <w:rsid w:val="00ED5D6F"/>
    <w:rsid w:val="00ED5F0E"/>
    <w:rsid w:val="00ED6716"/>
    <w:rsid w:val="00ED6830"/>
    <w:rsid w:val="00ED700E"/>
    <w:rsid w:val="00ED7433"/>
    <w:rsid w:val="00ED7511"/>
    <w:rsid w:val="00ED77BA"/>
    <w:rsid w:val="00ED7E93"/>
    <w:rsid w:val="00EE02A5"/>
    <w:rsid w:val="00EE05F8"/>
    <w:rsid w:val="00EE0B3E"/>
    <w:rsid w:val="00EE12CE"/>
    <w:rsid w:val="00EE1894"/>
    <w:rsid w:val="00EE1CE9"/>
    <w:rsid w:val="00EE3A28"/>
    <w:rsid w:val="00EE4065"/>
    <w:rsid w:val="00EE41CC"/>
    <w:rsid w:val="00EE4AC6"/>
    <w:rsid w:val="00EE4AE5"/>
    <w:rsid w:val="00EE54AA"/>
    <w:rsid w:val="00EE5E71"/>
    <w:rsid w:val="00EE6193"/>
    <w:rsid w:val="00EE736D"/>
    <w:rsid w:val="00EE7751"/>
    <w:rsid w:val="00EE7782"/>
    <w:rsid w:val="00EE795D"/>
    <w:rsid w:val="00EE7A0F"/>
    <w:rsid w:val="00EF019A"/>
    <w:rsid w:val="00EF0225"/>
    <w:rsid w:val="00EF0248"/>
    <w:rsid w:val="00EF0E5C"/>
    <w:rsid w:val="00EF104E"/>
    <w:rsid w:val="00EF1676"/>
    <w:rsid w:val="00EF171E"/>
    <w:rsid w:val="00EF1A1E"/>
    <w:rsid w:val="00EF1C59"/>
    <w:rsid w:val="00EF22EC"/>
    <w:rsid w:val="00EF2554"/>
    <w:rsid w:val="00EF267B"/>
    <w:rsid w:val="00EF27A8"/>
    <w:rsid w:val="00EF2DD3"/>
    <w:rsid w:val="00EF300F"/>
    <w:rsid w:val="00EF3236"/>
    <w:rsid w:val="00EF3589"/>
    <w:rsid w:val="00EF37FC"/>
    <w:rsid w:val="00EF3C3A"/>
    <w:rsid w:val="00EF4261"/>
    <w:rsid w:val="00EF494B"/>
    <w:rsid w:val="00EF4EF8"/>
    <w:rsid w:val="00EF54FD"/>
    <w:rsid w:val="00EF58CF"/>
    <w:rsid w:val="00EF6260"/>
    <w:rsid w:val="00EF6748"/>
    <w:rsid w:val="00EF6959"/>
    <w:rsid w:val="00EF6E54"/>
    <w:rsid w:val="00EF6F28"/>
    <w:rsid w:val="00EF77FA"/>
    <w:rsid w:val="00F008DB"/>
    <w:rsid w:val="00F00F2D"/>
    <w:rsid w:val="00F01787"/>
    <w:rsid w:val="00F01899"/>
    <w:rsid w:val="00F0235F"/>
    <w:rsid w:val="00F02809"/>
    <w:rsid w:val="00F029BD"/>
    <w:rsid w:val="00F02A35"/>
    <w:rsid w:val="00F02CEF"/>
    <w:rsid w:val="00F02DB8"/>
    <w:rsid w:val="00F02DC5"/>
    <w:rsid w:val="00F02F04"/>
    <w:rsid w:val="00F03200"/>
    <w:rsid w:val="00F03D35"/>
    <w:rsid w:val="00F03E8E"/>
    <w:rsid w:val="00F0409E"/>
    <w:rsid w:val="00F043A4"/>
    <w:rsid w:val="00F0457D"/>
    <w:rsid w:val="00F0461D"/>
    <w:rsid w:val="00F046E9"/>
    <w:rsid w:val="00F04761"/>
    <w:rsid w:val="00F047E6"/>
    <w:rsid w:val="00F051FC"/>
    <w:rsid w:val="00F05987"/>
    <w:rsid w:val="00F05D9D"/>
    <w:rsid w:val="00F06274"/>
    <w:rsid w:val="00F06706"/>
    <w:rsid w:val="00F06ED6"/>
    <w:rsid w:val="00F07386"/>
    <w:rsid w:val="00F07399"/>
    <w:rsid w:val="00F0788B"/>
    <w:rsid w:val="00F079AC"/>
    <w:rsid w:val="00F07BF7"/>
    <w:rsid w:val="00F10DED"/>
    <w:rsid w:val="00F113BC"/>
    <w:rsid w:val="00F1172C"/>
    <w:rsid w:val="00F11A15"/>
    <w:rsid w:val="00F11AFE"/>
    <w:rsid w:val="00F11B92"/>
    <w:rsid w:val="00F12194"/>
    <w:rsid w:val="00F121A9"/>
    <w:rsid w:val="00F12464"/>
    <w:rsid w:val="00F124FB"/>
    <w:rsid w:val="00F12A9B"/>
    <w:rsid w:val="00F12CC1"/>
    <w:rsid w:val="00F13065"/>
    <w:rsid w:val="00F131EF"/>
    <w:rsid w:val="00F137F7"/>
    <w:rsid w:val="00F13826"/>
    <w:rsid w:val="00F13989"/>
    <w:rsid w:val="00F13A8A"/>
    <w:rsid w:val="00F143C1"/>
    <w:rsid w:val="00F14978"/>
    <w:rsid w:val="00F14A37"/>
    <w:rsid w:val="00F14C58"/>
    <w:rsid w:val="00F14CE8"/>
    <w:rsid w:val="00F14EAA"/>
    <w:rsid w:val="00F155A2"/>
    <w:rsid w:val="00F15851"/>
    <w:rsid w:val="00F15EA3"/>
    <w:rsid w:val="00F16198"/>
    <w:rsid w:val="00F16EEA"/>
    <w:rsid w:val="00F16EF2"/>
    <w:rsid w:val="00F172E2"/>
    <w:rsid w:val="00F20489"/>
    <w:rsid w:val="00F20561"/>
    <w:rsid w:val="00F20819"/>
    <w:rsid w:val="00F20C15"/>
    <w:rsid w:val="00F20FA0"/>
    <w:rsid w:val="00F211CA"/>
    <w:rsid w:val="00F219E4"/>
    <w:rsid w:val="00F222E4"/>
    <w:rsid w:val="00F224CC"/>
    <w:rsid w:val="00F227DD"/>
    <w:rsid w:val="00F22FD0"/>
    <w:rsid w:val="00F23008"/>
    <w:rsid w:val="00F231B9"/>
    <w:rsid w:val="00F23434"/>
    <w:rsid w:val="00F237D8"/>
    <w:rsid w:val="00F2396E"/>
    <w:rsid w:val="00F23A0A"/>
    <w:rsid w:val="00F23D37"/>
    <w:rsid w:val="00F240C4"/>
    <w:rsid w:val="00F24284"/>
    <w:rsid w:val="00F24A01"/>
    <w:rsid w:val="00F24FF1"/>
    <w:rsid w:val="00F2510F"/>
    <w:rsid w:val="00F252A7"/>
    <w:rsid w:val="00F259A5"/>
    <w:rsid w:val="00F25C6D"/>
    <w:rsid w:val="00F26766"/>
    <w:rsid w:val="00F267FF"/>
    <w:rsid w:val="00F268DC"/>
    <w:rsid w:val="00F26941"/>
    <w:rsid w:val="00F26F01"/>
    <w:rsid w:val="00F275AD"/>
    <w:rsid w:val="00F277DB"/>
    <w:rsid w:val="00F27881"/>
    <w:rsid w:val="00F31175"/>
    <w:rsid w:val="00F3122C"/>
    <w:rsid w:val="00F31336"/>
    <w:rsid w:val="00F31A06"/>
    <w:rsid w:val="00F321DE"/>
    <w:rsid w:val="00F32774"/>
    <w:rsid w:val="00F33C75"/>
    <w:rsid w:val="00F3424B"/>
    <w:rsid w:val="00F343AC"/>
    <w:rsid w:val="00F347B1"/>
    <w:rsid w:val="00F34E72"/>
    <w:rsid w:val="00F34F8E"/>
    <w:rsid w:val="00F35391"/>
    <w:rsid w:val="00F359AD"/>
    <w:rsid w:val="00F35D25"/>
    <w:rsid w:val="00F3608F"/>
    <w:rsid w:val="00F360D7"/>
    <w:rsid w:val="00F36201"/>
    <w:rsid w:val="00F366F2"/>
    <w:rsid w:val="00F367F6"/>
    <w:rsid w:val="00F3683D"/>
    <w:rsid w:val="00F40A4E"/>
    <w:rsid w:val="00F40EF0"/>
    <w:rsid w:val="00F40F24"/>
    <w:rsid w:val="00F41263"/>
    <w:rsid w:val="00F418CC"/>
    <w:rsid w:val="00F41A48"/>
    <w:rsid w:val="00F41B9B"/>
    <w:rsid w:val="00F4225A"/>
    <w:rsid w:val="00F42FBD"/>
    <w:rsid w:val="00F43195"/>
    <w:rsid w:val="00F43C56"/>
    <w:rsid w:val="00F44C09"/>
    <w:rsid w:val="00F45D01"/>
    <w:rsid w:val="00F461A7"/>
    <w:rsid w:val="00F46A55"/>
    <w:rsid w:val="00F46DEF"/>
    <w:rsid w:val="00F46F99"/>
    <w:rsid w:val="00F4752D"/>
    <w:rsid w:val="00F477C0"/>
    <w:rsid w:val="00F4783C"/>
    <w:rsid w:val="00F47C19"/>
    <w:rsid w:val="00F47D68"/>
    <w:rsid w:val="00F47EF9"/>
    <w:rsid w:val="00F50216"/>
    <w:rsid w:val="00F50BD1"/>
    <w:rsid w:val="00F5177A"/>
    <w:rsid w:val="00F5183A"/>
    <w:rsid w:val="00F522EB"/>
    <w:rsid w:val="00F5338C"/>
    <w:rsid w:val="00F534E3"/>
    <w:rsid w:val="00F53778"/>
    <w:rsid w:val="00F53ADA"/>
    <w:rsid w:val="00F53BB6"/>
    <w:rsid w:val="00F53C1C"/>
    <w:rsid w:val="00F53C6E"/>
    <w:rsid w:val="00F549A9"/>
    <w:rsid w:val="00F55044"/>
    <w:rsid w:val="00F550F6"/>
    <w:rsid w:val="00F55A50"/>
    <w:rsid w:val="00F55F05"/>
    <w:rsid w:val="00F56BE0"/>
    <w:rsid w:val="00F56D9D"/>
    <w:rsid w:val="00F571F5"/>
    <w:rsid w:val="00F5761F"/>
    <w:rsid w:val="00F57B9C"/>
    <w:rsid w:val="00F57D4A"/>
    <w:rsid w:val="00F57F45"/>
    <w:rsid w:val="00F605FB"/>
    <w:rsid w:val="00F607CB"/>
    <w:rsid w:val="00F61D04"/>
    <w:rsid w:val="00F61D9B"/>
    <w:rsid w:val="00F6246B"/>
    <w:rsid w:val="00F62996"/>
    <w:rsid w:val="00F629B3"/>
    <w:rsid w:val="00F6307C"/>
    <w:rsid w:val="00F63100"/>
    <w:rsid w:val="00F6373C"/>
    <w:rsid w:val="00F638E4"/>
    <w:rsid w:val="00F63A9B"/>
    <w:rsid w:val="00F63B14"/>
    <w:rsid w:val="00F63F89"/>
    <w:rsid w:val="00F6411A"/>
    <w:rsid w:val="00F65310"/>
    <w:rsid w:val="00F65B16"/>
    <w:rsid w:val="00F65D7F"/>
    <w:rsid w:val="00F65EFA"/>
    <w:rsid w:val="00F65FAB"/>
    <w:rsid w:val="00F66C53"/>
    <w:rsid w:val="00F66F57"/>
    <w:rsid w:val="00F67829"/>
    <w:rsid w:val="00F67C3F"/>
    <w:rsid w:val="00F702A8"/>
    <w:rsid w:val="00F705F4"/>
    <w:rsid w:val="00F70AEC"/>
    <w:rsid w:val="00F70F0B"/>
    <w:rsid w:val="00F716CB"/>
    <w:rsid w:val="00F716EA"/>
    <w:rsid w:val="00F7183A"/>
    <w:rsid w:val="00F71890"/>
    <w:rsid w:val="00F718BA"/>
    <w:rsid w:val="00F71967"/>
    <w:rsid w:val="00F71ADE"/>
    <w:rsid w:val="00F72437"/>
    <w:rsid w:val="00F725D8"/>
    <w:rsid w:val="00F7289B"/>
    <w:rsid w:val="00F729C3"/>
    <w:rsid w:val="00F72BD6"/>
    <w:rsid w:val="00F7365A"/>
    <w:rsid w:val="00F73F33"/>
    <w:rsid w:val="00F73F50"/>
    <w:rsid w:val="00F74BFF"/>
    <w:rsid w:val="00F75007"/>
    <w:rsid w:val="00F7635D"/>
    <w:rsid w:val="00F76842"/>
    <w:rsid w:val="00F76ED7"/>
    <w:rsid w:val="00F77EB8"/>
    <w:rsid w:val="00F80595"/>
    <w:rsid w:val="00F80797"/>
    <w:rsid w:val="00F80BEA"/>
    <w:rsid w:val="00F80D66"/>
    <w:rsid w:val="00F80D6E"/>
    <w:rsid w:val="00F81356"/>
    <w:rsid w:val="00F813F4"/>
    <w:rsid w:val="00F8222B"/>
    <w:rsid w:val="00F8298F"/>
    <w:rsid w:val="00F829EC"/>
    <w:rsid w:val="00F82D68"/>
    <w:rsid w:val="00F83529"/>
    <w:rsid w:val="00F83863"/>
    <w:rsid w:val="00F83981"/>
    <w:rsid w:val="00F84193"/>
    <w:rsid w:val="00F84CFC"/>
    <w:rsid w:val="00F84D55"/>
    <w:rsid w:val="00F8501A"/>
    <w:rsid w:val="00F850E8"/>
    <w:rsid w:val="00F851CC"/>
    <w:rsid w:val="00F851D5"/>
    <w:rsid w:val="00F855B5"/>
    <w:rsid w:val="00F855DB"/>
    <w:rsid w:val="00F85A7D"/>
    <w:rsid w:val="00F86D1D"/>
    <w:rsid w:val="00F8709D"/>
    <w:rsid w:val="00F87201"/>
    <w:rsid w:val="00F87504"/>
    <w:rsid w:val="00F87D81"/>
    <w:rsid w:val="00F900C2"/>
    <w:rsid w:val="00F9083E"/>
    <w:rsid w:val="00F9120F"/>
    <w:rsid w:val="00F92628"/>
    <w:rsid w:val="00F92932"/>
    <w:rsid w:val="00F92A00"/>
    <w:rsid w:val="00F92E22"/>
    <w:rsid w:val="00F935E6"/>
    <w:rsid w:val="00F9369C"/>
    <w:rsid w:val="00F93C2E"/>
    <w:rsid w:val="00F94360"/>
    <w:rsid w:val="00F94446"/>
    <w:rsid w:val="00F94B8D"/>
    <w:rsid w:val="00F954B7"/>
    <w:rsid w:val="00F9551C"/>
    <w:rsid w:val="00F95936"/>
    <w:rsid w:val="00F95B3C"/>
    <w:rsid w:val="00F969DE"/>
    <w:rsid w:val="00F96A44"/>
    <w:rsid w:val="00F97064"/>
    <w:rsid w:val="00F971FE"/>
    <w:rsid w:val="00F9781E"/>
    <w:rsid w:val="00FA009C"/>
    <w:rsid w:val="00FA00D3"/>
    <w:rsid w:val="00FA0D97"/>
    <w:rsid w:val="00FA176E"/>
    <w:rsid w:val="00FA1D61"/>
    <w:rsid w:val="00FA1F25"/>
    <w:rsid w:val="00FA23BF"/>
    <w:rsid w:val="00FA24A4"/>
    <w:rsid w:val="00FA2799"/>
    <w:rsid w:val="00FA28F9"/>
    <w:rsid w:val="00FA2A92"/>
    <w:rsid w:val="00FA3701"/>
    <w:rsid w:val="00FA3A4A"/>
    <w:rsid w:val="00FA3D46"/>
    <w:rsid w:val="00FA4A61"/>
    <w:rsid w:val="00FA4CF8"/>
    <w:rsid w:val="00FA512E"/>
    <w:rsid w:val="00FA540D"/>
    <w:rsid w:val="00FA5AFD"/>
    <w:rsid w:val="00FA5E76"/>
    <w:rsid w:val="00FA61C7"/>
    <w:rsid w:val="00FA6E9E"/>
    <w:rsid w:val="00FA720A"/>
    <w:rsid w:val="00FA76BC"/>
    <w:rsid w:val="00FA7F75"/>
    <w:rsid w:val="00FB01E1"/>
    <w:rsid w:val="00FB028D"/>
    <w:rsid w:val="00FB05E9"/>
    <w:rsid w:val="00FB0B56"/>
    <w:rsid w:val="00FB0BE5"/>
    <w:rsid w:val="00FB0F44"/>
    <w:rsid w:val="00FB0FAB"/>
    <w:rsid w:val="00FB14DE"/>
    <w:rsid w:val="00FB1734"/>
    <w:rsid w:val="00FB1A4F"/>
    <w:rsid w:val="00FB1A7A"/>
    <w:rsid w:val="00FB1BD5"/>
    <w:rsid w:val="00FB2528"/>
    <w:rsid w:val="00FB25DC"/>
    <w:rsid w:val="00FB2C9A"/>
    <w:rsid w:val="00FB30B3"/>
    <w:rsid w:val="00FB3641"/>
    <w:rsid w:val="00FB4384"/>
    <w:rsid w:val="00FB444D"/>
    <w:rsid w:val="00FB46D6"/>
    <w:rsid w:val="00FB4892"/>
    <w:rsid w:val="00FB4AEC"/>
    <w:rsid w:val="00FB4DFE"/>
    <w:rsid w:val="00FB4EAB"/>
    <w:rsid w:val="00FB5201"/>
    <w:rsid w:val="00FB5429"/>
    <w:rsid w:val="00FB557A"/>
    <w:rsid w:val="00FB5766"/>
    <w:rsid w:val="00FB57EC"/>
    <w:rsid w:val="00FB5A98"/>
    <w:rsid w:val="00FB5AF8"/>
    <w:rsid w:val="00FB6396"/>
    <w:rsid w:val="00FB6F5D"/>
    <w:rsid w:val="00FB799A"/>
    <w:rsid w:val="00FC0404"/>
    <w:rsid w:val="00FC04CB"/>
    <w:rsid w:val="00FC07B6"/>
    <w:rsid w:val="00FC09BA"/>
    <w:rsid w:val="00FC106B"/>
    <w:rsid w:val="00FC1298"/>
    <w:rsid w:val="00FC15DB"/>
    <w:rsid w:val="00FC1FF2"/>
    <w:rsid w:val="00FC24B5"/>
    <w:rsid w:val="00FC24E4"/>
    <w:rsid w:val="00FC26AF"/>
    <w:rsid w:val="00FC29C7"/>
    <w:rsid w:val="00FC44C1"/>
    <w:rsid w:val="00FC464E"/>
    <w:rsid w:val="00FC467D"/>
    <w:rsid w:val="00FC4D0D"/>
    <w:rsid w:val="00FC5671"/>
    <w:rsid w:val="00FC583E"/>
    <w:rsid w:val="00FC5867"/>
    <w:rsid w:val="00FC6348"/>
    <w:rsid w:val="00FC6950"/>
    <w:rsid w:val="00FC6A86"/>
    <w:rsid w:val="00FC6AB0"/>
    <w:rsid w:val="00FC6AB8"/>
    <w:rsid w:val="00FC6AEB"/>
    <w:rsid w:val="00FC6DC0"/>
    <w:rsid w:val="00FC6F4A"/>
    <w:rsid w:val="00FC7091"/>
    <w:rsid w:val="00FC7AF0"/>
    <w:rsid w:val="00FD042A"/>
    <w:rsid w:val="00FD0998"/>
    <w:rsid w:val="00FD0CDA"/>
    <w:rsid w:val="00FD0F91"/>
    <w:rsid w:val="00FD1A0E"/>
    <w:rsid w:val="00FD1F9E"/>
    <w:rsid w:val="00FD22BF"/>
    <w:rsid w:val="00FD238D"/>
    <w:rsid w:val="00FD28AC"/>
    <w:rsid w:val="00FD411C"/>
    <w:rsid w:val="00FD4451"/>
    <w:rsid w:val="00FD48E2"/>
    <w:rsid w:val="00FD4BC2"/>
    <w:rsid w:val="00FD4C04"/>
    <w:rsid w:val="00FD5249"/>
    <w:rsid w:val="00FD554A"/>
    <w:rsid w:val="00FD572A"/>
    <w:rsid w:val="00FD572C"/>
    <w:rsid w:val="00FD58CF"/>
    <w:rsid w:val="00FD5D6A"/>
    <w:rsid w:val="00FD5F1B"/>
    <w:rsid w:val="00FD608B"/>
    <w:rsid w:val="00FD6EA5"/>
    <w:rsid w:val="00FD7238"/>
    <w:rsid w:val="00FD72A6"/>
    <w:rsid w:val="00FD78E8"/>
    <w:rsid w:val="00FD7DAC"/>
    <w:rsid w:val="00FD7FBF"/>
    <w:rsid w:val="00FE0375"/>
    <w:rsid w:val="00FE04FB"/>
    <w:rsid w:val="00FE0A33"/>
    <w:rsid w:val="00FE0B7B"/>
    <w:rsid w:val="00FE0E82"/>
    <w:rsid w:val="00FE1056"/>
    <w:rsid w:val="00FE1314"/>
    <w:rsid w:val="00FE223B"/>
    <w:rsid w:val="00FE24D5"/>
    <w:rsid w:val="00FE2BD5"/>
    <w:rsid w:val="00FE2DB4"/>
    <w:rsid w:val="00FE2E78"/>
    <w:rsid w:val="00FE2FB7"/>
    <w:rsid w:val="00FE355F"/>
    <w:rsid w:val="00FE3C8D"/>
    <w:rsid w:val="00FE3DE3"/>
    <w:rsid w:val="00FE3EB9"/>
    <w:rsid w:val="00FE3EBB"/>
    <w:rsid w:val="00FE4CF0"/>
    <w:rsid w:val="00FE4DB6"/>
    <w:rsid w:val="00FE4E60"/>
    <w:rsid w:val="00FE5487"/>
    <w:rsid w:val="00FE5ACE"/>
    <w:rsid w:val="00FE5DA8"/>
    <w:rsid w:val="00FE5F6B"/>
    <w:rsid w:val="00FE6AC1"/>
    <w:rsid w:val="00FE6D98"/>
    <w:rsid w:val="00FE6FDD"/>
    <w:rsid w:val="00FE7741"/>
    <w:rsid w:val="00FE7A3D"/>
    <w:rsid w:val="00FE7C9D"/>
    <w:rsid w:val="00FE7CC3"/>
    <w:rsid w:val="00FE7D3A"/>
    <w:rsid w:val="00FE7EA0"/>
    <w:rsid w:val="00FF009A"/>
    <w:rsid w:val="00FF057E"/>
    <w:rsid w:val="00FF06B7"/>
    <w:rsid w:val="00FF149C"/>
    <w:rsid w:val="00FF2011"/>
    <w:rsid w:val="00FF2635"/>
    <w:rsid w:val="00FF2953"/>
    <w:rsid w:val="00FF2EBB"/>
    <w:rsid w:val="00FF36FC"/>
    <w:rsid w:val="00FF38BB"/>
    <w:rsid w:val="00FF3C58"/>
    <w:rsid w:val="00FF4427"/>
    <w:rsid w:val="00FF48E9"/>
    <w:rsid w:val="00FF4A7D"/>
    <w:rsid w:val="00FF4D78"/>
    <w:rsid w:val="00FF4F27"/>
    <w:rsid w:val="00FF513A"/>
    <w:rsid w:val="00FF58C6"/>
    <w:rsid w:val="00FF6412"/>
    <w:rsid w:val="00FF6B65"/>
    <w:rsid w:val="00FF734E"/>
    <w:rsid w:val="00FF75D2"/>
    <w:rsid w:val="00FF7700"/>
    <w:rsid w:val="00FF77CF"/>
    <w:rsid w:val="00FF7946"/>
    <w:rsid w:val="03F12F47"/>
    <w:rsid w:val="06AE877F"/>
    <w:rsid w:val="0CD6D8DB"/>
    <w:rsid w:val="0E11BDCC"/>
    <w:rsid w:val="1173FA13"/>
    <w:rsid w:val="124C641A"/>
    <w:rsid w:val="16155265"/>
    <w:rsid w:val="1CB08697"/>
    <w:rsid w:val="28BFC448"/>
    <w:rsid w:val="29D077DB"/>
    <w:rsid w:val="30554478"/>
    <w:rsid w:val="3197F492"/>
    <w:rsid w:val="33820A2E"/>
    <w:rsid w:val="35BB061A"/>
    <w:rsid w:val="4EA59B88"/>
    <w:rsid w:val="5120C144"/>
    <w:rsid w:val="55E48B27"/>
    <w:rsid w:val="5BAB81ED"/>
    <w:rsid w:val="5DE0F1EB"/>
    <w:rsid w:val="60BB3DAA"/>
    <w:rsid w:val="60E1E238"/>
    <w:rsid w:val="61315663"/>
    <w:rsid w:val="646C56A4"/>
    <w:rsid w:val="65B5EAD3"/>
    <w:rsid w:val="667CB044"/>
    <w:rsid w:val="6AD5A7F8"/>
    <w:rsid w:val="72A1EA0C"/>
    <w:rsid w:val="74B5D5FC"/>
    <w:rsid w:val="7DCD83A1"/>
  </w:rsids>
  <m:mathPr>
    <m:mathFont m:val="Cambria Math"/>
    <m:brkBin m:val="before"/>
    <m:brkBinSub m:val="--"/>
    <m:smallFrac/>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C6719"/>
  <w15:docId w15:val="{28CD8E16-F89D-4371-92F4-0F2D5C17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6B9"/>
    <w:pPr>
      <w:spacing w:after="240" w:line="276" w:lineRule="auto"/>
      <w:jc w:val="both"/>
    </w:pPr>
    <w:rPr>
      <w:rFonts w:ascii="Arial" w:eastAsia="Times New Roman" w:hAnsi="Arial"/>
      <w:sz w:val="22"/>
      <w:szCs w:val="22"/>
    </w:rPr>
  </w:style>
  <w:style w:type="paragraph" w:styleId="Ttulo1">
    <w:name w:val="heading 1"/>
    <w:basedOn w:val="Normal"/>
    <w:next w:val="Normal"/>
    <w:link w:val="Ttulo1Car"/>
    <w:autoRedefine/>
    <w:qFormat/>
    <w:rsid w:val="00B86698"/>
    <w:pPr>
      <w:outlineLvl w:val="0"/>
    </w:pPr>
    <w:rPr>
      <w:rFonts w:cs="Helvetica"/>
      <w:b/>
      <w:bCs/>
      <w:kern w:val="32"/>
      <w:sz w:val="24"/>
      <w:lang w:eastAsia="es-MX"/>
    </w:rPr>
  </w:style>
  <w:style w:type="paragraph" w:styleId="Ttulo2">
    <w:name w:val="heading 2"/>
    <w:basedOn w:val="Normal"/>
    <w:next w:val="Normal"/>
    <w:link w:val="Ttulo2Car"/>
    <w:unhideWhenUsed/>
    <w:qFormat/>
    <w:rsid w:val="00A50BF2"/>
    <w:pPr>
      <w:keepNext/>
      <w:keepLines/>
      <w:outlineLvl w:val="1"/>
    </w:pPr>
    <w:rPr>
      <w:b/>
      <w:bCs/>
      <w:szCs w:val="26"/>
      <w:lang w:eastAsia="en-US"/>
    </w:rPr>
  </w:style>
  <w:style w:type="paragraph" w:styleId="Ttulo3">
    <w:name w:val="heading 3"/>
    <w:basedOn w:val="Normal"/>
    <w:next w:val="Normal"/>
    <w:link w:val="Ttulo3Car"/>
    <w:uiPriority w:val="9"/>
    <w:unhideWhenUsed/>
    <w:qFormat/>
    <w:rsid w:val="00A50BF2"/>
    <w:pPr>
      <w:keepNext/>
      <w:keepLines/>
      <w:outlineLvl w:val="2"/>
    </w:pPr>
    <w:rPr>
      <w:b/>
      <w:bCs/>
    </w:rPr>
  </w:style>
  <w:style w:type="paragraph" w:styleId="Ttulo4">
    <w:name w:val="heading 4"/>
    <w:basedOn w:val="Normal"/>
    <w:next w:val="Normal"/>
    <w:link w:val="Ttulo4Car"/>
    <w:unhideWhenUsed/>
    <w:qFormat/>
    <w:rsid w:val="008F23AD"/>
    <w:pPr>
      <w:keepNext/>
      <w:keepLines/>
      <w:outlineLvl w:val="3"/>
    </w:pPr>
    <w:rPr>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86698"/>
    <w:rPr>
      <w:rFonts w:ascii="Arial" w:eastAsia="Times New Roman" w:hAnsi="Arial" w:cs="Helvetica"/>
      <w:b/>
      <w:bCs/>
      <w:kern w:val="32"/>
      <w:sz w:val="24"/>
      <w:szCs w:val="22"/>
      <w:lang w:eastAsia="es-MX"/>
    </w:rPr>
  </w:style>
  <w:style w:type="character" w:customStyle="1" w:styleId="Ttulo2Car">
    <w:name w:val="Título 2 Car"/>
    <w:link w:val="Ttulo2"/>
    <w:rsid w:val="00A50BF2"/>
    <w:rPr>
      <w:rFonts w:ascii="Arial" w:eastAsia="Times New Roman" w:hAnsi="Arial"/>
      <w:b/>
      <w:bCs/>
      <w:sz w:val="22"/>
      <w:szCs w:val="26"/>
      <w:lang w:eastAsia="en-US"/>
    </w:rPr>
  </w:style>
  <w:style w:type="character" w:customStyle="1" w:styleId="Ttulo3Car">
    <w:name w:val="Título 3 Car"/>
    <w:link w:val="Ttulo3"/>
    <w:uiPriority w:val="9"/>
    <w:rsid w:val="00A50BF2"/>
    <w:rPr>
      <w:rFonts w:ascii="Arial" w:eastAsia="Times New Roman" w:hAnsi="Arial"/>
      <w:b/>
      <w:bCs/>
      <w:sz w:val="22"/>
      <w:szCs w:val="22"/>
    </w:rPr>
  </w:style>
  <w:style w:type="character" w:customStyle="1" w:styleId="Ttulo4Car">
    <w:name w:val="Título 4 Car"/>
    <w:link w:val="Ttulo4"/>
    <w:rsid w:val="008F23AD"/>
    <w:rPr>
      <w:rFonts w:ascii="Arial" w:eastAsia="Times New Roman" w:hAnsi="Arial"/>
      <w:b/>
      <w:bCs/>
      <w:iCs/>
      <w:sz w:val="22"/>
      <w:szCs w:val="22"/>
    </w:rPr>
  </w:style>
  <w:style w:type="paragraph" w:styleId="Encabezado">
    <w:name w:val="header"/>
    <w:basedOn w:val="Normal"/>
    <w:link w:val="EncabezadoCar"/>
    <w:uiPriority w:val="99"/>
    <w:unhideWhenUsed/>
    <w:rsid w:val="005B390E"/>
    <w:pPr>
      <w:tabs>
        <w:tab w:val="center" w:pos="4252"/>
        <w:tab w:val="right" w:pos="8504"/>
      </w:tabs>
      <w:spacing w:after="0" w:line="240" w:lineRule="auto"/>
    </w:pPr>
  </w:style>
  <w:style w:type="character" w:customStyle="1" w:styleId="EncabezadoCar">
    <w:name w:val="Encabezado Car"/>
    <w:link w:val="Encabezado"/>
    <w:uiPriority w:val="99"/>
    <w:rsid w:val="005B390E"/>
    <w:rPr>
      <w:rFonts w:ascii="Times New Roman" w:eastAsia="Times New Roman" w:hAnsi="Times New Roman"/>
      <w:sz w:val="24"/>
      <w:lang w:val="es-CR" w:eastAsia="es-CR"/>
    </w:rPr>
  </w:style>
  <w:style w:type="paragraph" w:styleId="Piedepgina">
    <w:name w:val="footer"/>
    <w:basedOn w:val="Normal"/>
    <w:link w:val="PiedepginaCar"/>
    <w:uiPriority w:val="99"/>
    <w:unhideWhenUsed/>
    <w:rsid w:val="005B390E"/>
    <w:pPr>
      <w:tabs>
        <w:tab w:val="center" w:pos="4252"/>
        <w:tab w:val="right" w:pos="8504"/>
      </w:tabs>
      <w:spacing w:after="0" w:line="240" w:lineRule="auto"/>
    </w:pPr>
  </w:style>
  <w:style w:type="character" w:customStyle="1" w:styleId="PiedepginaCar">
    <w:name w:val="Pie de página Car"/>
    <w:link w:val="Piedepgina"/>
    <w:uiPriority w:val="99"/>
    <w:rsid w:val="005B390E"/>
    <w:rPr>
      <w:rFonts w:ascii="Times New Roman" w:eastAsia="Times New Roman" w:hAnsi="Times New Roman"/>
      <w:sz w:val="24"/>
      <w:lang w:val="es-CR" w:eastAsia="es-CR"/>
    </w:rPr>
  </w:style>
  <w:style w:type="paragraph" w:styleId="Textoindependiente2">
    <w:name w:val="Body Text 2"/>
    <w:basedOn w:val="Normal"/>
    <w:link w:val="Textoindependiente2Car"/>
    <w:rsid w:val="005B390E"/>
    <w:pPr>
      <w:spacing w:after="0" w:line="240" w:lineRule="auto"/>
      <w:ind w:firstLine="360"/>
    </w:pPr>
    <w:rPr>
      <w:szCs w:val="20"/>
    </w:rPr>
  </w:style>
  <w:style w:type="character" w:customStyle="1" w:styleId="Textoindependiente2Car">
    <w:name w:val="Texto independiente 2 Car"/>
    <w:link w:val="Textoindependiente2"/>
    <w:rsid w:val="005B390E"/>
    <w:rPr>
      <w:rFonts w:ascii="Arial" w:eastAsia="Times New Roman" w:hAnsi="Arial" w:cs="Times New Roman"/>
      <w:sz w:val="24"/>
      <w:szCs w:val="20"/>
      <w:lang w:val="es-CR" w:eastAsia="es-CR"/>
    </w:rPr>
  </w:style>
  <w:style w:type="paragraph" w:styleId="Prrafodelista">
    <w:name w:val="List Paragraph"/>
    <w:aliases w:val="3,Normal sin espaciado"/>
    <w:basedOn w:val="Normal"/>
    <w:link w:val="PrrafodelistaCar"/>
    <w:uiPriority w:val="34"/>
    <w:qFormat/>
    <w:rsid w:val="005B390E"/>
    <w:pPr>
      <w:ind w:left="720"/>
      <w:contextualSpacing/>
    </w:pPr>
  </w:style>
  <w:style w:type="character" w:styleId="Hipervnculo">
    <w:name w:val="Hyperlink"/>
    <w:uiPriority w:val="99"/>
    <w:unhideWhenUsed/>
    <w:rsid w:val="005B390E"/>
    <w:rPr>
      <w:color w:val="0000FF"/>
      <w:u w:val="single"/>
    </w:rPr>
  </w:style>
  <w:style w:type="paragraph" w:styleId="Textodeglobo">
    <w:name w:val="Balloon Text"/>
    <w:basedOn w:val="Normal"/>
    <w:link w:val="TextodegloboCar"/>
    <w:uiPriority w:val="99"/>
    <w:semiHidden/>
    <w:unhideWhenUsed/>
    <w:rsid w:val="005B39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B390E"/>
    <w:rPr>
      <w:rFonts w:ascii="Tahoma" w:eastAsia="Times New Roman" w:hAnsi="Tahoma" w:cs="Tahoma"/>
      <w:sz w:val="16"/>
      <w:szCs w:val="16"/>
      <w:lang w:val="es-CR" w:eastAsia="es-CR"/>
    </w:rPr>
  </w:style>
  <w:style w:type="character" w:customStyle="1" w:styleId="apple-style-span">
    <w:name w:val="apple-style-span"/>
    <w:basedOn w:val="Fuentedeprrafopredeter"/>
    <w:rsid w:val="005B390E"/>
  </w:style>
  <w:style w:type="character" w:customStyle="1" w:styleId="apple-converted-space">
    <w:name w:val="apple-converted-space"/>
    <w:basedOn w:val="Fuentedeprrafopredeter"/>
    <w:rsid w:val="005B390E"/>
  </w:style>
  <w:style w:type="paragraph" w:styleId="TtuloTDC">
    <w:name w:val="TOC Heading"/>
    <w:basedOn w:val="Ttulo1"/>
    <w:next w:val="Normal"/>
    <w:uiPriority w:val="39"/>
    <w:unhideWhenUsed/>
    <w:qFormat/>
    <w:rsid w:val="005B390E"/>
    <w:pPr>
      <w:keepLines/>
      <w:spacing w:before="480"/>
      <w:jc w:val="left"/>
      <w:outlineLvl w:val="9"/>
    </w:pPr>
    <w:rPr>
      <w:rFonts w:ascii="Cambria" w:hAnsi="Cambria"/>
      <w:color w:val="365F91"/>
      <w:kern w:val="0"/>
      <w:lang w:val="en-US" w:eastAsia="en-US"/>
    </w:rPr>
  </w:style>
  <w:style w:type="paragraph" w:styleId="TDC1">
    <w:name w:val="toc 1"/>
    <w:basedOn w:val="Normal"/>
    <w:next w:val="Normal"/>
    <w:autoRedefine/>
    <w:uiPriority w:val="39"/>
    <w:unhideWhenUsed/>
    <w:rsid w:val="005B390E"/>
    <w:pPr>
      <w:tabs>
        <w:tab w:val="right" w:leader="dot" w:pos="8494"/>
      </w:tabs>
      <w:spacing w:after="100"/>
    </w:pPr>
    <w:rPr>
      <w:b/>
      <w:noProof/>
      <w:szCs w:val="24"/>
    </w:rPr>
  </w:style>
  <w:style w:type="paragraph" w:styleId="TDC2">
    <w:name w:val="toc 2"/>
    <w:basedOn w:val="Normal"/>
    <w:next w:val="Normal"/>
    <w:autoRedefine/>
    <w:uiPriority w:val="39"/>
    <w:unhideWhenUsed/>
    <w:rsid w:val="005B390E"/>
    <w:pPr>
      <w:spacing w:after="100"/>
      <w:ind w:left="220"/>
    </w:pPr>
  </w:style>
  <w:style w:type="paragraph" w:styleId="TDC3">
    <w:name w:val="toc 3"/>
    <w:basedOn w:val="Normal"/>
    <w:next w:val="Normal"/>
    <w:autoRedefine/>
    <w:uiPriority w:val="39"/>
    <w:unhideWhenUsed/>
    <w:rsid w:val="005B390E"/>
    <w:pPr>
      <w:spacing w:after="100"/>
      <w:ind w:left="440"/>
    </w:pPr>
  </w:style>
  <w:style w:type="character" w:styleId="Refdecomentario">
    <w:name w:val="annotation reference"/>
    <w:uiPriority w:val="99"/>
    <w:semiHidden/>
    <w:unhideWhenUsed/>
    <w:rsid w:val="005B390E"/>
    <w:rPr>
      <w:sz w:val="16"/>
      <w:szCs w:val="16"/>
    </w:rPr>
  </w:style>
  <w:style w:type="paragraph" w:styleId="Textocomentario">
    <w:name w:val="annotation text"/>
    <w:basedOn w:val="Normal"/>
    <w:link w:val="TextocomentarioCar"/>
    <w:uiPriority w:val="99"/>
    <w:unhideWhenUsed/>
    <w:rsid w:val="005B390E"/>
    <w:pPr>
      <w:spacing w:line="240" w:lineRule="auto"/>
    </w:pPr>
    <w:rPr>
      <w:sz w:val="20"/>
      <w:szCs w:val="20"/>
    </w:rPr>
  </w:style>
  <w:style w:type="character" w:customStyle="1" w:styleId="TextocomentarioCar">
    <w:name w:val="Texto comentario Car"/>
    <w:link w:val="Textocomentario"/>
    <w:uiPriority w:val="99"/>
    <w:rsid w:val="005B390E"/>
    <w:rPr>
      <w:rFonts w:ascii="Times New Roman" w:eastAsia="Times New Roman" w:hAnsi="Times New Roman"/>
      <w:sz w:val="20"/>
      <w:szCs w:val="20"/>
      <w:lang w:val="es-CR" w:eastAsia="es-CR"/>
    </w:rPr>
  </w:style>
  <w:style w:type="paragraph" w:styleId="Asuntodelcomentario">
    <w:name w:val="annotation subject"/>
    <w:basedOn w:val="Textocomentario"/>
    <w:next w:val="Textocomentario"/>
    <w:link w:val="AsuntodelcomentarioCar"/>
    <w:uiPriority w:val="99"/>
    <w:semiHidden/>
    <w:unhideWhenUsed/>
    <w:rsid w:val="005B390E"/>
    <w:rPr>
      <w:b/>
      <w:bCs/>
    </w:rPr>
  </w:style>
  <w:style w:type="character" w:customStyle="1" w:styleId="AsuntodelcomentarioCar">
    <w:name w:val="Asunto del comentario Car"/>
    <w:link w:val="Asuntodelcomentario"/>
    <w:uiPriority w:val="99"/>
    <w:semiHidden/>
    <w:rsid w:val="005B390E"/>
    <w:rPr>
      <w:rFonts w:ascii="Times New Roman" w:eastAsia="Times New Roman" w:hAnsi="Times New Roman"/>
      <w:b/>
      <w:bCs/>
      <w:sz w:val="20"/>
      <w:szCs w:val="20"/>
      <w:lang w:val="es-CR" w:eastAsia="es-CR"/>
    </w:rPr>
  </w:style>
  <w:style w:type="paragraph" w:styleId="Revisin">
    <w:name w:val="Revision"/>
    <w:hidden/>
    <w:uiPriority w:val="99"/>
    <w:semiHidden/>
    <w:rsid w:val="005B390E"/>
    <w:rPr>
      <w:rFonts w:eastAsia="Times New Roman"/>
      <w:sz w:val="22"/>
      <w:szCs w:val="22"/>
    </w:rPr>
  </w:style>
  <w:style w:type="table" w:styleId="Cuadrculamedia3-nfasis1">
    <w:name w:val="Medium Grid 3 Accent 1"/>
    <w:basedOn w:val="Tablanormal"/>
    <w:uiPriority w:val="69"/>
    <w:rsid w:val="005B390E"/>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aconcuadrcula">
    <w:name w:val="Table Grid"/>
    <w:basedOn w:val="Tablanormal"/>
    <w:uiPriority w:val="59"/>
    <w:rsid w:val="005B3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11">
    <w:name w:val="Lista media 1 - Énfasis 11"/>
    <w:basedOn w:val="Tablanormal"/>
    <w:uiPriority w:val="65"/>
    <w:rsid w:val="005B390E"/>
    <w:rPr>
      <w:rFonts w:eastAsia="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Hipervnculovisitado">
    <w:name w:val="FollowedHyperlink"/>
    <w:uiPriority w:val="99"/>
    <w:semiHidden/>
    <w:unhideWhenUsed/>
    <w:rsid w:val="005B390E"/>
    <w:rPr>
      <w:color w:val="800080"/>
      <w:u w:val="single"/>
    </w:rPr>
  </w:style>
  <w:style w:type="paragraph" w:styleId="Textonotapie">
    <w:name w:val="footnote text"/>
    <w:aliases w:val=" Car"/>
    <w:basedOn w:val="Normal"/>
    <w:link w:val="TextonotapieCar"/>
    <w:uiPriority w:val="99"/>
    <w:unhideWhenUsed/>
    <w:rsid w:val="005B390E"/>
    <w:pPr>
      <w:spacing w:after="0" w:line="240" w:lineRule="auto"/>
    </w:pPr>
    <w:rPr>
      <w:sz w:val="20"/>
      <w:szCs w:val="20"/>
    </w:rPr>
  </w:style>
  <w:style w:type="character" w:customStyle="1" w:styleId="TextonotapieCar">
    <w:name w:val="Texto nota pie Car"/>
    <w:aliases w:val=" Car Car"/>
    <w:link w:val="Textonotapie"/>
    <w:uiPriority w:val="99"/>
    <w:rsid w:val="005B390E"/>
    <w:rPr>
      <w:rFonts w:ascii="Times New Roman" w:eastAsia="Times New Roman" w:hAnsi="Times New Roman"/>
      <w:sz w:val="20"/>
      <w:szCs w:val="20"/>
      <w:lang w:val="es-CR" w:eastAsia="es-CR"/>
    </w:rPr>
  </w:style>
  <w:style w:type="character" w:styleId="Refdenotaalpie">
    <w:name w:val="footnote reference"/>
    <w:uiPriority w:val="99"/>
    <w:unhideWhenUsed/>
    <w:rsid w:val="005B390E"/>
    <w:rPr>
      <w:vertAlign w:val="superscript"/>
    </w:rPr>
  </w:style>
  <w:style w:type="paragraph" w:styleId="NormalWeb">
    <w:name w:val="Normal (Web)"/>
    <w:basedOn w:val="Normal"/>
    <w:uiPriority w:val="99"/>
    <w:unhideWhenUsed/>
    <w:rsid w:val="005B390E"/>
    <w:pPr>
      <w:spacing w:before="100" w:beforeAutospacing="1" w:after="100" w:afterAutospacing="1" w:line="240" w:lineRule="auto"/>
    </w:pPr>
    <w:rPr>
      <w:szCs w:val="24"/>
    </w:rPr>
  </w:style>
  <w:style w:type="character" w:customStyle="1" w:styleId="A8">
    <w:name w:val="A8"/>
    <w:uiPriority w:val="99"/>
    <w:rsid w:val="005B390E"/>
    <w:rPr>
      <w:rFonts w:cs="Times"/>
      <w:color w:val="000000"/>
      <w:sz w:val="22"/>
      <w:szCs w:val="22"/>
    </w:rPr>
  </w:style>
  <w:style w:type="paragraph" w:customStyle="1" w:styleId="Default">
    <w:name w:val="Default"/>
    <w:rsid w:val="005B390E"/>
    <w:pPr>
      <w:autoSpaceDE w:val="0"/>
      <w:autoSpaceDN w:val="0"/>
      <w:adjustRightInd w:val="0"/>
    </w:pPr>
    <w:rPr>
      <w:rFonts w:ascii="Times New Roman" w:eastAsia="Times New Roman" w:hAnsi="Times New Roman"/>
      <w:color w:val="000000"/>
      <w:sz w:val="24"/>
      <w:szCs w:val="24"/>
    </w:rPr>
  </w:style>
  <w:style w:type="paragraph" w:styleId="Sinespaciado">
    <w:name w:val="No Spacing"/>
    <w:uiPriority w:val="1"/>
    <w:qFormat/>
    <w:rsid w:val="002177D7"/>
    <w:pPr>
      <w:jc w:val="both"/>
    </w:pPr>
    <w:rPr>
      <w:rFonts w:ascii="Times New Roman" w:eastAsia="Times New Roman" w:hAnsi="Times New Roman"/>
      <w:sz w:val="24"/>
      <w:szCs w:val="22"/>
    </w:rPr>
  </w:style>
  <w:style w:type="paragraph" w:customStyle="1" w:styleId="TableContents">
    <w:name w:val="Table Contents"/>
    <w:basedOn w:val="Normal"/>
    <w:rsid w:val="002A2D53"/>
    <w:pPr>
      <w:widowControl w:val="0"/>
      <w:suppressLineNumbers/>
      <w:suppressAutoHyphens/>
      <w:spacing w:after="0" w:line="240" w:lineRule="auto"/>
      <w:jc w:val="left"/>
    </w:pPr>
    <w:rPr>
      <w:rFonts w:eastAsia="Arial Unicode MS" w:cs="Tahoma"/>
      <w:kern w:val="1"/>
      <w:szCs w:val="24"/>
      <w:lang w:eastAsia="zh-CN" w:bidi="hi-IN"/>
    </w:rPr>
  </w:style>
  <w:style w:type="paragraph" w:styleId="Ttulo">
    <w:name w:val="Title"/>
    <w:basedOn w:val="Normal"/>
    <w:next w:val="Normal"/>
    <w:link w:val="TtuloCar"/>
    <w:uiPriority w:val="10"/>
    <w:qFormat/>
    <w:rsid w:val="003C4E20"/>
    <w:pPr>
      <w:spacing w:after="0"/>
      <w:jc w:val="center"/>
    </w:pPr>
    <w:rPr>
      <w:b/>
      <w:sz w:val="40"/>
    </w:rPr>
  </w:style>
  <w:style w:type="character" w:customStyle="1" w:styleId="TtuloCar">
    <w:name w:val="Título Car"/>
    <w:link w:val="Ttulo"/>
    <w:uiPriority w:val="10"/>
    <w:rsid w:val="003C4E20"/>
    <w:rPr>
      <w:rFonts w:ascii="Times New Roman" w:eastAsia="Times New Roman" w:hAnsi="Times New Roman"/>
      <w:b/>
      <w:sz w:val="40"/>
      <w:lang w:val="haw-US" w:eastAsia="es-CR"/>
    </w:rPr>
  </w:style>
  <w:style w:type="paragraph" w:styleId="Subttulo">
    <w:name w:val="Subtitle"/>
    <w:basedOn w:val="Normal"/>
    <w:next w:val="Normal"/>
    <w:link w:val="SubttuloCar"/>
    <w:uiPriority w:val="11"/>
    <w:qFormat/>
    <w:rsid w:val="003C4E20"/>
    <w:pPr>
      <w:jc w:val="center"/>
    </w:pPr>
    <w:rPr>
      <w:b/>
      <w:sz w:val="32"/>
      <w:lang w:eastAsia="es-MX"/>
    </w:rPr>
  </w:style>
  <w:style w:type="character" w:customStyle="1" w:styleId="SubttuloCar">
    <w:name w:val="Subtítulo Car"/>
    <w:link w:val="Subttulo"/>
    <w:uiPriority w:val="11"/>
    <w:rsid w:val="003C4E20"/>
    <w:rPr>
      <w:rFonts w:ascii="Times New Roman" w:eastAsia="Times New Roman" w:hAnsi="Times New Roman"/>
      <w:b/>
      <w:sz w:val="32"/>
      <w:lang w:val="haw-US" w:eastAsia="es-MX"/>
    </w:rPr>
  </w:style>
  <w:style w:type="paragraph" w:customStyle="1" w:styleId="Tablas">
    <w:name w:val="Tablas"/>
    <w:basedOn w:val="Normal"/>
    <w:link w:val="TablasChar"/>
    <w:qFormat/>
    <w:rsid w:val="00076A36"/>
    <w:pPr>
      <w:spacing w:after="0"/>
      <w:jc w:val="left"/>
    </w:pPr>
  </w:style>
  <w:style w:type="character" w:customStyle="1" w:styleId="TablasChar">
    <w:name w:val="Tablas Char"/>
    <w:link w:val="Tablas"/>
    <w:rsid w:val="00076A36"/>
    <w:rPr>
      <w:rFonts w:ascii="Times New Roman" w:eastAsia="Times New Roman" w:hAnsi="Times New Roman" w:cs="Times New Roman"/>
      <w:lang w:val="haw-US" w:eastAsia="es-CR"/>
    </w:rPr>
  </w:style>
  <w:style w:type="paragraph" w:customStyle="1" w:styleId="piedepgina0">
    <w:name w:val="pie de página"/>
    <w:basedOn w:val="Normal"/>
    <w:link w:val="piedepginaChar"/>
    <w:qFormat/>
    <w:rsid w:val="00615C18"/>
    <w:rPr>
      <w:sz w:val="18"/>
      <w:lang w:eastAsia="es-MX"/>
    </w:rPr>
  </w:style>
  <w:style w:type="character" w:customStyle="1" w:styleId="piedepginaChar">
    <w:name w:val="pie de página Char"/>
    <w:link w:val="piedepgina0"/>
    <w:rsid w:val="00615C18"/>
    <w:rPr>
      <w:rFonts w:ascii="Times New Roman" w:eastAsia="Times New Roman" w:hAnsi="Times New Roman"/>
      <w:sz w:val="18"/>
      <w:lang w:val="haw-US" w:eastAsia="es-MX"/>
    </w:rPr>
  </w:style>
  <w:style w:type="paragraph" w:customStyle="1" w:styleId="Ttuloscuadros">
    <w:name w:val="Títulos cuadros"/>
    <w:basedOn w:val="Normal"/>
    <w:link w:val="TtuloscuadrosChar"/>
    <w:qFormat/>
    <w:rsid w:val="00203A70"/>
    <w:pPr>
      <w:spacing w:after="0"/>
      <w:jc w:val="center"/>
    </w:pPr>
    <w:rPr>
      <w:b/>
    </w:rPr>
  </w:style>
  <w:style w:type="character" w:customStyle="1" w:styleId="TtuloscuadrosChar">
    <w:name w:val="Títulos cuadros Char"/>
    <w:link w:val="Ttuloscuadros"/>
    <w:rsid w:val="00203A70"/>
    <w:rPr>
      <w:rFonts w:ascii="Times New Roman" w:eastAsia="Times New Roman" w:hAnsi="Times New Roman"/>
      <w:b/>
      <w:sz w:val="24"/>
      <w:lang w:val="es-CR" w:eastAsia="es-CR"/>
    </w:rPr>
  </w:style>
  <w:style w:type="paragraph" w:customStyle="1" w:styleId="ListParagraph1">
    <w:name w:val="List Paragraph1"/>
    <w:basedOn w:val="Normal"/>
    <w:rsid w:val="0029143D"/>
    <w:pPr>
      <w:tabs>
        <w:tab w:val="left" w:pos="708"/>
      </w:tabs>
      <w:suppressAutoHyphens/>
      <w:spacing w:after="200"/>
      <w:ind w:left="720"/>
    </w:pPr>
    <w:rPr>
      <w:rFonts w:ascii="Calibri" w:eastAsia="SimSun" w:hAnsi="Calibri" w:cs="font345"/>
      <w:kern w:val="2"/>
      <w:lang w:val="es-ES" w:eastAsia="en-US"/>
    </w:rPr>
  </w:style>
  <w:style w:type="paragraph" w:customStyle="1" w:styleId="Grfico">
    <w:name w:val="Gráfico"/>
    <w:basedOn w:val="Normal"/>
    <w:autoRedefine/>
    <w:qFormat/>
    <w:rsid w:val="0029143D"/>
    <w:pPr>
      <w:shd w:val="clear" w:color="auto" w:fill="FFFFFF"/>
      <w:spacing w:after="0" w:line="240" w:lineRule="auto"/>
      <w:ind w:left="57"/>
      <w:jc w:val="center"/>
    </w:pPr>
    <w:rPr>
      <w:rFonts w:ascii="Calibri" w:hAnsi="Calibri" w:cs="Calibri"/>
      <w:lang w:val="es-ES_tradnl" w:eastAsia="en-US"/>
    </w:rPr>
  </w:style>
  <w:style w:type="character" w:customStyle="1" w:styleId="CommentTextChar1">
    <w:name w:val="Comment Text Char1"/>
    <w:uiPriority w:val="99"/>
    <w:semiHidden/>
    <w:locked/>
    <w:rsid w:val="00616ADB"/>
    <w:rPr>
      <w:rFonts w:ascii="Times New Roman" w:eastAsia="Times New Roman" w:hAnsi="Times New Roman"/>
      <w:sz w:val="20"/>
      <w:szCs w:val="20"/>
      <w:lang w:val="es-CR" w:eastAsia="es-CR"/>
    </w:rPr>
  </w:style>
  <w:style w:type="paragraph" w:customStyle="1" w:styleId="Predeterminado">
    <w:name w:val="Predeterminado"/>
    <w:rsid w:val="00034E7F"/>
    <w:pPr>
      <w:autoSpaceDE w:val="0"/>
      <w:autoSpaceDN w:val="0"/>
      <w:adjustRightInd w:val="0"/>
      <w:spacing w:line="200" w:lineRule="atLeast"/>
    </w:pPr>
    <w:rPr>
      <w:rFonts w:ascii="Mangal" w:eastAsia="Microsoft YaHei" w:hAnsi="Mangal" w:cs="Mangal"/>
      <w:color w:val="FFFFFF"/>
      <w:kern w:val="1"/>
      <w:sz w:val="36"/>
      <w:szCs w:val="36"/>
      <w:lang w:val="es-ES" w:eastAsia="en-US"/>
    </w:rPr>
  </w:style>
  <w:style w:type="paragraph" w:customStyle="1" w:styleId="Estilopredeterminado">
    <w:name w:val="Estilo predeterminado"/>
    <w:rsid w:val="00034E7F"/>
    <w:pPr>
      <w:suppressAutoHyphens/>
      <w:spacing w:after="200" w:line="276" w:lineRule="auto"/>
      <w:jc w:val="both"/>
    </w:pPr>
    <w:rPr>
      <w:rFonts w:eastAsia="SimSun" w:cs="Calibri"/>
      <w:sz w:val="22"/>
      <w:szCs w:val="22"/>
      <w:lang w:val="es-ES" w:eastAsia="en-US"/>
    </w:rPr>
  </w:style>
  <w:style w:type="character" w:customStyle="1" w:styleId="PrrafodelistaCar">
    <w:name w:val="Párrafo de lista Car"/>
    <w:aliases w:val="3 Car,Normal sin espaciado Car"/>
    <w:basedOn w:val="Fuentedeprrafopredeter"/>
    <w:link w:val="Prrafodelista"/>
    <w:uiPriority w:val="34"/>
    <w:qFormat/>
    <w:locked/>
    <w:rsid w:val="000960A5"/>
    <w:rPr>
      <w:rFonts w:ascii="Times New Roman" w:eastAsia="Times New Roman" w:hAnsi="Times New Roman"/>
      <w:sz w:val="24"/>
      <w:szCs w:val="22"/>
    </w:rPr>
  </w:style>
  <w:style w:type="character" w:styleId="Textodelmarcadordeposicin">
    <w:name w:val="Placeholder Text"/>
    <w:basedOn w:val="Fuentedeprrafopredeter"/>
    <w:uiPriority w:val="99"/>
    <w:semiHidden/>
    <w:rsid w:val="000C032B"/>
    <w:rPr>
      <w:color w:val="808080"/>
    </w:rPr>
  </w:style>
  <w:style w:type="table" w:styleId="Cuadrculaclara-nfasis1">
    <w:name w:val="Light Grid Accent 1"/>
    <w:basedOn w:val="Tablanormal"/>
    <w:uiPriority w:val="62"/>
    <w:rsid w:val="00D63F4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TMLconformatoprevio">
    <w:name w:val="HTML Preformatted"/>
    <w:basedOn w:val="Normal"/>
    <w:link w:val="HTMLconformatoprevioCar"/>
    <w:uiPriority w:val="99"/>
    <w:unhideWhenUsed/>
    <w:rsid w:val="004F1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pPr>
    <w:rPr>
      <w:rFonts w:ascii="Courier New" w:hAnsi="Courier New" w:cs="Courier New"/>
      <w:lang w:val="en-US" w:eastAsia="es-ES"/>
    </w:rPr>
  </w:style>
  <w:style w:type="character" w:customStyle="1" w:styleId="HTMLconformatoprevioCar">
    <w:name w:val="HTML con formato previo Car"/>
    <w:basedOn w:val="Fuentedeprrafopredeter"/>
    <w:link w:val="HTMLconformatoprevio"/>
    <w:uiPriority w:val="99"/>
    <w:rsid w:val="004F18BB"/>
    <w:rPr>
      <w:rFonts w:ascii="Courier New" w:eastAsia="Times New Roman" w:hAnsi="Courier New" w:cs="Courier New"/>
      <w:sz w:val="22"/>
      <w:szCs w:val="22"/>
      <w:lang w:val="en-US" w:eastAsia="es-ES"/>
    </w:rPr>
  </w:style>
  <w:style w:type="paragraph" w:customStyle="1" w:styleId="Cuadro">
    <w:name w:val="Cuadro"/>
    <w:basedOn w:val="Normal"/>
    <w:autoRedefine/>
    <w:qFormat/>
    <w:rsid w:val="00470921"/>
    <w:pPr>
      <w:spacing w:after="0" w:line="360" w:lineRule="auto"/>
      <w:jc w:val="center"/>
    </w:pPr>
    <w:rPr>
      <w:rFonts w:eastAsiaTheme="minorHAnsi" w:cs="Arial"/>
      <w:b/>
      <w:bCs/>
      <w:sz w:val="20"/>
      <w:szCs w:val="20"/>
      <w:lang w:eastAsia="en-US"/>
    </w:rPr>
  </w:style>
  <w:style w:type="character" w:customStyle="1" w:styleId="gmaildefault">
    <w:name w:val="gmail_default"/>
    <w:basedOn w:val="Fuentedeprrafopredeter"/>
    <w:rsid w:val="00CB55A4"/>
  </w:style>
  <w:style w:type="table" w:styleId="Sombreadoclaro-nfasis1">
    <w:name w:val="Light Shading Accent 1"/>
    <w:basedOn w:val="Tablanormal"/>
    <w:uiPriority w:val="60"/>
    <w:rsid w:val="008D31AD"/>
    <w:pPr>
      <w:jc w:val="center"/>
    </w:pPr>
    <w:rPr>
      <w:rFonts w:ascii="Calibri Light" w:eastAsiaTheme="minorHAnsi" w:hAnsi="Calibri Light" w:cstheme="minorBidi"/>
      <w:szCs w:val="22"/>
      <w:lang w:eastAsia="en-US"/>
    </w:rPr>
    <w:tblPr>
      <w:tblStyleRowBandSize w:val="1"/>
      <w:tblStyleColBandSize w:val="1"/>
      <w:tblBorders>
        <w:top w:val="single" w:sz="8" w:space="0" w:color="4F81BD" w:themeColor="accent1"/>
        <w:bottom w:val="single" w:sz="8" w:space="0" w:color="4F81BD" w:themeColor="accent1"/>
      </w:tblBorders>
    </w:tblPr>
    <w:tcPr>
      <w:vAlign w:val="center"/>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normal1">
    <w:name w:val="Plain Table 1"/>
    <w:basedOn w:val="Tablanormal"/>
    <w:uiPriority w:val="41"/>
    <w:rsid w:val="00455E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4772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7C4ADD"/>
    <w:pPr>
      <w:spacing w:after="200" w:line="240" w:lineRule="auto"/>
    </w:pPr>
    <w:rPr>
      <w:i/>
      <w:iCs/>
      <w:color w:val="1F497D" w:themeColor="text2"/>
      <w:sz w:val="18"/>
      <w:szCs w:val="18"/>
    </w:rPr>
  </w:style>
  <w:style w:type="character" w:customStyle="1" w:styleId="Ancladenotaalpie">
    <w:name w:val="Ancla de nota al pie"/>
    <w:rsid w:val="00391A71"/>
    <w:rPr>
      <w:rFonts w:cs="Times New Roman"/>
      <w:vertAlign w:val="superscript"/>
    </w:rPr>
  </w:style>
  <w:style w:type="character" w:customStyle="1" w:styleId="EnlacedeInternet">
    <w:name w:val="Enlace de Internet"/>
    <w:rsid w:val="00391A71"/>
    <w:rPr>
      <w:color w:val="000080"/>
      <w:u w:val="single"/>
    </w:rPr>
  </w:style>
  <w:style w:type="character" w:customStyle="1" w:styleId="Caracteresdenotaalpie">
    <w:name w:val="Caracteres de nota al pie"/>
    <w:qFormat/>
    <w:rsid w:val="00391A71"/>
  </w:style>
  <w:style w:type="character" w:styleId="Mencinsinresolver">
    <w:name w:val="Unresolved Mention"/>
    <w:basedOn w:val="Fuentedeprrafopredeter"/>
    <w:uiPriority w:val="99"/>
    <w:semiHidden/>
    <w:unhideWhenUsed/>
    <w:rsid w:val="00095404"/>
    <w:rPr>
      <w:color w:val="605E5C"/>
      <w:shd w:val="clear" w:color="auto" w:fill="E1DFDD"/>
    </w:rPr>
  </w:style>
  <w:style w:type="paragraph" w:customStyle="1" w:styleId="Textbody">
    <w:name w:val="Text body"/>
    <w:basedOn w:val="Normal"/>
    <w:rsid w:val="002C7037"/>
    <w:pPr>
      <w:suppressAutoHyphens/>
      <w:autoSpaceDN w:val="0"/>
      <w:spacing w:after="140"/>
      <w:jc w:val="left"/>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054">
      <w:bodyDiv w:val="1"/>
      <w:marLeft w:val="0"/>
      <w:marRight w:val="0"/>
      <w:marTop w:val="0"/>
      <w:marBottom w:val="0"/>
      <w:divBdr>
        <w:top w:val="none" w:sz="0" w:space="0" w:color="auto"/>
        <w:left w:val="none" w:sz="0" w:space="0" w:color="auto"/>
        <w:bottom w:val="none" w:sz="0" w:space="0" w:color="auto"/>
        <w:right w:val="none" w:sz="0" w:space="0" w:color="auto"/>
      </w:divBdr>
    </w:div>
    <w:div w:id="44719537">
      <w:bodyDiv w:val="1"/>
      <w:marLeft w:val="0"/>
      <w:marRight w:val="0"/>
      <w:marTop w:val="0"/>
      <w:marBottom w:val="0"/>
      <w:divBdr>
        <w:top w:val="none" w:sz="0" w:space="0" w:color="auto"/>
        <w:left w:val="none" w:sz="0" w:space="0" w:color="auto"/>
        <w:bottom w:val="none" w:sz="0" w:space="0" w:color="auto"/>
        <w:right w:val="none" w:sz="0" w:space="0" w:color="auto"/>
      </w:divBdr>
      <w:divsChild>
        <w:div w:id="1183007742">
          <w:marLeft w:val="0"/>
          <w:marRight w:val="0"/>
          <w:marTop w:val="0"/>
          <w:marBottom w:val="0"/>
          <w:divBdr>
            <w:top w:val="none" w:sz="0" w:space="0" w:color="auto"/>
            <w:left w:val="none" w:sz="0" w:space="0" w:color="auto"/>
            <w:bottom w:val="none" w:sz="0" w:space="0" w:color="auto"/>
            <w:right w:val="none" w:sz="0" w:space="0" w:color="auto"/>
          </w:divBdr>
        </w:div>
      </w:divsChild>
    </w:div>
    <w:div w:id="65036556">
      <w:bodyDiv w:val="1"/>
      <w:marLeft w:val="0"/>
      <w:marRight w:val="0"/>
      <w:marTop w:val="0"/>
      <w:marBottom w:val="0"/>
      <w:divBdr>
        <w:top w:val="none" w:sz="0" w:space="0" w:color="auto"/>
        <w:left w:val="none" w:sz="0" w:space="0" w:color="auto"/>
        <w:bottom w:val="none" w:sz="0" w:space="0" w:color="auto"/>
        <w:right w:val="none" w:sz="0" w:space="0" w:color="auto"/>
      </w:divBdr>
    </w:div>
    <w:div w:id="90006469">
      <w:bodyDiv w:val="1"/>
      <w:marLeft w:val="0"/>
      <w:marRight w:val="0"/>
      <w:marTop w:val="0"/>
      <w:marBottom w:val="0"/>
      <w:divBdr>
        <w:top w:val="none" w:sz="0" w:space="0" w:color="auto"/>
        <w:left w:val="none" w:sz="0" w:space="0" w:color="auto"/>
        <w:bottom w:val="none" w:sz="0" w:space="0" w:color="auto"/>
        <w:right w:val="none" w:sz="0" w:space="0" w:color="auto"/>
      </w:divBdr>
    </w:div>
    <w:div w:id="107360350">
      <w:bodyDiv w:val="1"/>
      <w:marLeft w:val="0"/>
      <w:marRight w:val="0"/>
      <w:marTop w:val="0"/>
      <w:marBottom w:val="0"/>
      <w:divBdr>
        <w:top w:val="none" w:sz="0" w:space="0" w:color="auto"/>
        <w:left w:val="none" w:sz="0" w:space="0" w:color="auto"/>
        <w:bottom w:val="none" w:sz="0" w:space="0" w:color="auto"/>
        <w:right w:val="none" w:sz="0" w:space="0" w:color="auto"/>
      </w:divBdr>
    </w:div>
    <w:div w:id="117917995">
      <w:bodyDiv w:val="1"/>
      <w:marLeft w:val="0"/>
      <w:marRight w:val="0"/>
      <w:marTop w:val="0"/>
      <w:marBottom w:val="0"/>
      <w:divBdr>
        <w:top w:val="none" w:sz="0" w:space="0" w:color="auto"/>
        <w:left w:val="none" w:sz="0" w:space="0" w:color="auto"/>
        <w:bottom w:val="none" w:sz="0" w:space="0" w:color="auto"/>
        <w:right w:val="none" w:sz="0" w:space="0" w:color="auto"/>
      </w:divBdr>
    </w:div>
    <w:div w:id="124545776">
      <w:bodyDiv w:val="1"/>
      <w:marLeft w:val="0"/>
      <w:marRight w:val="0"/>
      <w:marTop w:val="0"/>
      <w:marBottom w:val="0"/>
      <w:divBdr>
        <w:top w:val="none" w:sz="0" w:space="0" w:color="auto"/>
        <w:left w:val="none" w:sz="0" w:space="0" w:color="auto"/>
        <w:bottom w:val="none" w:sz="0" w:space="0" w:color="auto"/>
        <w:right w:val="none" w:sz="0" w:space="0" w:color="auto"/>
      </w:divBdr>
    </w:div>
    <w:div w:id="141049435">
      <w:bodyDiv w:val="1"/>
      <w:marLeft w:val="0"/>
      <w:marRight w:val="0"/>
      <w:marTop w:val="0"/>
      <w:marBottom w:val="0"/>
      <w:divBdr>
        <w:top w:val="none" w:sz="0" w:space="0" w:color="auto"/>
        <w:left w:val="none" w:sz="0" w:space="0" w:color="auto"/>
        <w:bottom w:val="none" w:sz="0" w:space="0" w:color="auto"/>
        <w:right w:val="none" w:sz="0" w:space="0" w:color="auto"/>
      </w:divBdr>
    </w:div>
    <w:div w:id="159661073">
      <w:bodyDiv w:val="1"/>
      <w:marLeft w:val="0"/>
      <w:marRight w:val="0"/>
      <w:marTop w:val="0"/>
      <w:marBottom w:val="0"/>
      <w:divBdr>
        <w:top w:val="none" w:sz="0" w:space="0" w:color="auto"/>
        <w:left w:val="none" w:sz="0" w:space="0" w:color="auto"/>
        <w:bottom w:val="none" w:sz="0" w:space="0" w:color="auto"/>
        <w:right w:val="none" w:sz="0" w:space="0" w:color="auto"/>
      </w:divBdr>
    </w:div>
    <w:div w:id="180049678">
      <w:bodyDiv w:val="1"/>
      <w:marLeft w:val="0"/>
      <w:marRight w:val="0"/>
      <w:marTop w:val="0"/>
      <w:marBottom w:val="0"/>
      <w:divBdr>
        <w:top w:val="none" w:sz="0" w:space="0" w:color="auto"/>
        <w:left w:val="none" w:sz="0" w:space="0" w:color="auto"/>
        <w:bottom w:val="none" w:sz="0" w:space="0" w:color="auto"/>
        <w:right w:val="none" w:sz="0" w:space="0" w:color="auto"/>
      </w:divBdr>
    </w:div>
    <w:div w:id="183592656">
      <w:bodyDiv w:val="1"/>
      <w:marLeft w:val="0"/>
      <w:marRight w:val="0"/>
      <w:marTop w:val="0"/>
      <w:marBottom w:val="0"/>
      <w:divBdr>
        <w:top w:val="none" w:sz="0" w:space="0" w:color="auto"/>
        <w:left w:val="none" w:sz="0" w:space="0" w:color="auto"/>
        <w:bottom w:val="none" w:sz="0" w:space="0" w:color="auto"/>
        <w:right w:val="none" w:sz="0" w:space="0" w:color="auto"/>
      </w:divBdr>
      <w:divsChild>
        <w:div w:id="621229829">
          <w:marLeft w:val="0"/>
          <w:marRight w:val="0"/>
          <w:marTop w:val="0"/>
          <w:marBottom w:val="0"/>
          <w:divBdr>
            <w:top w:val="none" w:sz="0" w:space="0" w:color="auto"/>
            <w:left w:val="none" w:sz="0" w:space="0" w:color="auto"/>
            <w:bottom w:val="none" w:sz="0" w:space="0" w:color="auto"/>
            <w:right w:val="none" w:sz="0" w:space="0" w:color="auto"/>
          </w:divBdr>
        </w:div>
        <w:div w:id="659113616">
          <w:marLeft w:val="0"/>
          <w:marRight w:val="0"/>
          <w:marTop w:val="0"/>
          <w:marBottom w:val="0"/>
          <w:divBdr>
            <w:top w:val="none" w:sz="0" w:space="0" w:color="auto"/>
            <w:left w:val="none" w:sz="0" w:space="0" w:color="auto"/>
            <w:bottom w:val="none" w:sz="0" w:space="0" w:color="auto"/>
            <w:right w:val="none" w:sz="0" w:space="0" w:color="auto"/>
          </w:divBdr>
        </w:div>
      </w:divsChild>
    </w:div>
    <w:div w:id="187374453">
      <w:bodyDiv w:val="1"/>
      <w:marLeft w:val="0"/>
      <w:marRight w:val="0"/>
      <w:marTop w:val="0"/>
      <w:marBottom w:val="0"/>
      <w:divBdr>
        <w:top w:val="none" w:sz="0" w:space="0" w:color="auto"/>
        <w:left w:val="none" w:sz="0" w:space="0" w:color="auto"/>
        <w:bottom w:val="none" w:sz="0" w:space="0" w:color="auto"/>
        <w:right w:val="none" w:sz="0" w:space="0" w:color="auto"/>
      </w:divBdr>
    </w:div>
    <w:div w:id="198057391">
      <w:bodyDiv w:val="1"/>
      <w:marLeft w:val="0"/>
      <w:marRight w:val="0"/>
      <w:marTop w:val="0"/>
      <w:marBottom w:val="0"/>
      <w:divBdr>
        <w:top w:val="none" w:sz="0" w:space="0" w:color="auto"/>
        <w:left w:val="none" w:sz="0" w:space="0" w:color="auto"/>
        <w:bottom w:val="none" w:sz="0" w:space="0" w:color="auto"/>
        <w:right w:val="none" w:sz="0" w:space="0" w:color="auto"/>
      </w:divBdr>
    </w:div>
    <w:div w:id="200095167">
      <w:bodyDiv w:val="1"/>
      <w:marLeft w:val="0"/>
      <w:marRight w:val="0"/>
      <w:marTop w:val="0"/>
      <w:marBottom w:val="0"/>
      <w:divBdr>
        <w:top w:val="none" w:sz="0" w:space="0" w:color="auto"/>
        <w:left w:val="none" w:sz="0" w:space="0" w:color="auto"/>
        <w:bottom w:val="none" w:sz="0" w:space="0" w:color="auto"/>
        <w:right w:val="none" w:sz="0" w:space="0" w:color="auto"/>
      </w:divBdr>
    </w:div>
    <w:div w:id="200829656">
      <w:bodyDiv w:val="1"/>
      <w:marLeft w:val="0"/>
      <w:marRight w:val="0"/>
      <w:marTop w:val="0"/>
      <w:marBottom w:val="0"/>
      <w:divBdr>
        <w:top w:val="none" w:sz="0" w:space="0" w:color="auto"/>
        <w:left w:val="none" w:sz="0" w:space="0" w:color="auto"/>
        <w:bottom w:val="none" w:sz="0" w:space="0" w:color="auto"/>
        <w:right w:val="none" w:sz="0" w:space="0" w:color="auto"/>
      </w:divBdr>
    </w:div>
    <w:div w:id="209801223">
      <w:bodyDiv w:val="1"/>
      <w:marLeft w:val="0"/>
      <w:marRight w:val="0"/>
      <w:marTop w:val="0"/>
      <w:marBottom w:val="0"/>
      <w:divBdr>
        <w:top w:val="none" w:sz="0" w:space="0" w:color="auto"/>
        <w:left w:val="none" w:sz="0" w:space="0" w:color="auto"/>
        <w:bottom w:val="none" w:sz="0" w:space="0" w:color="auto"/>
        <w:right w:val="none" w:sz="0" w:space="0" w:color="auto"/>
      </w:divBdr>
    </w:div>
    <w:div w:id="213079071">
      <w:marLeft w:val="0"/>
      <w:marRight w:val="0"/>
      <w:marTop w:val="0"/>
      <w:marBottom w:val="0"/>
      <w:divBdr>
        <w:top w:val="none" w:sz="0" w:space="0" w:color="auto"/>
        <w:left w:val="none" w:sz="0" w:space="0" w:color="auto"/>
        <w:bottom w:val="none" w:sz="0" w:space="0" w:color="auto"/>
        <w:right w:val="none" w:sz="0" w:space="0" w:color="auto"/>
      </w:divBdr>
    </w:div>
    <w:div w:id="225723817">
      <w:bodyDiv w:val="1"/>
      <w:marLeft w:val="0"/>
      <w:marRight w:val="0"/>
      <w:marTop w:val="0"/>
      <w:marBottom w:val="0"/>
      <w:divBdr>
        <w:top w:val="none" w:sz="0" w:space="0" w:color="auto"/>
        <w:left w:val="none" w:sz="0" w:space="0" w:color="auto"/>
        <w:bottom w:val="none" w:sz="0" w:space="0" w:color="auto"/>
        <w:right w:val="none" w:sz="0" w:space="0" w:color="auto"/>
      </w:divBdr>
      <w:divsChild>
        <w:div w:id="872306257">
          <w:marLeft w:val="547"/>
          <w:marRight w:val="0"/>
          <w:marTop w:val="0"/>
          <w:marBottom w:val="0"/>
          <w:divBdr>
            <w:top w:val="none" w:sz="0" w:space="0" w:color="auto"/>
            <w:left w:val="none" w:sz="0" w:space="0" w:color="auto"/>
            <w:bottom w:val="none" w:sz="0" w:space="0" w:color="auto"/>
            <w:right w:val="none" w:sz="0" w:space="0" w:color="auto"/>
          </w:divBdr>
        </w:div>
      </w:divsChild>
    </w:div>
    <w:div w:id="233971176">
      <w:bodyDiv w:val="1"/>
      <w:marLeft w:val="0"/>
      <w:marRight w:val="0"/>
      <w:marTop w:val="0"/>
      <w:marBottom w:val="0"/>
      <w:divBdr>
        <w:top w:val="none" w:sz="0" w:space="0" w:color="auto"/>
        <w:left w:val="none" w:sz="0" w:space="0" w:color="auto"/>
        <w:bottom w:val="none" w:sz="0" w:space="0" w:color="auto"/>
        <w:right w:val="none" w:sz="0" w:space="0" w:color="auto"/>
      </w:divBdr>
    </w:div>
    <w:div w:id="238098276">
      <w:bodyDiv w:val="1"/>
      <w:marLeft w:val="0"/>
      <w:marRight w:val="0"/>
      <w:marTop w:val="0"/>
      <w:marBottom w:val="0"/>
      <w:divBdr>
        <w:top w:val="none" w:sz="0" w:space="0" w:color="auto"/>
        <w:left w:val="none" w:sz="0" w:space="0" w:color="auto"/>
        <w:bottom w:val="none" w:sz="0" w:space="0" w:color="auto"/>
        <w:right w:val="none" w:sz="0" w:space="0" w:color="auto"/>
      </w:divBdr>
    </w:div>
    <w:div w:id="247155762">
      <w:bodyDiv w:val="1"/>
      <w:marLeft w:val="0"/>
      <w:marRight w:val="0"/>
      <w:marTop w:val="0"/>
      <w:marBottom w:val="0"/>
      <w:divBdr>
        <w:top w:val="none" w:sz="0" w:space="0" w:color="auto"/>
        <w:left w:val="none" w:sz="0" w:space="0" w:color="auto"/>
        <w:bottom w:val="none" w:sz="0" w:space="0" w:color="auto"/>
        <w:right w:val="none" w:sz="0" w:space="0" w:color="auto"/>
      </w:divBdr>
    </w:div>
    <w:div w:id="252974658">
      <w:bodyDiv w:val="1"/>
      <w:marLeft w:val="0"/>
      <w:marRight w:val="0"/>
      <w:marTop w:val="0"/>
      <w:marBottom w:val="0"/>
      <w:divBdr>
        <w:top w:val="none" w:sz="0" w:space="0" w:color="auto"/>
        <w:left w:val="none" w:sz="0" w:space="0" w:color="auto"/>
        <w:bottom w:val="none" w:sz="0" w:space="0" w:color="auto"/>
        <w:right w:val="none" w:sz="0" w:space="0" w:color="auto"/>
      </w:divBdr>
    </w:div>
    <w:div w:id="257714192">
      <w:bodyDiv w:val="1"/>
      <w:marLeft w:val="0"/>
      <w:marRight w:val="0"/>
      <w:marTop w:val="0"/>
      <w:marBottom w:val="0"/>
      <w:divBdr>
        <w:top w:val="none" w:sz="0" w:space="0" w:color="auto"/>
        <w:left w:val="none" w:sz="0" w:space="0" w:color="auto"/>
        <w:bottom w:val="none" w:sz="0" w:space="0" w:color="auto"/>
        <w:right w:val="none" w:sz="0" w:space="0" w:color="auto"/>
      </w:divBdr>
    </w:div>
    <w:div w:id="259996619">
      <w:bodyDiv w:val="1"/>
      <w:marLeft w:val="0"/>
      <w:marRight w:val="0"/>
      <w:marTop w:val="0"/>
      <w:marBottom w:val="0"/>
      <w:divBdr>
        <w:top w:val="none" w:sz="0" w:space="0" w:color="auto"/>
        <w:left w:val="none" w:sz="0" w:space="0" w:color="auto"/>
        <w:bottom w:val="none" w:sz="0" w:space="0" w:color="auto"/>
        <w:right w:val="none" w:sz="0" w:space="0" w:color="auto"/>
      </w:divBdr>
    </w:div>
    <w:div w:id="281767698">
      <w:bodyDiv w:val="1"/>
      <w:marLeft w:val="0"/>
      <w:marRight w:val="0"/>
      <w:marTop w:val="0"/>
      <w:marBottom w:val="0"/>
      <w:divBdr>
        <w:top w:val="none" w:sz="0" w:space="0" w:color="auto"/>
        <w:left w:val="none" w:sz="0" w:space="0" w:color="auto"/>
        <w:bottom w:val="none" w:sz="0" w:space="0" w:color="auto"/>
        <w:right w:val="none" w:sz="0" w:space="0" w:color="auto"/>
      </w:divBdr>
    </w:div>
    <w:div w:id="283730067">
      <w:bodyDiv w:val="1"/>
      <w:marLeft w:val="0"/>
      <w:marRight w:val="0"/>
      <w:marTop w:val="0"/>
      <w:marBottom w:val="0"/>
      <w:divBdr>
        <w:top w:val="none" w:sz="0" w:space="0" w:color="auto"/>
        <w:left w:val="none" w:sz="0" w:space="0" w:color="auto"/>
        <w:bottom w:val="none" w:sz="0" w:space="0" w:color="auto"/>
        <w:right w:val="none" w:sz="0" w:space="0" w:color="auto"/>
      </w:divBdr>
    </w:div>
    <w:div w:id="287129206">
      <w:bodyDiv w:val="1"/>
      <w:marLeft w:val="0"/>
      <w:marRight w:val="0"/>
      <w:marTop w:val="0"/>
      <w:marBottom w:val="0"/>
      <w:divBdr>
        <w:top w:val="none" w:sz="0" w:space="0" w:color="auto"/>
        <w:left w:val="none" w:sz="0" w:space="0" w:color="auto"/>
        <w:bottom w:val="none" w:sz="0" w:space="0" w:color="auto"/>
        <w:right w:val="none" w:sz="0" w:space="0" w:color="auto"/>
      </w:divBdr>
    </w:div>
    <w:div w:id="289942792">
      <w:bodyDiv w:val="1"/>
      <w:marLeft w:val="0"/>
      <w:marRight w:val="0"/>
      <w:marTop w:val="0"/>
      <w:marBottom w:val="0"/>
      <w:divBdr>
        <w:top w:val="none" w:sz="0" w:space="0" w:color="auto"/>
        <w:left w:val="none" w:sz="0" w:space="0" w:color="auto"/>
        <w:bottom w:val="none" w:sz="0" w:space="0" w:color="auto"/>
        <w:right w:val="none" w:sz="0" w:space="0" w:color="auto"/>
      </w:divBdr>
    </w:div>
    <w:div w:id="318968554">
      <w:bodyDiv w:val="1"/>
      <w:marLeft w:val="0"/>
      <w:marRight w:val="0"/>
      <w:marTop w:val="0"/>
      <w:marBottom w:val="0"/>
      <w:divBdr>
        <w:top w:val="none" w:sz="0" w:space="0" w:color="auto"/>
        <w:left w:val="none" w:sz="0" w:space="0" w:color="auto"/>
        <w:bottom w:val="none" w:sz="0" w:space="0" w:color="auto"/>
        <w:right w:val="none" w:sz="0" w:space="0" w:color="auto"/>
      </w:divBdr>
    </w:div>
    <w:div w:id="367682539">
      <w:bodyDiv w:val="1"/>
      <w:marLeft w:val="0"/>
      <w:marRight w:val="0"/>
      <w:marTop w:val="0"/>
      <w:marBottom w:val="0"/>
      <w:divBdr>
        <w:top w:val="none" w:sz="0" w:space="0" w:color="auto"/>
        <w:left w:val="none" w:sz="0" w:space="0" w:color="auto"/>
        <w:bottom w:val="none" w:sz="0" w:space="0" w:color="auto"/>
        <w:right w:val="none" w:sz="0" w:space="0" w:color="auto"/>
      </w:divBdr>
      <w:divsChild>
        <w:div w:id="838428795">
          <w:marLeft w:val="0"/>
          <w:marRight w:val="0"/>
          <w:marTop w:val="0"/>
          <w:marBottom w:val="0"/>
          <w:divBdr>
            <w:top w:val="none" w:sz="0" w:space="0" w:color="auto"/>
            <w:left w:val="none" w:sz="0" w:space="0" w:color="auto"/>
            <w:bottom w:val="none" w:sz="0" w:space="0" w:color="auto"/>
            <w:right w:val="none" w:sz="0" w:space="0" w:color="auto"/>
          </w:divBdr>
        </w:div>
        <w:div w:id="1587613677">
          <w:marLeft w:val="0"/>
          <w:marRight w:val="0"/>
          <w:marTop w:val="0"/>
          <w:marBottom w:val="0"/>
          <w:divBdr>
            <w:top w:val="none" w:sz="0" w:space="0" w:color="auto"/>
            <w:left w:val="none" w:sz="0" w:space="0" w:color="auto"/>
            <w:bottom w:val="none" w:sz="0" w:space="0" w:color="auto"/>
            <w:right w:val="none" w:sz="0" w:space="0" w:color="auto"/>
          </w:divBdr>
        </w:div>
        <w:div w:id="1979145133">
          <w:marLeft w:val="0"/>
          <w:marRight w:val="0"/>
          <w:marTop w:val="0"/>
          <w:marBottom w:val="0"/>
          <w:divBdr>
            <w:top w:val="none" w:sz="0" w:space="0" w:color="auto"/>
            <w:left w:val="none" w:sz="0" w:space="0" w:color="auto"/>
            <w:bottom w:val="none" w:sz="0" w:space="0" w:color="auto"/>
            <w:right w:val="none" w:sz="0" w:space="0" w:color="auto"/>
          </w:divBdr>
        </w:div>
      </w:divsChild>
    </w:div>
    <w:div w:id="374350772">
      <w:bodyDiv w:val="1"/>
      <w:marLeft w:val="0"/>
      <w:marRight w:val="0"/>
      <w:marTop w:val="0"/>
      <w:marBottom w:val="0"/>
      <w:divBdr>
        <w:top w:val="none" w:sz="0" w:space="0" w:color="auto"/>
        <w:left w:val="none" w:sz="0" w:space="0" w:color="auto"/>
        <w:bottom w:val="none" w:sz="0" w:space="0" w:color="auto"/>
        <w:right w:val="none" w:sz="0" w:space="0" w:color="auto"/>
      </w:divBdr>
    </w:div>
    <w:div w:id="379519953">
      <w:bodyDiv w:val="1"/>
      <w:marLeft w:val="0"/>
      <w:marRight w:val="0"/>
      <w:marTop w:val="0"/>
      <w:marBottom w:val="0"/>
      <w:divBdr>
        <w:top w:val="none" w:sz="0" w:space="0" w:color="auto"/>
        <w:left w:val="none" w:sz="0" w:space="0" w:color="auto"/>
        <w:bottom w:val="none" w:sz="0" w:space="0" w:color="auto"/>
        <w:right w:val="none" w:sz="0" w:space="0" w:color="auto"/>
      </w:divBdr>
    </w:div>
    <w:div w:id="390545244">
      <w:bodyDiv w:val="1"/>
      <w:marLeft w:val="0"/>
      <w:marRight w:val="0"/>
      <w:marTop w:val="0"/>
      <w:marBottom w:val="0"/>
      <w:divBdr>
        <w:top w:val="none" w:sz="0" w:space="0" w:color="auto"/>
        <w:left w:val="none" w:sz="0" w:space="0" w:color="auto"/>
        <w:bottom w:val="none" w:sz="0" w:space="0" w:color="auto"/>
        <w:right w:val="none" w:sz="0" w:space="0" w:color="auto"/>
      </w:divBdr>
    </w:div>
    <w:div w:id="390690561">
      <w:bodyDiv w:val="1"/>
      <w:marLeft w:val="0"/>
      <w:marRight w:val="0"/>
      <w:marTop w:val="0"/>
      <w:marBottom w:val="0"/>
      <w:divBdr>
        <w:top w:val="none" w:sz="0" w:space="0" w:color="auto"/>
        <w:left w:val="none" w:sz="0" w:space="0" w:color="auto"/>
        <w:bottom w:val="none" w:sz="0" w:space="0" w:color="auto"/>
        <w:right w:val="none" w:sz="0" w:space="0" w:color="auto"/>
      </w:divBdr>
    </w:div>
    <w:div w:id="399332675">
      <w:bodyDiv w:val="1"/>
      <w:marLeft w:val="0"/>
      <w:marRight w:val="0"/>
      <w:marTop w:val="0"/>
      <w:marBottom w:val="0"/>
      <w:divBdr>
        <w:top w:val="none" w:sz="0" w:space="0" w:color="auto"/>
        <w:left w:val="none" w:sz="0" w:space="0" w:color="auto"/>
        <w:bottom w:val="none" w:sz="0" w:space="0" w:color="auto"/>
        <w:right w:val="none" w:sz="0" w:space="0" w:color="auto"/>
      </w:divBdr>
    </w:div>
    <w:div w:id="422068648">
      <w:bodyDiv w:val="1"/>
      <w:marLeft w:val="0"/>
      <w:marRight w:val="0"/>
      <w:marTop w:val="0"/>
      <w:marBottom w:val="0"/>
      <w:divBdr>
        <w:top w:val="none" w:sz="0" w:space="0" w:color="auto"/>
        <w:left w:val="none" w:sz="0" w:space="0" w:color="auto"/>
        <w:bottom w:val="none" w:sz="0" w:space="0" w:color="auto"/>
        <w:right w:val="none" w:sz="0" w:space="0" w:color="auto"/>
      </w:divBdr>
    </w:div>
    <w:div w:id="445541470">
      <w:bodyDiv w:val="1"/>
      <w:marLeft w:val="0"/>
      <w:marRight w:val="0"/>
      <w:marTop w:val="0"/>
      <w:marBottom w:val="0"/>
      <w:divBdr>
        <w:top w:val="none" w:sz="0" w:space="0" w:color="auto"/>
        <w:left w:val="none" w:sz="0" w:space="0" w:color="auto"/>
        <w:bottom w:val="none" w:sz="0" w:space="0" w:color="auto"/>
        <w:right w:val="none" w:sz="0" w:space="0" w:color="auto"/>
      </w:divBdr>
    </w:div>
    <w:div w:id="474104202">
      <w:marLeft w:val="0"/>
      <w:marRight w:val="0"/>
      <w:marTop w:val="0"/>
      <w:marBottom w:val="0"/>
      <w:divBdr>
        <w:top w:val="none" w:sz="0" w:space="0" w:color="auto"/>
        <w:left w:val="none" w:sz="0" w:space="0" w:color="auto"/>
        <w:bottom w:val="none" w:sz="0" w:space="0" w:color="auto"/>
        <w:right w:val="none" w:sz="0" w:space="0" w:color="auto"/>
      </w:divBdr>
    </w:div>
    <w:div w:id="474108061">
      <w:bodyDiv w:val="1"/>
      <w:marLeft w:val="0"/>
      <w:marRight w:val="0"/>
      <w:marTop w:val="0"/>
      <w:marBottom w:val="0"/>
      <w:divBdr>
        <w:top w:val="none" w:sz="0" w:space="0" w:color="auto"/>
        <w:left w:val="none" w:sz="0" w:space="0" w:color="auto"/>
        <w:bottom w:val="none" w:sz="0" w:space="0" w:color="auto"/>
        <w:right w:val="none" w:sz="0" w:space="0" w:color="auto"/>
      </w:divBdr>
    </w:div>
    <w:div w:id="479227066">
      <w:bodyDiv w:val="1"/>
      <w:marLeft w:val="0"/>
      <w:marRight w:val="0"/>
      <w:marTop w:val="0"/>
      <w:marBottom w:val="0"/>
      <w:divBdr>
        <w:top w:val="none" w:sz="0" w:space="0" w:color="auto"/>
        <w:left w:val="none" w:sz="0" w:space="0" w:color="auto"/>
        <w:bottom w:val="none" w:sz="0" w:space="0" w:color="auto"/>
        <w:right w:val="none" w:sz="0" w:space="0" w:color="auto"/>
      </w:divBdr>
    </w:div>
    <w:div w:id="490800392">
      <w:bodyDiv w:val="1"/>
      <w:marLeft w:val="0"/>
      <w:marRight w:val="0"/>
      <w:marTop w:val="0"/>
      <w:marBottom w:val="0"/>
      <w:divBdr>
        <w:top w:val="none" w:sz="0" w:space="0" w:color="auto"/>
        <w:left w:val="none" w:sz="0" w:space="0" w:color="auto"/>
        <w:bottom w:val="none" w:sz="0" w:space="0" w:color="auto"/>
        <w:right w:val="none" w:sz="0" w:space="0" w:color="auto"/>
      </w:divBdr>
    </w:div>
    <w:div w:id="496073343">
      <w:bodyDiv w:val="1"/>
      <w:marLeft w:val="0"/>
      <w:marRight w:val="0"/>
      <w:marTop w:val="0"/>
      <w:marBottom w:val="0"/>
      <w:divBdr>
        <w:top w:val="none" w:sz="0" w:space="0" w:color="auto"/>
        <w:left w:val="none" w:sz="0" w:space="0" w:color="auto"/>
        <w:bottom w:val="none" w:sz="0" w:space="0" w:color="auto"/>
        <w:right w:val="none" w:sz="0" w:space="0" w:color="auto"/>
      </w:divBdr>
    </w:div>
    <w:div w:id="496310348">
      <w:bodyDiv w:val="1"/>
      <w:marLeft w:val="0"/>
      <w:marRight w:val="0"/>
      <w:marTop w:val="0"/>
      <w:marBottom w:val="0"/>
      <w:divBdr>
        <w:top w:val="none" w:sz="0" w:space="0" w:color="auto"/>
        <w:left w:val="none" w:sz="0" w:space="0" w:color="auto"/>
        <w:bottom w:val="none" w:sz="0" w:space="0" w:color="auto"/>
        <w:right w:val="none" w:sz="0" w:space="0" w:color="auto"/>
      </w:divBdr>
    </w:div>
    <w:div w:id="513307561">
      <w:bodyDiv w:val="1"/>
      <w:marLeft w:val="0"/>
      <w:marRight w:val="0"/>
      <w:marTop w:val="0"/>
      <w:marBottom w:val="0"/>
      <w:divBdr>
        <w:top w:val="none" w:sz="0" w:space="0" w:color="auto"/>
        <w:left w:val="none" w:sz="0" w:space="0" w:color="auto"/>
        <w:bottom w:val="none" w:sz="0" w:space="0" w:color="auto"/>
        <w:right w:val="none" w:sz="0" w:space="0" w:color="auto"/>
      </w:divBdr>
    </w:div>
    <w:div w:id="520238709">
      <w:bodyDiv w:val="1"/>
      <w:marLeft w:val="0"/>
      <w:marRight w:val="0"/>
      <w:marTop w:val="0"/>
      <w:marBottom w:val="0"/>
      <w:divBdr>
        <w:top w:val="none" w:sz="0" w:space="0" w:color="auto"/>
        <w:left w:val="none" w:sz="0" w:space="0" w:color="auto"/>
        <w:bottom w:val="none" w:sz="0" w:space="0" w:color="auto"/>
        <w:right w:val="none" w:sz="0" w:space="0" w:color="auto"/>
      </w:divBdr>
    </w:div>
    <w:div w:id="526649240">
      <w:bodyDiv w:val="1"/>
      <w:marLeft w:val="0"/>
      <w:marRight w:val="0"/>
      <w:marTop w:val="0"/>
      <w:marBottom w:val="0"/>
      <w:divBdr>
        <w:top w:val="none" w:sz="0" w:space="0" w:color="auto"/>
        <w:left w:val="none" w:sz="0" w:space="0" w:color="auto"/>
        <w:bottom w:val="none" w:sz="0" w:space="0" w:color="auto"/>
        <w:right w:val="none" w:sz="0" w:space="0" w:color="auto"/>
      </w:divBdr>
    </w:div>
    <w:div w:id="535700465">
      <w:bodyDiv w:val="1"/>
      <w:marLeft w:val="0"/>
      <w:marRight w:val="0"/>
      <w:marTop w:val="0"/>
      <w:marBottom w:val="0"/>
      <w:divBdr>
        <w:top w:val="none" w:sz="0" w:space="0" w:color="auto"/>
        <w:left w:val="none" w:sz="0" w:space="0" w:color="auto"/>
        <w:bottom w:val="none" w:sz="0" w:space="0" w:color="auto"/>
        <w:right w:val="none" w:sz="0" w:space="0" w:color="auto"/>
      </w:divBdr>
    </w:div>
    <w:div w:id="538468783">
      <w:bodyDiv w:val="1"/>
      <w:marLeft w:val="0"/>
      <w:marRight w:val="0"/>
      <w:marTop w:val="0"/>
      <w:marBottom w:val="0"/>
      <w:divBdr>
        <w:top w:val="none" w:sz="0" w:space="0" w:color="auto"/>
        <w:left w:val="none" w:sz="0" w:space="0" w:color="auto"/>
        <w:bottom w:val="none" w:sz="0" w:space="0" w:color="auto"/>
        <w:right w:val="none" w:sz="0" w:space="0" w:color="auto"/>
      </w:divBdr>
    </w:div>
    <w:div w:id="541940331">
      <w:bodyDiv w:val="1"/>
      <w:marLeft w:val="0"/>
      <w:marRight w:val="0"/>
      <w:marTop w:val="0"/>
      <w:marBottom w:val="0"/>
      <w:divBdr>
        <w:top w:val="none" w:sz="0" w:space="0" w:color="auto"/>
        <w:left w:val="none" w:sz="0" w:space="0" w:color="auto"/>
        <w:bottom w:val="none" w:sz="0" w:space="0" w:color="auto"/>
        <w:right w:val="none" w:sz="0" w:space="0" w:color="auto"/>
      </w:divBdr>
    </w:div>
    <w:div w:id="554588858">
      <w:bodyDiv w:val="1"/>
      <w:marLeft w:val="0"/>
      <w:marRight w:val="0"/>
      <w:marTop w:val="0"/>
      <w:marBottom w:val="0"/>
      <w:divBdr>
        <w:top w:val="none" w:sz="0" w:space="0" w:color="auto"/>
        <w:left w:val="none" w:sz="0" w:space="0" w:color="auto"/>
        <w:bottom w:val="none" w:sz="0" w:space="0" w:color="auto"/>
        <w:right w:val="none" w:sz="0" w:space="0" w:color="auto"/>
      </w:divBdr>
    </w:div>
    <w:div w:id="561595498">
      <w:bodyDiv w:val="1"/>
      <w:marLeft w:val="0"/>
      <w:marRight w:val="0"/>
      <w:marTop w:val="0"/>
      <w:marBottom w:val="0"/>
      <w:divBdr>
        <w:top w:val="none" w:sz="0" w:space="0" w:color="auto"/>
        <w:left w:val="none" w:sz="0" w:space="0" w:color="auto"/>
        <w:bottom w:val="none" w:sz="0" w:space="0" w:color="auto"/>
        <w:right w:val="none" w:sz="0" w:space="0" w:color="auto"/>
      </w:divBdr>
    </w:div>
    <w:div w:id="568879292">
      <w:bodyDiv w:val="1"/>
      <w:marLeft w:val="0"/>
      <w:marRight w:val="0"/>
      <w:marTop w:val="0"/>
      <w:marBottom w:val="0"/>
      <w:divBdr>
        <w:top w:val="none" w:sz="0" w:space="0" w:color="auto"/>
        <w:left w:val="none" w:sz="0" w:space="0" w:color="auto"/>
        <w:bottom w:val="none" w:sz="0" w:space="0" w:color="auto"/>
        <w:right w:val="none" w:sz="0" w:space="0" w:color="auto"/>
      </w:divBdr>
    </w:div>
    <w:div w:id="586615564">
      <w:bodyDiv w:val="1"/>
      <w:marLeft w:val="0"/>
      <w:marRight w:val="0"/>
      <w:marTop w:val="0"/>
      <w:marBottom w:val="0"/>
      <w:divBdr>
        <w:top w:val="none" w:sz="0" w:space="0" w:color="auto"/>
        <w:left w:val="none" w:sz="0" w:space="0" w:color="auto"/>
        <w:bottom w:val="none" w:sz="0" w:space="0" w:color="auto"/>
        <w:right w:val="none" w:sz="0" w:space="0" w:color="auto"/>
      </w:divBdr>
    </w:div>
    <w:div w:id="587732450">
      <w:bodyDiv w:val="1"/>
      <w:marLeft w:val="0"/>
      <w:marRight w:val="0"/>
      <w:marTop w:val="0"/>
      <w:marBottom w:val="0"/>
      <w:divBdr>
        <w:top w:val="none" w:sz="0" w:space="0" w:color="auto"/>
        <w:left w:val="none" w:sz="0" w:space="0" w:color="auto"/>
        <w:bottom w:val="none" w:sz="0" w:space="0" w:color="auto"/>
        <w:right w:val="none" w:sz="0" w:space="0" w:color="auto"/>
      </w:divBdr>
    </w:div>
    <w:div w:id="589584312">
      <w:bodyDiv w:val="1"/>
      <w:marLeft w:val="0"/>
      <w:marRight w:val="0"/>
      <w:marTop w:val="0"/>
      <w:marBottom w:val="0"/>
      <w:divBdr>
        <w:top w:val="none" w:sz="0" w:space="0" w:color="auto"/>
        <w:left w:val="none" w:sz="0" w:space="0" w:color="auto"/>
        <w:bottom w:val="none" w:sz="0" w:space="0" w:color="auto"/>
        <w:right w:val="none" w:sz="0" w:space="0" w:color="auto"/>
      </w:divBdr>
    </w:div>
    <w:div w:id="610357214">
      <w:bodyDiv w:val="1"/>
      <w:marLeft w:val="0"/>
      <w:marRight w:val="0"/>
      <w:marTop w:val="0"/>
      <w:marBottom w:val="0"/>
      <w:divBdr>
        <w:top w:val="none" w:sz="0" w:space="0" w:color="auto"/>
        <w:left w:val="none" w:sz="0" w:space="0" w:color="auto"/>
        <w:bottom w:val="none" w:sz="0" w:space="0" w:color="auto"/>
        <w:right w:val="none" w:sz="0" w:space="0" w:color="auto"/>
      </w:divBdr>
    </w:div>
    <w:div w:id="623539522">
      <w:bodyDiv w:val="1"/>
      <w:marLeft w:val="0"/>
      <w:marRight w:val="0"/>
      <w:marTop w:val="0"/>
      <w:marBottom w:val="0"/>
      <w:divBdr>
        <w:top w:val="none" w:sz="0" w:space="0" w:color="auto"/>
        <w:left w:val="none" w:sz="0" w:space="0" w:color="auto"/>
        <w:bottom w:val="none" w:sz="0" w:space="0" w:color="auto"/>
        <w:right w:val="none" w:sz="0" w:space="0" w:color="auto"/>
      </w:divBdr>
    </w:div>
    <w:div w:id="628825417">
      <w:bodyDiv w:val="1"/>
      <w:marLeft w:val="0"/>
      <w:marRight w:val="0"/>
      <w:marTop w:val="0"/>
      <w:marBottom w:val="0"/>
      <w:divBdr>
        <w:top w:val="none" w:sz="0" w:space="0" w:color="auto"/>
        <w:left w:val="none" w:sz="0" w:space="0" w:color="auto"/>
        <w:bottom w:val="none" w:sz="0" w:space="0" w:color="auto"/>
        <w:right w:val="none" w:sz="0" w:space="0" w:color="auto"/>
      </w:divBdr>
    </w:div>
    <w:div w:id="630329111">
      <w:bodyDiv w:val="1"/>
      <w:marLeft w:val="0"/>
      <w:marRight w:val="0"/>
      <w:marTop w:val="0"/>
      <w:marBottom w:val="0"/>
      <w:divBdr>
        <w:top w:val="none" w:sz="0" w:space="0" w:color="auto"/>
        <w:left w:val="none" w:sz="0" w:space="0" w:color="auto"/>
        <w:bottom w:val="none" w:sz="0" w:space="0" w:color="auto"/>
        <w:right w:val="none" w:sz="0" w:space="0" w:color="auto"/>
      </w:divBdr>
    </w:div>
    <w:div w:id="634411263">
      <w:bodyDiv w:val="1"/>
      <w:marLeft w:val="0"/>
      <w:marRight w:val="0"/>
      <w:marTop w:val="0"/>
      <w:marBottom w:val="0"/>
      <w:divBdr>
        <w:top w:val="none" w:sz="0" w:space="0" w:color="auto"/>
        <w:left w:val="none" w:sz="0" w:space="0" w:color="auto"/>
        <w:bottom w:val="none" w:sz="0" w:space="0" w:color="auto"/>
        <w:right w:val="none" w:sz="0" w:space="0" w:color="auto"/>
      </w:divBdr>
    </w:div>
    <w:div w:id="645817614">
      <w:bodyDiv w:val="1"/>
      <w:marLeft w:val="0"/>
      <w:marRight w:val="0"/>
      <w:marTop w:val="0"/>
      <w:marBottom w:val="0"/>
      <w:divBdr>
        <w:top w:val="none" w:sz="0" w:space="0" w:color="auto"/>
        <w:left w:val="none" w:sz="0" w:space="0" w:color="auto"/>
        <w:bottom w:val="none" w:sz="0" w:space="0" w:color="auto"/>
        <w:right w:val="none" w:sz="0" w:space="0" w:color="auto"/>
      </w:divBdr>
    </w:div>
    <w:div w:id="658582023">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687677619">
      <w:bodyDiv w:val="1"/>
      <w:marLeft w:val="0"/>
      <w:marRight w:val="0"/>
      <w:marTop w:val="0"/>
      <w:marBottom w:val="0"/>
      <w:divBdr>
        <w:top w:val="none" w:sz="0" w:space="0" w:color="auto"/>
        <w:left w:val="none" w:sz="0" w:space="0" w:color="auto"/>
        <w:bottom w:val="none" w:sz="0" w:space="0" w:color="auto"/>
        <w:right w:val="none" w:sz="0" w:space="0" w:color="auto"/>
      </w:divBdr>
    </w:div>
    <w:div w:id="730271793">
      <w:bodyDiv w:val="1"/>
      <w:marLeft w:val="0"/>
      <w:marRight w:val="0"/>
      <w:marTop w:val="0"/>
      <w:marBottom w:val="0"/>
      <w:divBdr>
        <w:top w:val="none" w:sz="0" w:space="0" w:color="auto"/>
        <w:left w:val="none" w:sz="0" w:space="0" w:color="auto"/>
        <w:bottom w:val="none" w:sz="0" w:space="0" w:color="auto"/>
        <w:right w:val="none" w:sz="0" w:space="0" w:color="auto"/>
      </w:divBdr>
    </w:div>
    <w:div w:id="753207045">
      <w:bodyDiv w:val="1"/>
      <w:marLeft w:val="0"/>
      <w:marRight w:val="0"/>
      <w:marTop w:val="0"/>
      <w:marBottom w:val="0"/>
      <w:divBdr>
        <w:top w:val="none" w:sz="0" w:space="0" w:color="auto"/>
        <w:left w:val="none" w:sz="0" w:space="0" w:color="auto"/>
        <w:bottom w:val="none" w:sz="0" w:space="0" w:color="auto"/>
        <w:right w:val="none" w:sz="0" w:space="0" w:color="auto"/>
      </w:divBdr>
    </w:div>
    <w:div w:id="778182846">
      <w:bodyDiv w:val="1"/>
      <w:marLeft w:val="0"/>
      <w:marRight w:val="0"/>
      <w:marTop w:val="0"/>
      <w:marBottom w:val="0"/>
      <w:divBdr>
        <w:top w:val="none" w:sz="0" w:space="0" w:color="auto"/>
        <w:left w:val="none" w:sz="0" w:space="0" w:color="auto"/>
        <w:bottom w:val="none" w:sz="0" w:space="0" w:color="auto"/>
        <w:right w:val="none" w:sz="0" w:space="0" w:color="auto"/>
      </w:divBdr>
    </w:div>
    <w:div w:id="783891432">
      <w:bodyDiv w:val="1"/>
      <w:marLeft w:val="0"/>
      <w:marRight w:val="0"/>
      <w:marTop w:val="0"/>
      <w:marBottom w:val="0"/>
      <w:divBdr>
        <w:top w:val="none" w:sz="0" w:space="0" w:color="auto"/>
        <w:left w:val="none" w:sz="0" w:space="0" w:color="auto"/>
        <w:bottom w:val="none" w:sz="0" w:space="0" w:color="auto"/>
        <w:right w:val="none" w:sz="0" w:space="0" w:color="auto"/>
      </w:divBdr>
    </w:div>
    <w:div w:id="784348386">
      <w:bodyDiv w:val="1"/>
      <w:marLeft w:val="0"/>
      <w:marRight w:val="0"/>
      <w:marTop w:val="0"/>
      <w:marBottom w:val="0"/>
      <w:divBdr>
        <w:top w:val="none" w:sz="0" w:space="0" w:color="auto"/>
        <w:left w:val="none" w:sz="0" w:space="0" w:color="auto"/>
        <w:bottom w:val="none" w:sz="0" w:space="0" w:color="auto"/>
        <w:right w:val="none" w:sz="0" w:space="0" w:color="auto"/>
      </w:divBdr>
    </w:div>
    <w:div w:id="787431905">
      <w:bodyDiv w:val="1"/>
      <w:marLeft w:val="0"/>
      <w:marRight w:val="0"/>
      <w:marTop w:val="0"/>
      <w:marBottom w:val="0"/>
      <w:divBdr>
        <w:top w:val="none" w:sz="0" w:space="0" w:color="auto"/>
        <w:left w:val="none" w:sz="0" w:space="0" w:color="auto"/>
        <w:bottom w:val="none" w:sz="0" w:space="0" w:color="auto"/>
        <w:right w:val="none" w:sz="0" w:space="0" w:color="auto"/>
      </w:divBdr>
      <w:divsChild>
        <w:div w:id="46220680">
          <w:marLeft w:val="0"/>
          <w:marRight w:val="0"/>
          <w:marTop w:val="0"/>
          <w:marBottom w:val="0"/>
          <w:divBdr>
            <w:top w:val="none" w:sz="0" w:space="0" w:color="auto"/>
            <w:left w:val="none" w:sz="0" w:space="0" w:color="auto"/>
            <w:bottom w:val="none" w:sz="0" w:space="0" w:color="auto"/>
            <w:right w:val="none" w:sz="0" w:space="0" w:color="auto"/>
          </w:divBdr>
        </w:div>
        <w:div w:id="189805605">
          <w:marLeft w:val="0"/>
          <w:marRight w:val="0"/>
          <w:marTop w:val="0"/>
          <w:marBottom w:val="0"/>
          <w:divBdr>
            <w:top w:val="none" w:sz="0" w:space="0" w:color="auto"/>
            <w:left w:val="none" w:sz="0" w:space="0" w:color="auto"/>
            <w:bottom w:val="none" w:sz="0" w:space="0" w:color="auto"/>
            <w:right w:val="none" w:sz="0" w:space="0" w:color="auto"/>
          </w:divBdr>
        </w:div>
        <w:div w:id="218129947">
          <w:marLeft w:val="0"/>
          <w:marRight w:val="0"/>
          <w:marTop w:val="0"/>
          <w:marBottom w:val="0"/>
          <w:divBdr>
            <w:top w:val="none" w:sz="0" w:space="0" w:color="auto"/>
            <w:left w:val="none" w:sz="0" w:space="0" w:color="auto"/>
            <w:bottom w:val="none" w:sz="0" w:space="0" w:color="auto"/>
            <w:right w:val="none" w:sz="0" w:space="0" w:color="auto"/>
          </w:divBdr>
        </w:div>
        <w:div w:id="859050947">
          <w:marLeft w:val="0"/>
          <w:marRight w:val="0"/>
          <w:marTop w:val="0"/>
          <w:marBottom w:val="0"/>
          <w:divBdr>
            <w:top w:val="none" w:sz="0" w:space="0" w:color="auto"/>
            <w:left w:val="none" w:sz="0" w:space="0" w:color="auto"/>
            <w:bottom w:val="none" w:sz="0" w:space="0" w:color="auto"/>
            <w:right w:val="none" w:sz="0" w:space="0" w:color="auto"/>
          </w:divBdr>
        </w:div>
      </w:divsChild>
    </w:div>
    <w:div w:id="792404078">
      <w:bodyDiv w:val="1"/>
      <w:marLeft w:val="0"/>
      <w:marRight w:val="0"/>
      <w:marTop w:val="0"/>
      <w:marBottom w:val="0"/>
      <w:divBdr>
        <w:top w:val="none" w:sz="0" w:space="0" w:color="auto"/>
        <w:left w:val="none" w:sz="0" w:space="0" w:color="auto"/>
        <w:bottom w:val="none" w:sz="0" w:space="0" w:color="auto"/>
        <w:right w:val="none" w:sz="0" w:space="0" w:color="auto"/>
      </w:divBdr>
    </w:div>
    <w:div w:id="793863494">
      <w:bodyDiv w:val="1"/>
      <w:marLeft w:val="0"/>
      <w:marRight w:val="0"/>
      <w:marTop w:val="0"/>
      <w:marBottom w:val="0"/>
      <w:divBdr>
        <w:top w:val="none" w:sz="0" w:space="0" w:color="auto"/>
        <w:left w:val="none" w:sz="0" w:space="0" w:color="auto"/>
        <w:bottom w:val="none" w:sz="0" w:space="0" w:color="auto"/>
        <w:right w:val="none" w:sz="0" w:space="0" w:color="auto"/>
      </w:divBdr>
    </w:div>
    <w:div w:id="795223800">
      <w:bodyDiv w:val="1"/>
      <w:marLeft w:val="0"/>
      <w:marRight w:val="0"/>
      <w:marTop w:val="0"/>
      <w:marBottom w:val="0"/>
      <w:divBdr>
        <w:top w:val="none" w:sz="0" w:space="0" w:color="auto"/>
        <w:left w:val="none" w:sz="0" w:space="0" w:color="auto"/>
        <w:bottom w:val="none" w:sz="0" w:space="0" w:color="auto"/>
        <w:right w:val="none" w:sz="0" w:space="0" w:color="auto"/>
      </w:divBdr>
    </w:div>
    <w:div w:id="827014177">
      <w:bodyDiv w:val="1"/>
      <w:marLeft w:val="0"/>
      <w:marRight w:val="0"/>
      <w:marTop w:val="0"/>
      <w:marBottom w:val="0"/>
      <w:divBdr>
        <w:top w:val="none" w:sz="0" w:space="0" w:color="auto"/>
        <w:left w:val="none" w:sz="0" w:space="0" w:color="auto"/>
        <w:bottom w:val="none" w:sz="0" w:space="0" w:color="auto"/>
        <w:right w:val="none" w:sz="0" w:space="0" w:color="auto"/>
      </w:divBdr>
    </w:div>
    <w:div w:id="831066829">
      <w:bodyDiv w:val="1"/>
      <w:marLeft w:val="0"/>
      <w:marRight w:val="0"/>
      <w:marTop w:val="0"/>
      <w:marBottom w:val="0"/>
      <w:divBdr>
        <w:top w:val="none" w:sz="0" w:space="0" w:color="auto"/>
        <w:left w:val="none" w:sz="0" w:space="0" w:color="auto"/>
        <w:bottom w:val="none" w:sz="0" w:space="0" w:color="auto"/>
        <w:right w:val="none" w:sz="0" w:space="0" w:color="auto"/>
      </w:divBdr>
    </w:div>
    <w:div w:id="849684000">
      <w:bodyDiv w:val="1"/>
      <w:marLeft w:val="0"/>
      <w:marRight w:val="0"/>
      <w:marTop w:val="0"/>
      <w:marBottom w:val="0"/>
      <w:divBdr>
        <w:top w:val="none" w:sz="0" w:space="0" w:color="auto"/>
        <w:left w:val="none" w:sz="0" w:space="0" w:color="auto"/>
        <w:bottom w:val="none" w:sz="0" w:space="0" w:color="auto"/>
        <w:right w:val="none" w:sz="0" w:space="0" w:color="auto"/>
      </w:divBdr>
    </w:div>
    <w:div w:id="852961229">
      <w:bodyDiv w:val="1"/>
      <w:marLeft w:val="0"/>
      <w:marRight w:val="0"/>
      <w:marTop w:val="0"/>
      <w:marBottom w:val="0"/>
      <w:divBdr>
        <w:top w:val="none" w:sz="0" w:space="0" w:color="auto"/>
        <w:left w:val="none" w:sz="0" w:space="0" w:color="auto"/>
        <w:bottom w:val="none" w:sz="0" w:space="0" w:color="auto"/>
        <w:right w:val="none" w:sz="0" w:space="0" w:color="auto"/>
      </w:divBdr>
    </w:div>
    <w:div w:id="855769377">
      <w:bodyDiv w:val="1"/>
      <w:marLeft w:val="0"/>
      <w:marRight w:val="0"/>
      <w:marTop w:val="0"/>
      <w:marBottom w:val="0"/>
      <w:divBdr>
        <w:top w:val="none" w:sz="0" w:space="0" w:color="auto"/>
        <w:left w:val="none" w:sz="0" w:space="0" w:color="auto"/>
        <w:bottom w:val="none" w:sz="0" w:space="0" w:color="auto"/>
        <w:right w:val="none" w:sz="0" w:space="0" w:color="auto"/>
      </w:divBdr>
    </w:div>
    <w:div w:id="869344906">
      <w:bodyDiv w:val="1"/>
      <w:marLeft w:val="0"/>
      <w:marRight w:val="0"/>
      <w:marTop w:val="0"/>
      <w:marBottom w:val="0"/>
      <w:divBdr>
        <w:top w:val="none" w:sz="0" w:space="0" w:color="auto"/>
        <w:left w:val="none" w:sz="0" w:space="0" w:color="auto"/>
        <w:bottom w:val="none" w:sz="0" w:space="0" w:color="auto"/>
        <w:right w:val="none" w:sz="0" w:space="0" w:color="auto"/>
      </w:divBdr>
      <w:divsChild>
        <w:div w:id="65491617">
          <w:marLeft w:val="0"/>
          <w:marRight w:val="0"/>
          <w:marTop w:val="0"/>
          <w:marBottom w:val="0"/>
          <w:divBdr>
            <w:top w:val="none" w:sz="0" w:space="0" w:color="auto"/>
            <w:left w:val="none" w:sz="0" w:space="0" w:color="auto"/>
            <w:bottom w:val="none" w:sz="0" w:space="0" w:color="auto"/>
            <w:right w:val="none" w:sz="0" w:space="0" w:color="auto"/>
          </w:divBdr>
        </w:div>
        <w:div w:id="1851944090">
          <w:marLeft w:val="0"/>
          <w:marRight w:val="0"/>
          <w:marTop w:val="0"/>
          <w:marBottom w:val="0"/>
          <w:divBdr>
            <w:top w:val="none" w:sz="0" w:space="0" w:color="auto"/>
            <w:left w:val="none" w:sz="0" w:space="0" w:color="auto"/>
            <w:bottom w:val="none" w:sz="0" w:space="0" w:color="auto"/>
            <w:right w:val="none" w:sz="0" w:space="0" w:color="auto"/>
          </w:divBdr>
        </w:div>
        <w:div w:id="2109959971">
          <w:marLeft w:val="0"/>
          <w:marRight w:val="0"/>
          <w:marTop w:val="0"/>
          <w:marBottom w:val="0"/>
          <w:divBdr>
            <w:top w:val="none" w:sz="0" w:space="0" w:color="auto"/>
            <w:left w:val="none" w:sz="0" w:space="0" w:color="auto"/>
            <w:bottom w:val="none" w:sz="0" w:space="0" w:color="auto"/>
            <w:right w:val="none" w:sz="0" w:space="0" w:color="auto"/>
          </w:divBdr>
        </w:div>
      </w:divsChild>
    </w:div>
    <w:div w:id="874387016">
      <w:bodyDiv w:val="1"/>
      <w:marLeft w:val="0"/>
      <w:marRight w:val="0"/>
      <w:marTop w:val="0"/>
      <w:marBottom w:val="0"/>
      <w:divBdr>
        <w:top w:val="none" w:sz="0" w:space="0" w:color="auto"/>
        <w:left w:val="none" w:sz="0" w:space="0" w:color="auto"/>
        <w:bottom w:val="none" w:sz="0" w:space="0" w:color="auto"/>
        <w:right w:val="none" w:sz="0" w:space="0" w:color="auto"/>
      </w:divBdr>
    </w:div>
    <w:div w:id="903878887">
      <w:bodyDiv w:val="1"/>
      <w:marLeft w:val="0"/>
      <w:marRight w:val="0"/>
      <w:marTop w:val="0"/>
      <w:marBottom w:val="0"/>
      <w:divBdr>
        <w:top w:val="none" w:sz="0" w:space="0" w:color="auto"/>
        <w:left w:val="none" w:sz="0" w:space="0" w:color="auto"/>
        <w:bottom w:val="none" w:sz="0" w:space="0" w:color="auto"/>
        <w:right w:val="none" w:sz="0" w:space="0" w:color="auto"/>
      </w:divBdr>
    </w:div>
    <w:div w:id="904534252">
      <w:bodyDiv w:val="1"/>
      <w:marLeft w:val="0"/>
      <w:marRight w:val="0"/>
      <w:marTop w:val="0"/>
      <w:marBottom w:val="0"/>
      <w:divBdr>
        <w:top w:val="none" w:sz="0" w:space="0" w:color="auto"/>
        <w:left w:val="none" w:sz="0" w:space="0" w:color="auto"/>
        <w:bottom w:val="none" w:sz="0" w:space="0" w:color="auto"/>
        <w:right w:val="none" w:sz="0" w:space="0" w:color="auto"/>
      </w:divBdr>
    </w:div>
    <w:div w:id="910429620">
      <w:bodyDiv w:val="1"/>
      <w:marLeft w:val="0"/>
      <w:marRight w:val="0"/>
      <w:marTop w:val="0"/>
      <w:marBottom w:val="0"/>
      <w:divBdr>
        <w:top w:val="none" w:sz="0" w:space="0" w:color="auto"/>
        <w:left w:val="none" w:sz="0" w:space="0" w:color="auto"/>
        <w:bottom w:val="none" w:sz="0" w:space="0" w:color="auto"/>
        <w:right w:val="none" w:sz="0" w:space="0" w:color="auto"/>
      </w:divBdr>
    </w:div>
    <w:div w:id="919407583">
      <w:bodyDiv w:val="1"/>
      <w:marLeft w:val="0"/>
      <w:marRight w:val="0"/>
      <w:marTop w:val="0"/>
      <w:marBottom w:val="0"/>
      <w:divBdr>
        <w:top w:val="none" w:sz="0" w:space="0" w:color="auto"/>
        <w:left w:val="none" w:sz="0" w:space="0" w:color="auto"/>
        <w:bottom w:val="none" w:sz="0" w:space="0" w:color="auto"/>
        <w:right w:val="none" w:sz="0" w:space="0" w:color="auto"/>
      </w:divBdr>
    </w:div>
    <w:div w:id="939222520">
      <w:bodyDiv w:val="1"/>
      <w:marLeft w:val="0"/>
      <w:marRight w:val="0"/>
      <w:marTop w:val="0"/>
      <w:marBottom w:val="0"/>
      <w:divBdr>
        <w:top w:val="none" w:sz="0" w:space="0" w:color="auto"/>
        <w:left w:val="none" w:sz="0" w:space="0" w:color="auto"/>
        <w:bottom w:val="none" w:sz="0" w:space="0" w:color="auto"/>
        <w:right w:val="none" w:sz="0" w:space="0" w:color="auto"/>
      </w:divBdr>
    </w:div>
    <w:div w:id="940455910">
      <w:bodyDiv w:val="1"/>
      <w:marLeft w:val="0"/>
      <w:marRight w:val="0"/>
      <w:marTop w:val="0"/>
      <w:marBottom w:val="0"/>
      <w:divBdr>
        <w:top w:val="none" w:sz="0" w:space="0" w:color="auto"/>
        <w:left w:val="none" w:sz="0" w:space="0" w:color="auto"/>
        <w:bottom w:val="none" w:sz="0" w:space="0" w:color="auto"/>
        <w:right w:val="none" w:sz="0" w:space="0" w:color="auto"/>
      </w:divBdr>
    </w:div>
    <w:div w:id="945236560">
      <w:bodyDiv w:val="1"/>
      <w:marLeft w:val="0"/>
      <w:marRight w:val="0"/>
      <w:marTop w:val="0"/>
      <w:marBottom w:val="0"/>
      <w:divBdr>
        <w:top w:val="none" w:sz="0" w:space="0" w:color="auto"/>
        <w:left w:val="none" w:sz="0" w:space="0" w:color="auto"/>
        <w:bottom w:val="none" w:sz="0" w:space="0" w:color="auto"/>
        <w:right w:val="none" w:sz="0" w:space="0" w:color="auto"/>
      </w:divBdr>
    </w:div>
    <w:div w:id="947354865">
      <w:bodyDiv w:val="1"/>
      <w:marLeft w:val="0"/>
      <w:marRight w:val="0"/>
      <w:marTop w:val="0"/>
      <w:marBottom w:val="0"/>
      <w:divBdr>
        <w:top w:val="none" w:sz="0" w:space="0" w:color="auto"/>
        <w:left w:val="none" w:sz="0" w:space="0" w:color="auto"/>
        <w:bottom w:val="none" w:sz="0" w:space="0" w:color="auto"/>
        <w:right w:val="none" w:sz="0" w:space="0" w:color="auto"/>
      </w:divBdr>
    </w:div>
    <w:div w:id="955990051">
      <w:bodyDiv w:val="1"/>
      <w:marLeft w:val="0"/>
      <w:marRight w:val="0"/>
      <w:marTop w:val="0"/>
      <w:marBottom w:val="0"/>
      <w:divBdr>
        <w:top w:val="none" w:sz="0" w:space="0" w:color="auto"/>
        <w:left w:val="none" w:sz="0" w:space="0" w:color="auto"/>
        <w:bottom w:val="none" w:sz="0" w:space="0" w:color="auto"/>
        <w:right w:val="none" w:sz="0" w:space="0" w:color="auto"/>
      </w:divBdr>
    </w:div>
    <w:div w:id="964045655">
      <w:bodyDiv w:val="1"/>
      <w:marLeft w:val="0"/>
      <w:marRight w:val="0"/>
      <w:marTop w:val="0"/>
      <w:marBottom w:val="0"/>
      <w:divBdr>
        <w:top w:val="none" w:sz="0" w:space="0" w:color="auto"/>
        <w:left w:val="none" w:sz="0" w:space="0" w:color="auto"/>
        <w:bottom w:val="none" w:sz="0" w:space="0" w:color="auto"/>
        <w:right w:val="none" w:sz="0" w:space="0" w:color="auto"/>
      </w:divBdr>
    </w:div>
    <w:div w:id="1009527896">
      <w:bodyDiv w:val="1"/>
      <w:marLeft w:val="0"/>
      <w:marRight w:val="0"/>
      <w:marTop w:val="0"/>
      <w:marBottom w:val="0"/>
      <w:divBdr>
        <w:top w:val="none" w:sz="0" w:space="0" w:color="auto"/>
        <w:left w:val="none" w:sz="0" w:space="0" w:color="auto"/>
        <w:bottom w:val="none" w:sz="0" w:space="0" w:color="auto"/>
        <w:right w:val="none" w:sz="0" w:space="0" w:color="auto"/>
      </w:divBdr>
    </w:div>
    <w:div w:id="1058087249">
      <w:bodyDiv w:val="1"/>
      <w:marLeft w:val="0"/>
      <w:marRight w:val="0"/>
      <w:marTop w:val="0"/>
      <w:marBottom w:val="0"/>
      <w:divBdr>
        <w:top w:val="none" w:sz="0" w:space="0" w:color="auto"/>
        <w:left w:val="none" w:sz="0" w:space="0" w:color="auto"/>
        <w:bottom w:val="none" w:sz="0" w:space="0" w:color="auto"/>
        <w:right w:val="none" w:sz="0" w:space="0" w:color="auto"/>
      </w:divBdr>
    </w:div>
    <w:div w:id="1064984887">
      <w:bodyDiv w:val="1"/>
      <w:marLeft w:val="0"/>
      <w:marRight w:val="0"/>
      <w:marTop w:val="0"/>
      <w:marBottom w:val="0"/>
      <w:divBdr>
        <w:top w:val="none" w:sz="0" w:space="0" w:color="auto"/>
        <w:left w:val="none" w:sz="0" w:space="0" w:color="auto"/>
        <w:bottom w:val="none" w:sz="0" w:space="0" w:color="auto"/>
        <w:right w:val="none" w:sz="0" w:space="0" w:color="auto"/>
      </w:divBdr>
    </w:div>
    <w:div w:id="1084256278">
      <w:bodyDiv w:val="1"/>
      <w:marLeft w:val="0"/>
      <w:marRight w:val="0"/>
      <w:marTop w:val="0"/>
      <w:marBottom w:val="0"/>
      <w:divBdr>
        <w:top w:val="none" w:sz="0" w:space="0" w:color="auto"/>
        <w:left w:val="none" w:sz="0" w:space="0" w:color="auto"/>
        <w:bottom w:val="none" w:sz="0" w:space="0" w:color="auto"/>
        <w:right w:val="none" w:sz="0" w:space="0" w:color="auto"/>
      </w:divBdr>
    </w:div>
    <w:div w:id="1100106624">
      <w:bodyDiv w:val="1"/>
      <w:marLeft w:val="0"/>
      <w:marRight w:val="0"/>
      <w:marTop w:val="0"/>
      <w:marBottom w:val="0"/>
      <w:divBdr>
        <w:top w:val="none" w:sz="0" w:space="0" w:color="auto"/>
        <w:left w:val="none" w:sz="0" w:space="0" w:color="auto"/>
        <w:bottom w:val="none" w:sz="0" w:space="0" w:color="auto"/>
        <w:right w:val="none" w:sz="0" w:space="0" w:color="auto"/>
      </w:divBdr>
    </w:div>
    <w:div w:id="1115828790">
      <w:bodyDiv w:val="1"/>
      <w:marLeft w:val="0"/>
      <w:marRight w:val="0"/>
      <w:marTop w:val="0"/>
      <w:marBottom w:val="0"/>
      <w:divBdr>
        <w:top w:val="none" w:sz="0" w:space="0" w:color="auto"/>
        <w:left w:val="none" w:sz="0" w:space="0" w:color="auto"/>
        <w:bottom w:val="none" w:sz="0" w:space="0" w:color="auto"/>
        <w:right w:val="none" w:sz="0" w:space="0" w:color="auto"/>
      </w:divBdr>
    </w:div>
    <w:div w:id="1124152492">
      <w:bodyDiv w:val="1"/>
      <w:marLeft w:val="0"/>
      <w:marRight w:val="0"/>
      <w:marTop w:val="0"/>
      <w:marBottom w:val="0"/>
      <w:divBdr>
        <w:top w:val="none" w:sz="0" w:space="0" w:color="auto"/>
        <w:left w:val="none" w:sz="0" w:space="0" w:color="auto"/>
        <w:bottom w:val="none" w:sz="0" w:space="0" w:color="auto"/>
        <w:right w:val="none" w:sz="0" w:space="0" w:color="auto"/>
      </w:divBdr>
    </w:div>
    <w:div w:id="1128401143">
      <w:bodyDiv w:val="1"/>
      <w:marLeft w:val="0"/>
      <w:marRight w:val="0"/>
      <w:marTop w:val="0"/>
      <w:marBottom w:val="0"/>
      <w:divBdr>
        <w:top w:val="none" w:sz="0" w:space="0" w:color="auto"/>
        <w:left w:val="none" w:sz="0" w:space="0" w:color="auto"/>
        <w:bottom w:val="none" w:sz="0" w:space="0" w:color="auto"/>
        <w:right w:val="none" w:sz="0" w:space="0" w:color="auto"/>
      </w:divBdr>
    </w:div>
    <w:div w:id="1141390288">
      <w:bodyDiv w:val="1"/>
      <w:marLeft w:val="0"/>
      <w:marRight w:val="0"/>
      <w:marTop w:val="0"/>
      <w:marBottom w:val="0"/>
      <w:divBdr>
        <w:top w:val="none" w:sz="0" w:space="0" w:color="auto"/>
        <w:left w:val="none" w:sz="0" w:space="0" w:color="auto"/>
        <w:bottom w:val="none" w:sz="0" w:space="0" w:color="auto"/>
        <w:right w:val="none" w:sz="0" w:space="0" w:color="auto"/>
      </w:divBdr>
    </w:div>
    <w:div w:id="1181047292">
      <w:bodyDiv w:val="1"/>
      <w:marLeft w:val="0"/>
      <w:marRight w:val="0"/>
      <w:marTop w:val="0"/>
      <w:marBottom w:val="0"/>
      <w:divBdr>
        <w:top w:val="none" w:sz="0" w:space="0" w:color="auto"/>
        <w:left w:val="none" w:sz="0" w:space="0" w:color="auto"/>
        <w:bottom w:val="none" w:sz="0" w:space="0" w:color="auto"/>
        <w:right w:val="none" w:sz="0" w:space="0" w:color="auto"/>
      </w:divBdr>
      <w:divsChild>
        <w:div w:id="11352995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4441294">
              <w:marLeft w:val="0"/>
              <w:marRight w:val="0"/>
              <w:marTop w:val="0"/>
              <w:marBottom w:val="0"/>
              <w:divBdr>
                <w:top w:val="none" w:sz="0" w:space="0" w:color="auto"/>
                <w:left w:val="none" w:sz="0" w:space="0" w:color="auto"/>
                <w:bottom w:val="none" w:sz="0" w:space="0" w:color="auto"/>
                <w:right w:val="none" w:sz="0" w:space="0" w:color="auto"/>
              </w:divBdr>
              <w:divsChild>
                <w:div w:id="461466951">
                  <w:marLeft w:val="0"/>
                  <w:marRight w:val="0"/>
                  <w:marTop w:val="0"/>
                  <w:marBottom w:val="0"/>
                  <w:divBdr>
                    <w:top w:val="none" w:sz="0" w:space="0" w:color="auto"/>
                    <w:left w:val="none" w:sz="0" w:space="0" w:color="auto"/>
                    <w:bottom w:val="none" w:sz="0" w:space="0" w:color="auto"/>
                    <w:right w:val="none" w:sz="0" w:space="0" w:color="auto"/>
                  </w:divBdr>
                  <w:divsChild>
                    <w:div w:id="10475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806">
          <w:marLeft w:val="0"/>
          <w:marRight w:val="0"/>
          <w:marTop w:val="0"/>
          <w:marBottom w:val="0"/>
          <w:divBdr>
            <w:top w:val="none" w:sz="0" w:space="0" w:color="auto"/>
            <w:left w:val="none" w:sz="0" w:space="0" w:color="auto"/>
            <w:bottom w:val="none" w:sz="0" w:space="0" w:color="auto"/>
            <w:right w:val="none" w:sz="0" w:space="0" w:color="auto"/>
          </w:divBdr>
          <w:divsChild>
            <w:div w:id="8772011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3584274">
                  <w:marLeft w:val="0"/>
                  <w:marRight w:val="0"/>
                  <w:marTop w:val="0"/>
                  <w:marBottom w:val="0"/>
                  <w:divBdr>
                    <w:top w:val="none" w:sz="0" w:space="0" w:color="auto"/>
                    <w:left w:val="none" w:sz="0" w:space="0" w:color="auto"/>
                    <w:bottom w:val="none" w:sz="0" w:space="0" w:color="auto"/>
                    <w:right w:val="none" w:sz="0" w:space="0" w:color="auto"/>
                  </w:divBdr>
                  <w:divsChild>
                    <w:div w:id="927616283">
                      <w:marLeft w:val="0"/>
                      <w:marRight w:val="0"/>
                      <w:marTop w:val="0"/>
                      <w:marBottom w:val="0"/>
                      <w:divBdr>
                        <w:top w:val="none" w:sz="0" w:space="0" w:color="auto"/>
                        <w:left w:val="none" w:sz="0" w:space="0" w:color="auto"/>
                        <w:bottom w:val="none" w:sz="0" w:space="0" w:color="auto"/>
                        <w:right w:val="none" w:sz="0" w:space="0" w:color="auto"/>
                      </w:divBdr>
                      <w:divsChild>
                        <w:div w:id="13003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6798">
      <w:bodyDiv w:val="1"/>
      <w:marLeft w:val="0"/>
      <w:marRight w:val="0"/>
      <w:marTop w:val="0"/>
      <w:marBottom w:val="0"/>
      <w:divBdr>
        <w:top w:val="none" w:sz="0" w:space="0" w:color="auto"/>
        <w:left w:val="none" w:sz="0" w:space="0" w:color="auto"/>
        <w:bottom w:val="none" w:sz="0" w:space="0" w:color="auto"/>
        <w:right w:val="none" w:sz="0" w:space="0" w:color="auto"/>
      </w:divBdr>
    </w:div>
    <w:div w:id="1202085179">
      <w:bodyDiv w:val="1"/>
      <w:marLeft w:val="0"/>
      <w:marRight w:val="0"/>
      <w:marTop w:val="0"/>
      <w:marBottom w:val="0"/>
      <w:divBdr>
        <w:top w:val="none" w:sz="0" w:space="0" w:color="auto"/>
        <w:left w:val="none" w:sz="0" w:space="0" w:color="auto"/>
        <w:bottom w:val="none" w:sz="0" w:space="0" w:color="auto"/>
        <w:right w:val="none" w:sz="0" w:space="0" w:color="auto"/>
      </w:divBdr>
    </w:div>
    <w:div w:id="1211383143">
      <w:bodyDiv w:val="1"/>
      <w:marLeft w:val="0"/>
      <w:marRight w:val="0"/>
      <w:marTop w:val="0"/>
      <w:marBottom w:val="0"/>
      <w:divBdr>
        <w:top w:val="none" w:sz="0" w:space="0" w:color="auto"/>
        <w:left w:val="none" w:sz="0" w:space="0" w:color="auto"/>
        <w:bottom w:val="none" w:sz="0" w:space="0" w:color="auto"/>
        <w:right w:val="none" w:sz="0" w:space="0" w:color="auto"/>
      </w:divBdr>
    </w:div>
    <w:div w:id="1214854369">
      <w:bodyDiv w:val="1"/>
      <w:marLeft w:val="0"/>
      <w:marRight w:val="0"/>
      <w:marTop w:val="0"/>
      <w:marBottom w:val="0"/>
      <w:divBdr>
        <w:top w:val="none" w:sz="0" w:space="0" w:color="auto"/>
        <w:left w:val="none" w:sz="0" w:space="0" w:color="auto"/>
        <w:bottom w:val="none" w:sz="0" w:space="0" w:color="auto"/>
        <w:right w:val="none" w:sz="0" w:space="0" w:color="auto"/>
      </w:divBdr>
    </w:div>
    <w:div w:id="1220752890">
      <w:bodyDiv w:val="1"/>
      <w:marLeft w:val="0"/>
      <w:marRight w:val="0"/>
      <w:marTop w:val="0"/>
      <w:marBottom w:val="0"/>
      <w:divBdr>
        <w:top w:val="none" w:sz="0" w:space="0" w:color="auto"/>
        <w:left w:val="none" w:sz="0" w:space="0" w:color="auto"/>
        <w:bottom w:val="none" w:sz="0" w:space="0" w:color="auto"/>
        <w:right w:val="none" w:sz="0" w:space="0" w:color="auto"/>
      </w:divBdr>
    </w:div>
    <w:div w:id="1228614476">
      <w:bodyDiv w:val="1"/>
      <w:marLeft w:val="0"/>
      <w:marRight w:val="0"/>
      <w:marTop w:val="0"/>
      <w:marBottom w:val="0"/>
      <w:divBdr>
        <w:top w:val="none" w:sz="0" w:space="0" w:color="auto"/>
        <w:left w:val="none" w:sz="0" w:space="0" w:color="auto"/>
        <w:bottom w:val="none" w:sz="0" w:space="0" w:color="auto"/>
        <w:right w:val="none" w:sz="0" w:space="0" w:color="auto"/>
      </w:divBdr>
    </w:div>
    <w:div w:id="1241522530">
      <w:bodyDiv w:val="1"/>
      <w:marLeft w:val="0"/>
      <w:marRight w:val="0"/>
      <w:marTop w:val="0"/>
      <w:marBottom w:val="0"/>
      <w:divBdr>
        <w:top w:val="none" w:sz="0" w:space="0" w:color="auto"/>
        <w:left w:val="none" w:sz="0" w:space="0" w:color="auto"/>
        <w:bottom w:val="none" w:sz="0" w:space="0" w:color="auto"/>
        <w:right w:val="none" w:sz="0" w:space="0" w:color="auto"/>
      </w:divBdr>
    </w:div>
    <w:div w:id="1261908453">
      <w:bodyDiv w:val="1"/>
      <w:marLeft w:val="0"/>
      <w:marRight w:val="0"/>
      <w:marTop w:val="0"/>
      <w:marBottom w:val="0"/>
      <w:divBdr>
        <w:top w:val="none" w:sz="0" w:space="0" w:color="auto"/>
        <w:left w:val="none" w:sz="0" w:space="0" w:color="auto"/>
        <w:bottom w:val="none" w:sz="0" w:space="0" w:color="auto"/>
        <w:right w:val="none" w:sz="0" w:space="0" w:color="auto"/>
      </w:divBdr>
    </w:div>
    <w:div w:id="1298678933">
      <w:bodyDiv w:val="1"/>
      <w:marLeft w:val="0"/>
      <w:marRight w:val="0"/>
      <w:marTop w:val="0"/>
      <w:marBottom w:val="0"/>
      <w:divBdr>
        <w:top w:val="none" w:sz="0" w:space="0" w:color="auto"/>
        <w:left w:val="none" w:sz="0" w:space="0" w:color="auto"/>
        <w:bottom w:val="none" w:sz="0" w:space="0" w:color="auto"/>
        <w:right w:val="none" w:sz="0" w:space="0" w:color="auto"/>
      </w:divBdr>
      <w:divsChild>
        <w:div w:id="1420062700">
          <w:marLeft w:val="547"/>
          <w:marRight w:val="0"/>
          <w:marTop w:val="0"/>
          <w:marBottom w:val="0"/>
          <w:divBdr>
            <w:top w:val="none" w:sz="0" w:space="0" w:color="auto"/>
            <w:left w:val="none" w:sz="0" w:space="0" w:color="auto"/>
            <w:bottom w:val="none" w:sz="0" w:space="0" w:color="auto"/>
            <w:right w:val="none" w:sz="0" w:space="0" w:color="auto"/>
          </w:divBdr>
        </w:div>
      </w:divsChild>
    </w:div>
    <w:div w:id="1306666473">
      <w:bodyDiv w:val="1"/>
      <w:marLeft w:val="0"/>
      <w:marRight w:val="0"/>
      <w:marTop w:val="0"/>
      <w:marBottom w:val="0"/>
      <w:divBdr>
        <w:top w:val="none" w:sz="0" w:space="0" w:color="auto"/>
        <w:left w:val="none" w:sz="0" w:space="0" w:color="auto"/>
        <w:bottom w:val="none" w:sz="0" w:space="0" w:color="auto"/>
        <w:right w:val="none" w:sz="0" w:space="0" w:color="auto"/>
      </w:divBdr>
    </w:div>
    <w:div w:id="1314259383">
      <w:bodyDiv w:val="1"/>
      <w:marLeft w:val="0"/>
      <w:marRight w:val="0"/>
      <w:marTop w:val="0"/>
      <w:marBottom w:val="0"/>
      <w:divBdr>
        <w:top w:val="none" w:sz="0" w:space="0" w:color="auto"/>
        <w:left w:val="none" w:sz="0" w:space="0" w:color="auto"/>
        <w:bottom w:val="none" w:sz="0" w:space="0" w:color="auto"/>
        <w:right w:val="none" w:sz="0" w:space="0" w:color="auto"/>
      </w:divBdr>
    </w:div>
    <w:div w:id="1322276182">
      <w:bodyDiv w:val="1"/>
      <w:marLeft w:val="0"/>
      <w:marRight w:val="0"/>
      <w:marTop w:val="0"/>
      <w:marBottom w:val="0"/>
      <w:divBdr>
        <w:top w:val="none" w:sz="0" w:space="0" w:color="auto"/>
        <w:left w:val="none" w:sz="0" w:space="0" w:color="auto"/>
        <w:bottom w:val="none" w:sz="0" w:space="0" w:color="auto"/>
        <w:right w:val="none" w:sz="0" w:space="0" w:color="auto"/>
      </w:divBdr>
    </w:div>
    <w:div w:id="1338920955">
      <w:bodyDiv w:val="1"/>
      <w:marLeft w:val="0"/>
      <w:marRight w:val="0"/>
      <w:marTop w:val="0"/>
      <w:marBottom w:val="0"/>
      <w:divBdr>
        <w:top w:val="none" w:sz="0" w:space="0" w:color="auto"/>
        <w:left w:val="none" w:sz="0" w:space="0" w:color="auto"/>
        <w:bottom w:val="none" w:sz="0" w:space="0" w:color="auto"/>
        <w:right w:val="none" w:sz="0" w:space="0" w:color="auto"/>
      </w:divBdr>
    </w:div>
    <w:div w:id="1345203290">
      <w:bodyDiv w:val="1"/>
      <w:marLeft w:val="0"/>
      <w:marRight w:val="0"/>
      <w:marTop w:val="0"/>
      <w:marBottom w:val="0"/>
      <w:divBdr>
        <w:top w:val="none" w:sz="0" w:space="0" w:color="auto"/>
        <w:left w:val="none" w:sz="0" w:space="0" w:color="auto"/>
        <w:bottom w:val="none" w:sz="0" w:space="0" w:color="auto"/>
        <w:right w:val="none" w:sz="0" w:space="0" w:color="auto"/>
      </w:divBdr>
    </w:div>
    <w:div w:id="1353262034">
      <w:bodyDiv w:val="1"/>
      <w:marLeft w:val="0"/>
      <w:marRight w:val="0"/>
      <w:marTop w:val="0"/>
      <w:marBottom w:val="0"/>
      <w:divBdr>
        <w:top w:val="none" w:sz="0" w:space="0" w:color="auto"/>
        <w:left w:val="none" w:sz="0" w:space="0" w:color="auto"/>
        <w:bottom w:val="none" w:sz="0" w:space="0" w:color="auto"/>
        <w:right w:val="none" w:sz="0" w:space="0" w:color="auto"/>
      </w:divBdr>
    </w:div>
    <w:div w:id="1368481230">
      <w:bodyDiv w:val="1"/>
      <w:marLeft w:val="0"/>
      <w:marRight w:val="0"/>
      <w:marTop w:val="0"/>
      <w:marBottom w:val="0"/>
      <w:divBdr>
        <w:top w:val="none" w:sz="0" w:space="0" w:color="auto"/>
        <w:left w:val="none" w:sz="0" w:space="0" w:color="auto"/>
        <w:bottom w:val="none" w:sz="0" w:space="0" w:color="auto"/>
        <w:right w:val="none" w:sz="0" w:space="0" w:color="auto"/>
      </w:divBdr>
    </w:div>
    <w:div w:id="1395615493">
      <w:bodyDiv w:val="1"/>
      <w:marLeft w:val="0"/>
      <w:marRight w:val="0"/>
      <w:marTop w:val="0"/>
      <w:marBottom w:val="0"/>
      <w:divBdr>
        <w:top w:val="none" w:sz="0" w:space="0" w:color="auto"/>
        <w:left w:val="none" w:sz="0" w:space="0" w:color="auto"/>
        <w:bottom w:val="none" w:sz="0" w:space="0" w:color="auto"/>
        <w:right w:val="none" w:sz="0" w:space="0" w:color="auto"/>
      </w:divBdr>
    </w:div>
    <w:div w:id="1421832281">
      <w:bodyDiv w:val="1"/>
      <w:marLeft w:val="0"/>
      <w:marRight w:val="0"/>
      <w:marTop w:val="0"/>
      <w:marBottom w:val="0"/>
      <w:divBdr>
        <w:top w:val="none" w:sz="0" w:space="0" w:color="auto"/>
        <w:left w:val="none" w:sz="0" w:space="0" w:color="auto"/>
        <w:bottom w:val="none" w:sz="0" w:space="0" w:color="auto"/>
        <w:right w:val="none" w:sz="0" w:space="0" w:color="auto"/>
      </w:divBdr>
      <w:divsChild>
        <w:div w:id="2520162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072893">
              <w:marLeft w:val="0"/>
              <w:marRight w:val="0"/>
              <w:marTop w:val="0"/>
              <w:marBottom w:val="0"/>
              <w:divBdr>
                <w:top w:val="none" w:sz="0" w:space="0" w:color="auto"/>
                <w:left w:val="none" w:sz="0" w:space="0" w:color="auto"/>
                <w:bottom w:val="none" w:sz="0" w:space="0" w:color="auto"/>
                <w:right w:val="none" w:sz="0" w:space="0" w:color="auto"/>
              </w:divBdr>
              <w:divsChild>
                <w:div w:id="2047750537">
                  <w:marLeft w:val="0"/>
                  <w:marRight w:val="0"/>
                  <w:marTop w:val="0"/>
                  <w:marBottom w:val="0"/>
                  <w:divBdr>
                    <w:top w:val="none" w:sz="0" w:space="0" w:color="auto"/>
                    <w:left w:val="none" w:sz="0" w:space="0" w:color="auto"/>
                    <w:bottom w:val="none" w:sz="0" w:space="0" w:color="auto"/>
                    <w:right w:val="none" w:sz="0" w:space="0" w:color="auto"/>
                  </w:divBdr>
                  <w:divsChild>
                    <w:div w:id="7395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9569">
          <w:marLeft w:val="0"/>
          <w:marRight w:val="0"/>
          <w:marTop w:val="0"/>
          <w:marBottom w:val="0"/>
          <w:divBdr>
            <w:top w:val="none" w:sz="0" w:space="0" w:color="auto"/>
            <w:left w:val="none" w:sz="0" w:space="0" w:color="auto"/>
            <w:bottom w:val="none" w:sz="0" w:space="0" w:color="auto"/>
            <w:right w:val="none" w:sz="0" w:space="0" w:color="auto"/>
          </w:divBdr>
          <w:divsChild>
            <w:div w:id="575435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8968251">
                  <w:marLeft w:val="0"/>
                  <w:marRight w:val="0"/>
                  <w:marTop w:val="0"/>
                  <w:marBottom w:val="0"/>
                  <w:divBdr>
                    <w:top w:val="none" w:sz="0" w:space="0" w:color="auto"/>
                    <w:left w:val="none" w:sz="0" w:space="0" w:color="auto"/>
                    <w:bottom w:val="none" w:sz="0" w:space="0" w:color="auto"/>
                    <w:right w:val="none" w:sz="0" w:space="0" w:color="auto"/>
                  </w:divBdr>
                  <w:divsChild>
                    <w:div w:id="1346129765">
                      <w:marLeft w:val="0"/>
                      <w:marRight w:val="0"/>
                      <w:marTop w:val="0"/>
                      <w:marBottom w:val="0"/>
                      <w:divBdr>
                        <w:top w:val="none" w:sz="0" w:space="0" w:color="auto"/>
                        <w:left w:val="none" w:sz="0" w:space="0" w:color="auto"/>
                        <w:bottom w:val="none" w:sz="0" w:space="0" w:color="auto"/>
                        <w:right w:val="none" w:sz="0" w:space="0" w:color="auto"/>
                      </w:divBdr>
                      <w:divsChild>
                        <w:div w:id="4539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9904">
      <w:bodyDiv w:val="1"/>
      <w:marLeft w:val="0"/>
      <w:marRight w:val="0"/>
      <w:marTop w:val="0"/>
      <w:marBottom w:val="0"/>
      <w:divBdr>
        <w:top w:val="none" w:sz="0" w:space="0" w:color="auto"/>
        <w:left w:val="none" w:sz="0" w:space="0" w:color="auto"/>
        <w:bottom w:val="none" w:sz="0" w:space="0" w:color="auto"/>
        <w:right w:val="none" w:sz="0" w:space="0" w:color="auto"/>
      </w:divBdr>
    </w:div>
    <w:div w:id="1431855046">
      <w:bodyDiv w:val="1"/>
      <w:marLeft w:val="0"/>
      <w:marRight w:val="0"/>
      <w:marTop w:val="0"/>
      <w:marBottom w:val="0"/>
      <w:divBdr>
        <w:top w:val="none" w:sz="0" w:space="0" w:color="auto"/>
        <w:left w:val="none" w:sz="0" w:space="0" w:color="auto"/>
        <w:bottom w:val="none" w:sz="0" w:space="0" w:color="auto"/>
        <w:right w:val="none" w:sz="0" w:space="0" w:color="auto"/>
      </w:divBdr>
    </w:div>
    <w:div w:id="1433353294">
      <w:bodyDiv w:val="1"/>
      <w:marLeft w:val="0"/>
      <w:marRight w:val="0"/>
      <w:marTop w:val="0"/>
      <w:marBottom w:val="0"/>
      <w:divBdr>
        <w:top w:val="none" w:sz="0" w:space="0" w:color="auto"/>
        <w:left w:val="none" w:sz="0" w:space="0" w:color="auto"/>
        <w:bottom w:val="none" w:sz="0" w:space="0" w:color="auto"/>
        <w:right w:val="none" w:sz="0" w:space="0" w:color="auto"/>
      </w:divBdr>
    </w:div>
    <w:div w:id="1440219919">
      <w:bodyDiv w:val="1"/>
      <w:marLeft w:val="0"/>
      <w:marRight w:val="0"/>
      <w:marTop w:val="0"/>
      <w:marBottom w:val="0"/>
      <w:divBdr>
        <w:top w:val="none" w:sz="0" w:space="0" w:color="auto"/>
        <w:left w:val="none" w:sz="0" w:space="0" w:color="auto"/>
        <w:bottom w:val="none" w:sz="0" w:space="0" w:color="auto"/>
        <w:right w:val="none" w:sz="0" w:space="0" w:color="auto"/>
      </w:divBdr>
    </w:div>
    <w:div w:id="1450318676">
      <w:bodyDiv w:val="1"/>
      <w:marLeft w:val="0"/>
      <w:marRight w:val="0"/>
      <w:marTop w:val="0"/>
      <w:marBottom w:val="0"/>
      <w:divBdr>
        <w:top w:val="none" w:sz="0" w:space="0" w:color="auto"/>
        <w:left w:val="none" w:sz="0" w:space="0" w:color="auto"/>
        <w:bottom w:val="none" w:sz="0" w:space="0" w:color="auto"/>
        <w:right w:val="none" w:sz="0" w:space="0" w:color="auto"/>
      </w:divBdr>
    </w:div>
    <w:div w:id="1456371526">
      <w:bodyDiv w:val="1"/>
      <w:marLeft w:val="0"/>
      <w:marRight w:val="0"/>
      <w:marTop w:val="0"/>
      <w:marBottom w:val="0"/>
      <w:divBdr>
        <w:top w:val="none" w:sz="0" w:space="0" w:color="auto"/>
        <w:left w:val="none" w:sz="0" w:space="0" w:color="auto"/>
        <w:bottom w:val="none" w:sz="0" w:space="0" w:color="auto"/>
        <w:right w:val="none" w:sz="0" w:space="0" w:color="auto"/>
      </w:divBdr>
    </w:div>
    <w:div w:id="1457720469">
      <w:bodyDiv w:val="1"/>
      <w:marLeft w:val="0"/>
      <w:marRight w:val="0"/>
      <w:marTop w:val="0"/>
      <w:marBottom w:val="0"/>
      <w:divBdr>
        <w:top w:val="none" w:sz="0" w:space="0" w:color="auto"/>
        <w:left w:val="none" w:sz="0" w:space="0" w:color="auto"/>
        <w:bottom w:val="none" w:sz="0" w:space="0" w:color="auto"/>
        <w:right w:val="none" w:sz="0" w:space="0" w:color="auto"/>
      </w:divBdr>
    </w:div>
    <w:div w:id="1533229291">
      <w:bodyDiv w:val="1"/>
      <w:marLeft w:val="0"/>
      <w:marRight w:val="0"/>
      <w:marTop w:val="0"/>
      <w:marBottom w:val="0"/>
      <w:divBdr>
        <w:top w:val="none" w:sz="0" w:space="0" w:color="auto"/>
        <w:left w:val="none" w:sz="0" w:space="0" w:color="auto"/>
        <w:bottom w:val="none" w:sz="0" w:space="0" w:color="auto"/>
        <w:right w:val="none" w:sz="0" w:space="0" w:color="auto"/>
      </w:divBdr>
    </w:div>
    <w:div w:id="1551266544">
      <w:bodyDiv w:val="1"/>
      <w:marLeft w:val="0"/>
      <w:marRight w:val="0"/>
      <w:marTop w:val="0"/>
      <w:marBottom w:val="0"/>
      <w:divBdr>
        <w:top w:val="none" w:sz="0" w:space="0" w:color="auto"/>
        <w:left w:val="none" w:sz="0" w:space="0" w:color="auto"/>
        <w:bottom w:val="none" w:sz="0" w:space="0" w:color="auto"/>
        <w:right w:val="none" w:sz="0" w:space="0" w:color="auto"/>
      </w:divBdr>
    </w:div>
    <w:div w:id="1556577166">
      <w:bodyDiv w:val="1"/>
      <w:marLeft w:val="0"/>
      <w:marRight w:val="0"/>
      <w:marTop w:val="0"/>
      <w:marBottom w:val="0"/>
      <w:divBdr>
        <w:top w:val="none" w:sz="0" w:space="0" w:color="auto"/>
        <w:left w:val="none" w:sz="0" w:space="0" w:color="auto"/>
        <w:bottom w:val="none" w:sz="0" w:space="0" w:color="auto"/>
        <w:right w:val="none" w:sz="0" w:space="0" w:color="auto"/>
      </w:divBdr>
    </w:div>
    <w:div w:id="1558123796">
      <w:bodyDiv w:val="1"/>
      <w:marLeft w:val="0"/>
      <w:marRight w:val="0"/>
      <w:marTop w:val="0"/>
      <w:marBottom w:val="0"/>
      <w:divBdr>
        <w:top w:val="none" w:sz="0" w:space="0" w:color="auto"/>
        <w:left w:val="none" w:sz="0" w:space="0" w:color="auto"/>
        <w:bottom w:val="none" w:sz="0" w:space="0" w:color="auto"/>
        <w:right w:val="none" w:sz="0" w:space="0" w:color="auto"/>
      </w:divBdr>
    </w:div>
    <w:div w:id="1568612548">
      <w:bodyDiv w:val="1"/>
      <w:marLeft w:val="0"/>
      <w:marRight w:val="0"/>
      <w:marTop w:val="0"/>
      <w:marBottom w:val="0"/>
      <w:divBdr>
        <w:top w:val="none" w:sz="0" w:space="0" w:color="auto"/>
        <w:left w:val="none" w:sz="0" w:space="0" w:color="auto"/>
        <w:bottom w:val="none" w:sz="0" w:space="0" w:color="auto"/>
        <w:right w:val="none" w:sz="0" w:space="0" w:color="auto"/>
      </w:divBdr>
      <w:divsChild>
        <w:div w:id="441220446">
          <w:marLeft w:val="0"/>
          <w:marRight w:val="0"/>
          <w:marTop w:val="0"/>
          <w:marBottom w:val="0"/>
          <w:divBdr>
            <w:top w:val="none" w:sz="0" w:space="0" w:color="auto"/>
            <w:left w:val="none" w:sz="0" w:space="0" w:color="auto"/>
            <w:bottom w:val="none" w:sz="0" w:space="0" w:color="auto"/>
            <w:right w:val="none" w:sz="0" w:space="0" w:color="auto"/>
          </w:divBdr>
        </w:div>
        <w:div w:id="576404701">
          <w:marLeft w:val="0"/>
          <w:marRight w:val="0"/>
          <w:marTop w:val="0"/>
          <w:marBottom w:val="0"/>
          <w:divBdr>
            <w:top w:val="none" w:sz="0" w:space="0" w:color="auto"/>
            <w:left w:val="none" w:sz="0" w:space="0" w:color="auto"/>
            <w:bottom w:val="none" w:sz="0" w:space="0" w:color="auto"/>
            <w:right w:val="none" w:sz="0" w:space="0" w:color="auto"/>
          </w:divBdr>
        </w:div>
        <w:div w:id="595291368">
          <w:marLeft w:val="0"/>
          <w:marRight w:val="0"/>
          <w:marTop w:val="0"/>
          <w:marBottom w:val="0"/>
          <w:divBdr>
            <w:top w:val="none" w:sz="0" w:space="0" w:color="auto"/>
            <w:left w:val="none" w:sz="0" w:space="0" w:color="auto"/>
            <w:bottom w:val="none" w:sz="0" w:space="0" w:color="auto"/>
            <w:right w:val="none" w:sz="0" w:space="0" w:color="auto"/>
          </w:divBdr>
        </w:div>
        <w:div w:id="751240959">
          <w:marLeft w:val="0"/>
          <w:marRight w:val="0"/>
          <w:marTop w:val="0"/>
          <w:marBottom w:val="0"/>
          <w:divBdr>
            <w:top w:val="none" w:sz="0" w:space="0" w:color="auto"/>
            <w:left w:val="none" w:sz="0" w:space="0" w:color="auto"/>
            <w:bottom w:val="none" w:sz="0" w:space="0" w:color="auto"/>
            <w:right w:val="none" w:sz="0" w:space="0" w:color="auto"/>
          </w:divBdr>
        </w:div>
        <w:div w:id="1457749021">
          <w:marLeft w:val="0"/>
          <w:marRight w:val="0"/>
          <w:marTop w:val="0"/>
          <w:marBottom w:val="0"/>
          <w:divBdr>
            <w:top w:val="none" w:sz="0" w:space="0" w:color="auto"/>
            <w:left w:val="none" w:sz="0" w:space="0" w:color="auto"/>
            <w:bottom w:val="none" w:sz="0" w:space="0" w:color="auto"/>
            <w:right w:val="none" w:sz="0" w:space="0" w:color="auto"/>
          </w:divBdr>
        </w:div>
        <w:div w:id="1964461889">
          <w:marLeft w:val="0"/>
          <w:marRight w:val="0"/>
          <w:marTop w:val="0"/>
          <w:marBottom w:val="0"/>
          <w:divBdr>
            <w:top w:val="none" w:sz="0" w:space="0" w:color="auto"/>
            <w:left w:val="none" w:sz="0" w:space="0" w:color="auto"/>
            <w:bottom w:val="none" w:sz="0" w:space="0" w:color="auto"/>
            <w:right w:val="none" w:sz="0" w:space="0" w:color="auto"/>
          </w:divBdr>
        </w:div>
        <w:div w:id="1967542510">
          <w:marLeft w:val="0"/>
          <w:marRight w:val="0"/>
          <w:marTop w:val="0"/>
          <w:marBottom w:val="0"/>
          <w:divBdr>
            <w:top w:val="none" w:sz="0" w:space="0" w:color="auto"/>
            <w:left w:val="none" w:sz="0" w:space="0" w:color="auto"/>
            <w:bottom w:val="none" w:sz="0" w:space="0" w:color="auto"/>
            <w:right w:val="none" w:sz="0" w:space="0" w:color="auto"/>
          </w:divBdr>
        </w:div>
      </w:divsChild>
    </w:div>
    <w:div w:id="1570656597">
      <w:bodyDiv w:val="1"/>
      <w:marLeft w:val="0"/>
      <w:marRight w:val="0"/>
      <w:marTop w:val="0"/>
      <w:marBottom w:val="0"/>
      <w:divBdr>
        <w:top w:val="none" w:sz="0" w:space="0" w:color="auto"/>
        <w:left w:val="none" w:sz="0" w:space="0" w:color="auto"/>
        <w:bottom w:val="none" w:sz="0" w:space="0" w:color="auto"/>
        <w:right w:val="none" w:sz="0" w:space="0" w:color="auto"/>
      </w:divBdr>
    </w:div>
    <w:div w:id="1584531537">
      <w:bodyDiv w:val="1"/>
      <w:marLeft w:val="0"/>
      <w:marRight w:val="0"/>
      <w:marTop w:val="0"/>
      <w:marBottom w:val="0"/>
      <w:divBdr>
        <w:top w:val="none" w:sz="0" w:space="0" w:color="auto"/>
        <w:left w:val="none" w:sz="0" w:space="0" w:color="auto"/>
        <w:bottom w:val="none" w:sz="0" w:space="0" w:color="auto"/>
        <w:right w:val="none" w:sz="0" w:space="0" w:color="auto"/>
      </w:divBdr>
    </w:div>
    <w:div w:id="1590381868">
      <w:bodyDiv w:val="1"/>
      <w:marLeft w:val="0"/>
      <w:marRight w:val="0"/>
      <w:marTop w:val="0"/>
      <w:marBottom w:val="0"/>
      <w:divBdr>
        <w:top w:val="none" w:sz="0" w:space="0" w:color="auto"/>
        <w:left w:val="none" w:sz="0" w:space="0" w:color="auto"/>
        <w:bottom w:val="none" w:sz="0" w:space="0" w:color="auto"/>
        <w:right w:val="none" w:sz="0" w:space="0" w:color="auto"/>
      </w:divBdr>
    </w:div>
    <w:div w:id="1595243624">
      <w:bodyDiv w:val="1"/>
      <w:marLeft w:val="0"/>
      <w:marRight w:val="0"/>
      <w:marTop w:val="0"/>
      <w:marBottom w:val="0"/>
      <w:divBdr>
        <w:top w:val="none" w:sz="0" w:space="0" w:color="auto"/>
        <w:left w:val="none" w:sz="0" w:space="0" w:color="auto"/>
        <w:bottom w:val="none" w:sz="0" w:space="0" w:color="auto"/>
        <w:right w:val="none" w:sz="0" w:space="0" w:color="auto"/>
      </w:divBdr>
    </w:div>
    <w:div w:id="1610970053">
      <w:bodyDiv w:val="1"/>
      <w:marLeft w:val="0"/>
      <w:marRight w:val="0"/>
      <w:marTop w:val="0"/>
      <w:marBottom w:val="0"/>
      <w:divBdr>
        <w:top w:val="none" w:sz="0" w:space="0" w:color="auto"/>
        <w:left w:val="none" w:sz="0" w:space="0" w:color="auto"/>
        <w:bottom w:val="none" w:sz="0" w:space="0" w:color="auto"/>
        <w:right w:val="none" w:sz="0" w:space="0" w:color="auto"/>
      </w:divBdr>
    </w:div>
    <w:div w:id="1632634215">
      <w:bodyDiv w:val="1"/>
      <w:marLeft w:val="0"/>
      <w:marRight w:val="0"/>
      <w:marTop w:val="0"/>
      <w:marBottom w:val="0"/>
      <w:divBdr>
        <w:top w:val="none" w:sz="0" w:space="0" w:color="auto"/>
        <w:left w:val="none" w:sz="0" w:space="0" w:color="auto"/>
        <w:bottom w:val="none" w:sz="0" w:space="0" w:color="auto"/>
        <w:right w:val="none" w:sz="0" w:space="0" w:color="auto"/>
      </w:divBdr>
    </w:div>
    <w:div w:id="1634403412">
      <w:bodyDiv w:val="1"/>
      <w:marLeft w:val="0"/>
      <w:marRight w:val="0"/>
      <w:marTop w:val="0"/>
      <w:marBottom w:val="0"/>
      <w:divBdr>
        <w:top w:val="none" w:sz="0" w:space="0" w:color="auto"/>
        <w:left w:val="none" w:sz="0" w:space="0" w:color="auto"/>
        <w:bottom w:val="none" w:sz="0" w:space="0" w:color="auto"/>
        <w:right w:val="none" w:sz="0" w:space="0" w:color="auto"/>
      </w:divBdr>
    </w:div>
    <w:div w:id="1637294987">
      <w:marLeft w:val="0"/>
      <w:marRight w:val="0"/>
      <w:marTop w:val="0"/>
      <w:marBottom w:val="0"/>
      <w:divBdr>
        <w:top w:val="none" w:sz="0" w:space="0" w:color="auto"/>
        <w:left w:val="none" w:sz="0" w:space="0" w:color="auto"/>
        <w:bottom w:val="none" w:sz="0" w:space="0" w:color="auto"/>
        <w:right w:val="none" w:sz="0" w:space="0" w:color="auto"/>
      </w:divBdr>
    </w:div>
    <w:div w:id="1642348674">
      <w:bodyDiv w:val="1"/>
      <w:marLeft w:val="0"/>
      <w:marRight w:val="0"/>
      <w:marTop w:val="0"/>
      <w:marBottom w:val="0"/>
      <w:divBdr>
        <w:top w:val="none" w:sz="0" w:space="0" w:color="auto"/>
        <w:left w:val="none" w:sz="0" w:space="0" w:color="auto"/>
        <w:bottom w:val="none" w:sz="0" w:space="0" w:color="auto"/>
        <w:right w:val="none" w:sz="0" w:space="0" w:color="auto"/>
      </w:divBdr>
    </w:div>
    <w:div w:id="1648777048">
      <w:bodyDiv w:val="1"/>
      <w:marLeft w:val="0"/>
      <w:marRight w:val="0"/>
      <w:marTop w:val="0"/>
      <w:marBottom w:val="0"/>
      <w:divBdr>
        <w:top w:val="none" w:sz="0" w:space="0" w:color="auto"/>
        <w:left w:val="none" w:sz="0" w:space="0" w:color="auto"/>
        <w:bottom w:val="none" w:sz="0" w:space="0" w:color="auto"/>
        <w:right w:val="none" w:sz="0" w:space="0" w:color="auto"/>
      </w:divBdr>
    </w:div>
    <w:div w:id="1707291219">
      <w:bodyDiv w:val="1"/>
      <w:marLeft w:val="0"/>
      <w:marRight w:val="0"/>
      <w:marTop w:val="0"/>
      <w:marBottom w:val="0"/>
      <w:divBdr>
        <w:top w:val="none" w:sz="0" w:space="0" w:color="auto"/>
        <w:left w:val="none" w:sz="0" w:space="0" w:color="auto"/>
        <w:bottom w:val="none" w:sz="0" w:space="0" w:color="auto"/>
        <w:right w:val="none" w:sz="0" w:space="0" w:color="auto"/>
      </w:divBdr>
    </w:div>
    <w:div w:id="1725903739">
      <w:bodyDiv w:val="1"/>
      <w:marLeft w:val="0"/>
      <w:marRight w:val="0"/>
      <w:marTop w:val="0"/>
      <w:marBottom w:val="0"/>
      <w:divBdr>
        <w:top w:val="none" w:sz="0" w:space="0" w:color="auto"/>
        <w:left w:val="none" w:sz="0" w:space="0" w:color="auto"/>
        <w:bottom w:val="none" w:sz="0" w:space="0" w:color="auto"/>
        <w:right w:val="none" w:sz="0" w:space="0" w:color="auto"/>
      </w:divBdr>
    </w:div>
    <w:div w:id="1727992534">
      <w:bodyDiv w:val="1"/>
      <w:marLeft w:val="0"/>
      <w:marRight w:val="0"/>
      <w:marTop w:val="0"/>
      <w:marBottom w:val="0"/>
      <w:divBdr>
        <w:top w:val="none" w:sz="0" w:space="0" w:color="auto"/>
        <w:left w:val="none" w:sz="0" w:space="0" w:color="auto"/>
        <w:bottom w:val="none" w:sz="0" w:space="0" w:color="auto"/>
        <w:right w:val="none" w:sz="0" w:space="0" w:color="auto"/>
      </w:divBdr>
    </w:div>
    <w:div w:id="1746535719">
      <w:bodyDiv w:val="1"/>
      <w:marLeft w:val="0"/>
      <w:marRight w:val="0"/>
      <w:marTop w:val="0"/>
      <w:marBottom w:val="0"/>
      <w:divBdr>
        <w:top w:val="none" w:sz="0" w:space="0" w:color="auto"/>
        <w:left w:val="none" w:sz="0" w:space="0" w:color="auto"/>
        <w:bottom w:val="none" w:sz="0" w:space="0" w:color="auto"/>
        <w:right w:val="none" w:sz="0" w:space="0" w:color="auto"/>
      </w:divBdr>
    </w:div>
    <w:div w:id="1764379207">
      <w:bodyDiv w:val="1"/>
      <w:marLeft w:val="0"/>
      <w:marRight w:val="0"/>
      <w:marTop w:val="0"/>
      <w:marBottom w:val="0"/>
      <w:divBdr>
        <w:top w:val="none" w:sz="0" w:space="0" w:color="auto"/>
        <w:left w:val="none" w:sz="0" w:space="0" w:color="auto"/>
        <w:bottom w:val="none" w:sz="0" w:space="0" w:color="auto"/>
        <w:right w:val="none" w:sz="0" w:space="0" w:color="auto"/>
      </w:divBdr>
    </w:div>
    <w:div w:id="1765609329">
      <w:bodyDiv w:val="1"/>
      <w:marLeft w:val="0"/>
      <w:marRight w:val="0"/>
      <w:marTop w:val="0"/>
      <w:marBottom w:val="0"/>
      <w:divBdr>
        <w:top w:val="none" w:sz="0" w:space="0" w:color="auto"/>
        <w:left w:val="none" w:sz="0" w:space="0" w:color="auto"/>
        <w:bottom w:val="none" w:sz="0" w:space="0" w:color="auto"/>
        <w:right w:val="none" w:sz="0" w:space="0" w:color="auto"/>
      </w:divBdr>
    </w:div>
    <w:div w:id="1771507200">
      <w:bodyDiv w:val="1"/>
      <w:marLeft w:val="0"/>
      <w:marRight w:val="0"/>
      <w:marTop w:val="0"/>
      <w:marBottom w:val="0"/>
      <w:divBdr>
        <w:top w:val="none" w:sz="0" w:space="0" w:color="auto"/>
        <w:left w:val="none" w:sz="0" w:space="0" w:color="auto"/>
        <w:bottom w:val="none" w:sz="0" w:space="0" w:color="auto"/>
        <w:right w:val="none" w:sz="0" w:space="0" w:color="auto"/>
      </w:divBdr>
    </w:div>
    <w:div w:id="1775203506">
      <w:bodyDiv w:val="1"/>
      <w:marLeft w:val="0"/>
      <w:marRight w:val="0"/>
      <w:marTop w:val="0"/>
      <w:marBottom w:val="0"/>
      <w:divBdr>
        <w:top w:val="none" w:sz="0" w:space="0" w:color="auto"/>
        <w:left w:val="none" w:sz="0" w:space="0" w:color="auto"/>
        <w:bottom w:val="none" w:sz="0" w:space="0" w:color="auto"/>
        <w:right w:val="none" w:sz="0" w:space="0" w:color="auto"/>
      </w:divBdr>
    </w:div>
    <w:div w:id="1775978510">
      <w:bodyDiv w:val="1"/>
      <w:marLeft w:val="0"/>
      <w:marRight w:val="0"/>
      <w:marTop w:val="0"/>
      <w:marBottom w:val="0"/>
      <w:divBdr>
        <w:top w:val="none" w:sz="0" w:space="0" w:color="auto"/>
        <w:left w:val="none" w:sz="0" w:space="0" w:color="auto"/>
        <w:bottom w:val="none" w:sz="0" w:space="0" w:color="auto"/>
        <w:right w:val="none" w:sz="0" w:space="0" w:color="auto"/>
      </w:divBdr>
    </w:div>
    <w:div w:id="1777481498">
      <w:bodyDiv w:val="1"/>
      <w:marLeft w:val="0"/>
      <w:marRight w:val="0"/>
      <w:marTop w:val="0"/>
      <w:marBottom w:val="0"/>
      <w:divBdr>
        <w:top w:val="none" w:sz="0" w:space="0" w:color="auto"/>
        <w:left w:val="none" w:sz="0" w:space="0" w:color="auto"/>
        <w:bottom w:val="none" w:sz="0" w:space="0" w:color="auto"/>
        <w:right w:val="none" w:sz="0" w:space="0" w:color="auto"/>
      </w:divBdr>
    </w:div>
    <w:div w:id="1782338520">
      <w:bodyDiv w:val="1"/>
      <w:marLeft w:val="0"/>
      <w:marRight w:val="0"/>
      <w:marTop w:val="0"/>
      <w:marBottom w:val="0"/>
      <w:divBdr>
        <w:top w:val="none" w:sz="0" w:space="0" w:color="auto"/>
        <w:left w:val="none" w:sz="0" w:space="0" w:color="auto"/>
        <w:bottom w:val="none" w:sz="0" w:space="0" w:color="auto"/>
        <w:right w:val="none" w:sz="0" w:space="0" w:color="auto"/>
      </w:divBdr>
    </w:div>
    <w:div w:id="1789200761">
      <w:bodyDiv w:val="1"/>
      <w:marLeft w:val="0"/>
      <w:marRight w:val="0"/>
      <w:marTop w:val="0"/>
      <w:marBottom w:val="0"/>
      <w:divBdr>
        <w:top w:val="none" w:sz="0" w:space="0" w:color="auto"/>
        <w:left w:val="none" w:sz="0" w:space="0" w:color="auto"/>
        <w:bottom w:val="none" w:sz="0" w:space="0" w:color="auto"/>
        <w:right w:val="none" w:sz="0" w:space="0" w:color="auto"/>
      </w:divBdr>
    </w:div>
    <w:div w:id="1801458127">
      <w:bodyDiv w:val="1"/>
      <w:marLeft w:val="0"/>
      <w:marRight w:val="0"/>
      <w:marTop w:val="0"/>
      <w:marBottom w:val="0"/>
      <w:divBdr>
        <w:top w:val="none" w:sz="0" w:space="0" w:color="auto"/>
        <w:left w:val="none" w:sz="0" w:space="0" w:color="auto"/>
        <w:bottom w:val="none" w:sz="0" w:space="0" w:color="auto"/>
        <w:right w:val="none" w:sz="0" w:space="0" w:color="auto"/>
      </w:divBdr>
    </w:div>
    <w:div w:id="1807240083">
      <w:bodyDiv w:val="1"/>
      <w:marLeft w:val="0"/>
      <w:marRight w:val="0"/>
      <w:marTop w:val="0"/>
      <w:marBottom w:val="0"/>
      <w:divBdr>
        <w:top w:val="none" w:sz="0" w:space="0" w:color="auto"/>
        <w:left w:val="none" w:sz="0" w:space="0" w:color="auto"/>
        <w:bottom w:val="none" w:sz="0" w:space="0" w:color="auto"/>
        <w:right w:val="none" w:sz="0" w:space="0" w:color="auto"/>
      </w:divBdr>
    </w:div>
    <w:div w:id="1847819381">
      <w:bodyDiv w:val="1"/>
      <w:marLeft w:val="0"/>
      <w:marRight w:val="0"/>
      <w:marTop w:val="0"/>
      <w:marBottom w:val="0"/>
      <w:divBdr>
        <w:top w:val="none" w:sz="0" w:space="0" w:color="auto"/>
        <w:left w:val="none" w:sz="0" w:space="0" w:color="auto"/>
        <w:bottom w:val="none" w:sz="0" w:space="0" w:color="auto"/>
        <w:right w:val="none" w:sz="0" w:space="0" w:color="auto"/>
      </w:divBdr>
    </w:div>
    <w:div w:id="1849323401">
      <w:bodyDiv w:val="1"/>
      <w:marLeft w:val="0"/>
      <w:marRight w:val="0"/>
      <w:marTop w:val="0"/>
      <w:marBottom w:val="0"/>
      <w:divBdr>
        <w:top w:val="none" w:sz="0" w:space="0" w:color="auto"/>
        <w:left w:val="none" w:sz="0" w:space="0" w:color="auto"/>
        <w:bottom w:val="none" w:sz="0" w:space="0" w:color="auto"/>
        <w:right w:val="none" w:sz="0" w:space="0" w:color="auto"/>
      </w:divBdr>
    </w:div>
    <w:div w:id="1851524909">
      <w:bodyDiv w:val="1"/>
      <w:marLeft w:val="0"/>
      <w:marRight w:val="0"/>
      <w:marTop w:val="0"/>
      <w:marBottom w:val="0"/>
      <w:divBdr>
        <w:top w:val="none" w:sz="0" w:space="0" w:color="auto"/>
        <w:left w:val="none" w:sz="0" w:space="0" w:color="auto"/>
        <w:bottom w:val="none" w:sz="0" w:space="0" w:color="auto"/>
        <w:right w:val="none" w:sz="0" w:space="0" w:color="auto"/>
      </w:divBdr>
      <w:divsChild>
        <w:div w:id="20133063">
          <w:marLeft w:val="0"/>
          <w:marRight w:val="0"/>
          <w:marTop w:val="0"/>
          <w:marBottom w:val="0"/>
          <w:divBdr>
            <w:top w:val="none" w:sz="0" w:space="0" w:color="auto"/>
            <w:left w:val="none" w:sz="0" w:space="0" w:color="auto"/>
            <w:bottom w:val="none" w:sz="0" w:space="0" w:color="auto"/>
            <w:right w:val="none" w:sz="0" w:space="0" w:color="auto"/>
          </w:divBdr>
        </w:div>
        <w:div w:id="646935180">
          <w:marLeft w:val="0"/>
          <w:marRight w:val="0"/>
          <w:marTop w:val="0"/>
          <w:marBottom w:val="0"/>
          <w:divBdr>
            <w:top w:val="none" w:sz="0" w:space="0" w:color="auto"/>
            <w:left w:val="none" w:sz="0" w:space="0" w:color="auto"/>
            <w:bottom w:val="none" w:sz="0" w:space="0" w:color="auto"/>
            <w:right w:val="none" w:sz="0" w:space="0" w:color="auto"/>
          </w:divBdr>
        </w:div>
        <w:div w:id="718674562">
          <w:marLeft w:val="0"/>
          <w:marRight w:val="0"/>
          <w:marTop w:val="0"/>
          <w:marBottom w:val="0"/>
          <w:divBdr>
            <w:top w:val="none" w:sz="0" w:space="0" w:color="auto"/>
            <w:left w:val="none" w:sz="0" w:space="0" w:color="auto"/>
            <w:bottom w:val="none" w:sz="0" w:space="0" w:color="auto"/>
            <w:right w:val="none" w:sz="0" w:space="0" w:color="auto"/>
          </w:divBdr>
        </w:div>
        <w:div w:id="1128739040">
          <w:marLeft w:val="0"/>
          <w:marRight w:val="0"/>
          <w:marTop w:val="0"/>
          <w:marBottom w:val="0"/>
          <w:divBdr>
            <w:top w:val="none" w:sz="0" w:space="0" w:color="auto"/>
            <w:left w:val="none" w:sz="0" w:space="0" w:color="auto"/>
            <w:bottom w:val="none" w:sz="0" w:space="0" w:color="auto"/>
            <w:right w:val="none" w:sz="0" w:space="0" w:color="auto"/>
          </w:divBdr>
        </w:div>
      </w:divsChild>
    </w:div>
    <w:div w:id="1861046811">
      <w:bodyDiv w:val="1"/>
      <w:marLeft w:val="0"/>
      <w:marRight w:val="0"/>
      <w:marTop w:val="0"/>
      <w:marBottom w:val="0"/>
      <w:divBdr>
        <w:top w:val="none" w:sz="0" w:space="0" w:color="auto"/>
        <w:left w:val="none" w:sz="0" w:space="0" w:color="auto"/>
        <w:bottom w:val="none" w:sz="0" w:space="0" w:color="auto"/>
        <w:right w:val="none" w:sz="0" w:space="0" w:color="auto"/>
      </w:divBdr>
      <w:divsChild>
        <w:div w:id="681780306">
          <w:marLeft w:val="0"/>
          <w:marRight w:val="0"/>
          <w:marTop w:val="0"/>
          <w:marBottom w:val="0"/>
          <w:divBdr>
            <w:top w:val="none" w:sz="0" w:space="0" w:color="auto"/>
            <w:left w:val="none" w:sz="0" w:space="0" w:color="auto"/>
            <w:bottom w:val="none" w:sz="0" w:space="0" w:color="auto"/>
            <w:right w:val="none" w:sz="0" w:space="0" w:color="auto"/>
          </w:divBdr>
        </w:div>
        <w:div w:id="1692992725">
          <w:marLeft w:val="0"/>
          <w:marRight w:val="0"/>
          <w:marTop w:val="0"/>
          <w:marBottom w:val="0"/>
          <w:divBdr>
            <w:top w:val="none" w:sz="0" w:space="0" w:color="auto"/>
            <w:left w:val="none" w:sz="0" w:space="0" w:color="auto"/>
            <w:bottom w:val="none" w:sz="0" w:space="0" w:color="auto"/>
            <w:right w:val="none" w:sz="0" w:space="0" w:color="auto"/>
          </w:divBdr>
        </w:div>
      </w:divsChild>
    </w:div>
    <w:div w:id="1873036740">
      <w:marLeft w:val="0"/>
      <w:marRight w:val="0"/>
      <w:marTop w:val="0"/>
      <w:marBottom w:val="0"/>
      <w:divBdr>
        <w:top w:val="none" w:sz="0" w:space="0" w:color="auto"/>
        <w:left w:val="none" w:sz="0" w:space="0" w:color="auto"/>
        <w:bottom w:val="none" w:sz="0" w:space="0" w:color="auto"/>
        <w:right w:val="none" w:sz="0" w:space="0" w:color="auto"/>
      </w:divBdr>
    </w:div>
    <w:div w:id="1875269087">
      <w:bodyDiv w:val="1"/>
      <w:marLeft w:val="0"/>
      <w:marRight w:val="0"/>
      <w:marTop w:val="0"/>
      <w:marBottom w:val="0"/>
      <w:divBdr>
        <w:top w:val="none" w:sz="0" w:space="0" w:color="auto"/>
        <w:left w:val="none" w:sz="0" w:space="0" w:color="auto"/>
        <w:bottom w:val="none" w:sz="0" w:space="0" w:color="auto"/>
        <w:right w:val="none" w:sz="0" w:space="0" w:color="auto"/>
      </w:divBdr>
    </w:div>
    <w:div w:id="1876842274">
      <w:bodyDiv w:val="1"/>
      <w:marLeft w:val="0"/>
      <w:marRight w:val="0"/>
      <w:marTop w:val="0"/>
      <w:marBottom w:val="0"/>
      <w:divBdr>
        <w:top w:val="none" w:sz="0" w:space="0" w:color="auto"/>
        <w:left w:val="none" w:sz="0" w:space="0" w:color="auto"/>
        <w:bottom w:val="none" w:sz="0" w:space="0" w:color="auto"/>
        <w:right w:val="none" w:sz="0" w:space="0" w:color="auto"/>
      </w:divBdr>
    </w:div>
    <w:div w:id="1881819538">
      <w:bodyDiv w:val="1"/>
      <w:marLeft w:val="0"/>
      <w:marRight w:val="0"/>
      <w:marTop w:val="0"/>
      <w:marBottom w:val="0"/>
      <w:divBdr>
        <w:top w:val="none" w:sz="0" w:space="0" w:color="auto"/>
        <w:left w:val="none" w:sz="0" w:space="0" w:color="auto"/>
        <w:bottom w:val="none" w:sz="0" w:space="0" w:color="auto"/>
        <w:right w:val="none" w:sz="0" w:space="0" w:color="auto"/>
      </w:divBdr>
    </w:div>
    <w:div w:id="1882938854">
      <w:bodyDiv w:val="1"/>
      <w:marLeft w:val="0"/>
      <w:marRight w:val="0"/>
      <w:marTop w:val="0"/>
      <w:marBottom w:val="0"/>
      <w:divBdr>
        <w:top w:val="none" w:sz="0" w:space="0" w:color="auto"/>
        <w:left w:val="none" w:sz="0" w:space="0" w:color="auto"/>
        <w:bottom w:val="none" w:sz="0" w:space="0" w:color="auto"/>
        <w:right w:val="none" w:sz="0" w:space="0" w:color="auto"/>
      </w:divBdr>
    </w:div>
    <w:div w:id="1884172243">
      <w:bodyDiv w:val="1"/>
      <w:marLeft w:val="0"/>
      <w:marRight w:val="0"/>
      <w:marTop w:val="0"/>
      <w:marBottom w:val="0"/>
      <w:divBdr>
        <w:top w:val="none" w:sz="0" w:space="0" w:color="auto"/>
        <w:left w:val="none" w:sz="0" w:space="0" w:color="auto"/>
        <w:bottom w:val="none" w:sz="0" w:space="0" w:color="auto"/>
        <w:right w:val="none" w:sz="0" w:space="0" w:color="auto"/>
      </w:divBdr>
    </w:div>
    <w:div w:id="1889291900">
      <w:bodyDiv w:val="1"/>
      <w:marLeft w:val="0"/>
      <w:marRight w:val="0"/>
      <w:marTop w:val="0"/>
      <w:marBottom w:val="0"/>
      <w:divBdr>
        <w:top w:val="none" w:sz="0" w:space="0" w:color="auto"/>
        <w:left w:val="none" w:sz="0" w:space="0" w:color="auto"/>
        <w:bottom w:val="none" w:sz="0" w:space="0" w:color="auto"/>
        <w:right w:val="none" w:sz="0" w:space="0" w:color="auto"/>
      </w:divBdr>
    </w:div>
    <w:div w:id="1902018423">
      <w:bodyDiv w:val="1"/>
      <w:marLeft w:val="0"/>
      <w:marRight w:val="0"/>
      <w:marTop w:val="0"/>
      <w:marBottom w:val="0"/>
      <w:divBdr>
        <w:top w:val="none" w:sz="0" w:space="0" w:color="auto"/>
        <w:left w:val="none" w:sz="0" w:space="0" w:color="auto"/>
        <w:bottom w:val="none" w:sz="0" w:space="0" w:color="auto"/>
        <w:right w:val="none" w:sz="0" w:space="0" w:color="auto"/>
      </w:divBdr>
    </w:div>
    <w:div w:id="1913656973">
      <w:bodyDiv w:val="1"/>
      <w:marLeft w:val="0"/>
      <w:marRight w:val="0"/>
      <w:marTop w:val="0"/>
      <w:marBottom w:val="0"/>
      <w:divBdr>
        <w:top w:val="none" w:sz="0" w:space="0" w:color="auto"/>
        <w:left w:val="none" w:sz="0" w:space="0" w:color="auto"/>
        <w:bottom w:val="none" w:sz="0" w:space="0" w:color="auto"/>
        <w:right w:val="none" w:sz="0" w:space="0" w:color="auto"/>
      </w:divBdr>
    </w:div>
    <w:div w:id="1941991635">
      <w:bodyDiv w:val="1"/>
      <w:marLeft w:val="0"/>
      <w:marRight w:val="0"/>
      <w:marTop w:val="0"/>
      <w:marBottom w:val="0"/>
      <w:divBdr>
        <w:top w:val="none" w:sz="0" w:space="0" w:color="auto"/>
        <w:left w:val="none" w:sz="0" w:space="0" w:color="auto"/>
        <w:bottom w:val="none" w:sz="0" w:space="0" w:color="auto"/>
        <w:right w:val="none" w:sz="0" w:space="0" w:color="auto"/>
      </w:divBdr>
    </w:div>
    <w:div w:id="1951088566">
      <w:bodyDiv w:val="1"/>
      <w:marLeft w:val="0"/>
      <w:marRight w:val="0"/>
      <w:marTop w:val="0"/>
      <w:marBottom w:val="0"/>
      <w:divBdr>
        <w:top w:val="none" w:sz="0" w:space="0" w:color="auto"/>
        <w:left w:val="none" w:sz="0" w:space="0" w:color="auto"/>
        <w:bottom w:val="none" w:sz="0" w:space="0" w:color="auto"/>
        <w:right w:val="none" w:sz="0" w:space="0" w:color="auto"/>
      </w:divBdr>
    </w:div>
    <w:div w:id="1981684779">
      <w:bodyDiv w:val="1"/>
      <w:marLeft w:val="0"/>
      <w:marRight w:val="0"/>
      <w:marTop w:val="0"/>
      <w:marBottom w:val="0"/>
      <w:divBdr>
        <w:top w:val="none" w:sz="0" w:space="0" w:color="auto"/>
        <w:left w:val="none" w:sz="0" w:space="0" w:color="auto"/>
        <w:bottom w:val="none" w:sz="0" w:space="0" w:color="auto"/>
        <w:right w:val="none" w:sz="0" w:space="0" w:color="auto"/>
      </w:divBdr>
    </w:div>
    <w:div w:id="2013096742">
      <w:bodyDiv w:val="1"/>
      <w:marLeft w:val="0"/>
      <w:marRight w:val="0"/>
      <w:marTop w:val="0"/>
      <w:marBottom w:val="0"/>
      <w:divBdr>
        <w:top w:val="none" w:sz="0" w:space="0" w:color="auto"/>
        <w:left w:val="none" w:sz="0" w:space="0" w:color="auto"/>
        <w:bottom w:val="none" w:sz="0" w:space="0" w:color="auto"/>
        <w:right w:val="none" w:sz="0" w:space="0" w:color="auto"/>
      </w:divBdr>
    </w:div>
    <w:div w:id="2014801347">
      <w:bodyDiv w:val="1"/>
      <w:marLeft w:val="0"/>
      <w:marRight w:val="0"/>
      <w:marTop w:val="0"/>
      <w:marBottom w:val="0"/>
      <w:divBdr>
        <w:top w:val="none" w:sz="0" w:space="0" w:color="auto"/>
        <w:left w:val="none" w:sz="0" w:space="0" w:color="auto"/>
        <w:bottom w:val="none" w:sz="0" w:space="0" w:color="auto"/>
        <w:right w:val="none" w:sz="0" w:space="0" w:color="auto"/>
      </w:divBdr>
    </w:div>
    <w:div w:id="2021924670">
      <w:bodyDiv w:val="1"/>
      <w:marLeft w:val="0"/>
      <w:marRight w:val="0"/>
      <w:marTop w:val="0"/>
      <w:marBottom w:val="0"/>
      <w:divBdr>
        <w:top w:val="none" w:sz="0" w:space="0" w:color="auto"/>
        <w:left w:val="none" w:sz="0" w:space="0" w:color="auto"/>
        <w:bottom w:val="none" w:sz="0" w:space="0" w:color="auto"/>
        <w:right w:val="none" w:sz="0" w:space="0" w:color="auto"/>
      </w:divBdr>
    </w:div>
    <w:div w:id="2023362868">
      <w:bodyDiv w:val="1"/>
      <w:marLeft w:val="0"/>
      <w:marRight w:val="0"/>
      <w:marTop w:val="0"/>
      <w:marBottom w:val="0"/>
      <w:divBdr>
        <w:top w:val="none" w:sz="0" w:space="0" w:color="auto"/>
        <w:left w:val="none" w:sz="0" w:space="0" w:color="auto"/>
        <w:bottom w:val="none" w:sz="0" w:space="0" w:color="auto"/>
        <w:right w:val="none" w:sz="0" w:space="0" w:color="auto"/>
      </w:divBdr>
    </w:div>
    <w:div w:id="2030641607">
      <w:bodyDiv w:val="1"/>
      <w:marLeft w:val="0"/>
      <w:marRight w:val="0"/>
      <w:marTop w:val="0"/>
      <w:marBottom w:val="0"/>
      <w:divBdr>
        <w:top w:val="none" w:sz="0" w:space="0" w:color="auto"/>
        <w:left w:val="none" w:sz="0" w:space="0" w:color="auto"/>
        <w:bottom w:val="none" w:sz="0" w:space="0" w:color="auto"/>
        <w:right w:val="none" w:sz="0" w:space="0" w:color="auto"/>
      </w:divBdr>
    </w:div>
    <w:div w:id="2036493635">
      <w:bodyDiv w:val="1"/>
      <w:marLeft w:val="0"/>
      <w:marRight w:val="0"/>
      <w:marTop w:val="0"/>
      <w:marBottom w:val="0"/>
      <w:divBdr>
        <w:top w:val="none" w:sz="0" w:space="0" w:color="auto"/>
        <w:left w:val="none" w:sz="0" w:space="0" w:color="auto"/>
        <w:bottom w:val="none" w:sz="0" w:space="0" w:color="auto"/>
        <w:right w:val="none" w:sz="0" w:space="0" w:color="auto"/>
      </w:divBdr>
    </w:div>
    <w:div w:id="2038503337">
      <w:bodyDiv w:val="1"/>
      <w:marLeft w:val="0"/>
      <w:marRight w:val="0"/>
      <w:marTop w:val="0"/>
      <w:marBottom w:val="0"/>
      <w:divBdr>
        <w:top w:val="none" w:sz="0" w:space="0" w:color="auto"/>
        <w:left w:val="none" w:sz="0" w:space="0" w:color="auto"/>
        <w:bottom w:val="none" w:sz="0" w:space="0" w:color="auto"/>
        <w:right w:val="none" w:sz="0" w:space="0" w:color="auto"/>
      </w:divBdr>
    </w:div>
    <w:div w:id="2050185864">
      <w:bodyDiv w:val="1"/>
      <w:marLeft w:val="0"/>
      <w:marRight w:val="0"/>
      <w:marTop w:val="0"/>
      <w:marBottom w:val="0"/>
      <w:divBdr>
        <w:top w:val="none" w:sz="0" w:space="0" w:color="auto"/>
        <w:left w:val="none" w:sz="0" w:space="0" w:color="auto"/>
        <w:bottom w:val="none" w:sz="0" w:space="0" w:color="auto"/>
        <w:right w:val="none" w:sz="0" w:space="0" w:color="auto"/>
      </w:divBdr>
    </w:div>
    <w:div w:id="2055419415">
      <w:bodyDiv w:val="1"/>
      <w:marLeft w:val="0"/>
      <w:marRight w:val="0"/>
      <w:marTop w:val="0"/>
      <w:marBottom w:val="0"/>
      <w:divBdr>
        <w:top w:val="none" w:sz="0" w:space="0" w:color="auto"/>
        <w:left w:val="none" w:sz="0" w:space="0" w:color="auto"/>
        <w:bottom w:val="none" w:sz="0" w:space="0" w:color="auto"/>
        <w:right w:val="none" w:sz="0" w:space="0" w:color="auto"/>
      </w:divBdr>
      <w:divsChild>
        <w:div w:id="2018774650">
          <w:marLeft w:val="547"/>
          <w:marRight w:val="0"/>
          <w:marTop w:val="0"/>
          <w:marBottom w:val="0"/>
          <w:divBdr>
            <w:top w:val="none" w:sz="0" w:space="0" w:color="auto"/>
            <w:left w:val="none" w:sz="0" w:space="0" w:color="auto"/>
            <w:bottom w:val="none" w:sz="0" w:space="0" w:color="auto"/>
            <w:right w:val="none" w:sz="0" w:space="0" w:color="auto"/>
          </w:divBdr>
        </w:div>
      </w:divsChild>
    </w:div>
    <w:div w:id="2060935193">
      <w:bodyDiv w:val="1"/>
      <w:marLeft w:val="0"/>
      <w:marRight w:val="0"/>
      <w:marTop w:val="0"/>
      <w:marBottom w:val="0"/>
      <w:divBdr>
        <w:top w:val="none" w:sz="0" w:space="0" w:color="auto"/>
        <w:left w:val="none" w:sz="0" w:space="0" w:color="auto"/>
        <w:bottom w:val="none" w:sz="0" w:space="0" w:color="auto"/>
        <w:right w:val="none" w:sz="0" w:space="0" w:color="auto"/>
      </w:divBdr>
    </w:div>
    <w:div w:id="2080589699">
      <w:bodyDiv w:val="1"/>
      <w:marLeft w:val="0"/>
      <w:marRight w:val="0"/>
      <w:marTop w:val="0"/>
      <w:marBottom w:val="0"/>
      <w:divBdr>
        <w:top w:val="none" w:sz="0" w:space="0" w:color="auto"/>
        <w:left w:val="none" w:sz="0" w:space="0" w:color="auto"/>
        <w:bottom w:val="none" w:sz="0" w:space="0" w:color="auto"/>
        <w:right w:val="none" w:sz="0" w:space="0" w:color="auto"/>
      </w:divBdr>
    </w:div>
    <w:div w:id="2082364114">
      <w:bodyDiv w:val="1"/>
      <w:marLeft w:val="0"/>
      <w:marRight w:val="0"/>
      <w:marTop w:val="0"/>
      <w:marBottom w:val="0"/>
      <w:divBdr>
        <w:top w:val="none" w:sz="0" w:space="0" w:color="auto"/>
        <w:left w:val="none" w:sz="0" w:space="0" w:color="auto"/>
        <w:bottom w:val="none" w:sz="0" w:space="0" w:color="auto"/>
        <w:right w:val="none" w:sz="0" w:space="0" w:color="auto"/>
      </w:divBdr>
    </w:div>
    <w:div w:id="2107842907">
      <w:bodyDiv w:val="1"/>
      <w:marLeft w:val="0"/>
      <w:marRight w:val="0"/>
      <w:marTop w:val="0"/>
      <w:marBottom w:val="0"/>
      <w:divBdr>
        <w:top w:val="none" w:sz="0" w:space="0" w:color="auto"/>
        <w:left w:val="none" w:sz="0" w:space="0" w:color="auto"/>
        <w:bottom w:val="none" w:sz="0" w:space="0" w:color="auto"/>
        <w:right w:val="none" w:sz="0" w:space="0" w:color="auto"/>
      </w:divBdr>
    </w:div>
    <w:div w:id="211413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tchca.com" TargetMode="External"/><Relationship Id="rId18" Type="http://schemas.openxmlformats.org/officeDocument/2006/relationships/hyperlink" Target="http://www.ratingspcr.com" TargetMode="External"/><Relationship Id="rId26" Type="http://schemas.openxmlformats.org/officeDocument/2006/relationships/footer" Target="footer1.xml"/><Relationship Id="rId39" Type="http://schemas.openxmlformats.org/officeDocument/2006/relationships/chart" Target="charts/chart11.xml"/><Relationship Id="rId21" Type="http://schemas.openxmlformats.org/officeDocument/2006/relationships/hyperlink" Target="http://www.recope.go.cr" TargetMode="External"/><Relationship Id="rId34" Type="http://schemas.openxmlformats.org/officeDocument/2006/relationships/chart" Target="charts/chart8.xml"/><Relationship Id="rId42" Type="http://schemas.openxmlformats.org/officeDocument/2006/relationships/hyperlink" Target="https://fred.stlouisfed.org/series/DTWEXB" TargetMode="External"/><Relationship Id="rId47" Type="http://schemas.openxmlformats.org/officeDocument/2006/relationships/hyperlink" Target="https://www.recope.go.cr/quienes-somos/gobierno-corporativo/" TargetMode="Externa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atingspcr.com" TargetMode="External"/><Relationship Id="rId29" Type="http://schemas.openxmlformats.org/officeDocument/2006/relationships/chart" Target="charts/chart3.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9.jpeg"/><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fitchca.com" TargetMode="External"/><Relationship Id="rId31" Type="http://schemas.openxmlformats.org/officeDocument/2006/relationships/chart" Target="charts/chart5.xml"/><Relationship Id="rId44" Type="http://schemas.openxmlformats.org/officeDocument/2006/relationships/chart" Target="charts/chart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tingspcr.co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chart" Target="charts/chart4.xml"/><Relationship Id="rId35" Type="http://schemas.openxmlformats.org/officeDocument/2006/relationships/image" Target="media/image8.png"/><Relationship Id="rId43" Type="http://schemas.openxmlformats.org/officeDocument/2006/relationships/chart" Target="charts/chart14.xml"/><Relationship Id="rId48"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fitchca.com" TargetMode="External"/><Relationship Id="rId25" Type="http://schemas.openxmlformats.org/officeDocument/2006/relationships/header" Target="header1.xml"/><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7.xml"/><Relationship Id="rId20" Type="http://schemas.openxmlformats.org/officeDocument/2006/relationships/hyperlink" Target="http://www.ratingspcr.com" TargetMode="External"/><Relationship Id="rId41" Type="http://schemas.openxmlformats.org/officeDocument/2006/relationships/chart" Target="charts/chart13.xm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tchca.com" TargetMode="External"/><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chart" Target="charts/chart9.xml"/><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tia-pm\Desktop\Respaldo\00%20KATTIA%20PICADO\00%20Libros%20de%20trabajo\11%20%20ORDINARIO\Almacenamiento\Informe%20Integral%20de%20Gesti&#243;n%20(semestral)%20a%20Diciembre%202021-%20A.1,%20A.2,%20A.3,%20A.4,%20A.5,%20A.6,%20A.10,%20A.14,%20B.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aniele-ve\Documents\Copia%20de%20Gr&#225;ficos%20Daniel%20-%202022.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aniele-ve\Documents\Copia%20de%20Gr&#225;ficos%20Daniel%20-%202022.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daniele-ve\Documents\Copia%20de%20Gr&#225;ficos%20Daniel%20-%202022.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ESTUDIOS%20ECON&#211;MICOS\Estudios%20Extraordinarios%20de%20Precios\2023\EEP%20Enero%202023\Gr&#225;ficos%20EEP%20enero%202023.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ESTUDIOS%20ECON&#211;MICOS\Emisi&#243;n%20de%20bonos\Prospecto%202023\Cuadros%20y%20gr&#225;ficos%20del%20Prospecto%20de%20Inversi&#243;n%202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Cuadros%20y%20gr&#225;ficos%20del%20Prospecto%20de%20Inversi&#243;n%20202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Cuadros%20y%20gr&#225;ficos%20del%20Prospecto%20de%20Inversi&#243;n%202023.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ESTUDIOS%20ECON&#211;MICOS\Emisi&#243;n%20de%20bonos\Prospecto%202023\Capitulo%204%202023%20y%20Prospecto.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tia-pm\Desktop\Respaldo\00%20KATTIA%20PICADO\00%20Libros%20de%20trabajo\11%20%20ORDINARIO\Almacenamiento\Informe%20Integral%20de%20Gesti&#243;n%20(semestral)%20a%20Diciembre%202021-%20A.1,%20A.2,%20A.3,%20A.4,%20A.5,%20A.6,%20A.10,%20A.14,%20B.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STUDIOS%20ECON&#211;MICOS\Emisi&#243;n%20de%20bonos\Prospecto%202023\Estructura%20Precio%20para%20Prospecto%20202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ESTUDIOS%20ECON&#211;MICOS\Ingresos%20tarifarios\Evoluci&#243;n%20de%20ventas%20de%20principales%20productos%20de%20RECOPE%201999-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604B7C"/>
              </a:solidFill>
              <a:ln w="19050">
                <a:solidFill>
                  <a:srgbClr val="604B7C"/>
                </a:solidFill>
              </a:ln>
              <a:effectLst/>
            </c:spPr>
            <c:extLst>
              <c:ext xmlns:c16="http://schemas.microsoft.com/office/drawing/2014/chart" uri="{C3380CC4-5D6E-409C-BE32-E72D297353CC}">
                <c16:uniqueId val="{00000001-497D-441B-85DB-9AA2634C0CE0}"/>
              </c:ext>
            </c:extLst>
          </c:dPt>
          <c:dPt>
            <c:idx val="1"/>
            <c:bubble3D val="0"/>
            <c:spPr>
              <a:solidFill>
                <a:srgbClr val="2E869D"/>
              </a:solidFill>
              <a:ln w="19050">
                <a:solidFill>
                  <a:srgbClr val="2E869D"/>
                </a:solidFill>
              </a:ln>
              <a:effectLst/>
            </c:spPr>
            <c:extLst>
              <c:ext xmlns:c16="http://schemas.microsoft.com/office/drawing/2014/chart" uri="{C3380CC4-5D6E-409C-BE32-E72D297353CC}">
                <c16:uniqueId val="{00000003-497D-441B-85DB-9AA2634C0CE0}"/>
              </c:ext>
            </c:extLst>
          </c:dPt>
          <c:dPt>
            <c:idx val="2"/>
            <c:bubble3D val="0"/>
            <c:spPr>
              <a:solidFill>
                <a:srgbClr val="E56D25"/>
              </a:solidFill>
              <a:ln w="19050">
                <a:solidFill>
                  <a:srgbClr val="E56D25"/>
                </a:solidFill>
              </a:ln>
              <a:effectLst/>
            </c:spPr>
            <c:extLst>
              <c:ext xmlns:c16="http://schemas.microsoft.com/office/drawing/2014/chart" uri="{C3380CC4-5D6E-409C-BE32-E72D297353CC}">
                <c16:uniqueId val="{00000005-497D-441B-85DB-9AA2634C0CE0}"/>
              </c:ext>
            </c:extLst>
          </c:dPt>
          <c:dPt>
            <c:idx val="3"/>
            <c:bubble3D val="0"/>
            <c:spPr>
              <a:solidFill>
                <a:srgbClr val="77943C"/>
              </a:solidFill>
              <a:ln w="19050">
                <a:solidFill>
                  <a:srgbClr val="77943C"/>
                </a:solidFill>
              </a:ln>
              <a:effectLst/>
            </c:spPr>
            <c:extLst>
              <c:ext xmlns:c16="http://schemas.microsoft.com/office/drawing/2014/chart" uri="{C3380CC4-5D6E-409C-BE32-E72D297353CC}">
                <c16:uniqueId val="{00000007-497D-441B-85DB-9AA2634C0CE0}"/>
              </c:ext>
            </c:extLst>
          </c:dPt>
          <c:dPt>
            <c:idx val="4"/>
            <c:bubble3D val="0"/>
            <c:spPr>
              <a:solidFill>
                <a:srgbClr val="9C42B2"/>
              </a:solidFill>
              <a:ln w="19050">
                <a:solidFill>
                  <a:srgbClr val="9C42B2"/>
                </a:solidFill>
              </a:ln>
              <a:effectLst/>
            </c:spPr>
            <c:extLst>
              <c:ext xmlns:c16="http://schemas.microsoft.com/office/drawing/2014/chart" uri="{C3380CC4-5D6E-409C-BE32-E72D297353CC}">
                <c16:uniqueId val="{00000009-497D-441B-85DB-9AA2634C0CE0}"/>
              </c:ext>
            </c:extLst>
          </c:dPt>
          <c:dPt>
            <c:idx val="5"/>
            <c:bubble3D val="0"/>
            <c:spPr>
              <a:solidFill>
                <a:srgbClr val="DA0035"/>
              </a:solidFill>
              <a:ln w="19050">
                <a:solidFill>
                  <a:srgbClr val="DA0035"/>
                </a:solidFill>
              </a:ln>
              <a:effectLst/>
            </c:spPr>
            <c:extLst>
              <c:ext xmlns:c16="http://schemas.microsoft.com/office/drawing/2014/chart" uri="{C3380CC4-5D6E-409C-BE32-E72D297353CC}">
                <c16:uniqueId val="{0000000B-497D-441B-85DB-9AA2634C0CE0}"/>
              </c:ext>
            </c:extLst>
          </c:dPt>
          <c:dPt>
            <c:idx val="6"/>
            <c:bubble3D val="0"/>
            <c:spPr>
              <a:solidFill>
                <a:srgbClr val="727272"/>
              </a:solidFill>
              <a:ln w="19050">
                <a:solidFill>
                  <a:srgbClr val="727272"/>
                </a:solidFill>
              </a:ln>
              <a:effectLst/>
            </c:spPr>
            <c:extLst>
              <c:ext xmlns:c16="http://schemas.microsoft.com/office/drawing/2014/chart" uri="{C3380CC4-5D6E-409C-BE32-E72D297353CC}">
                <c16:uniqueId val="{0000000D-497D-441B-85DB-9AA2634C0CE0}"/>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1-497D-441B-85DB-9AA2634C0CE0}"/>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497D-441B-85DB-9AA2634C0CE0}"/>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5-497D-441B-85DB-9AA2634C0CE0}"/>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7-497D-441B-85DB-9AA2634C0CE0}"/>
                </c:ext>
              </c:extLst>
            </c:dLbl>
            <c:dLbl>
              <c:idx val="4"/>
              <c:layout>
                <c:manualLayout>
                  <c:x val="7.1382828532754582E-3"/>
                  <c:y val="-0.1244346487708238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2352820673293842"/>
                      <c:h val="0.19586410635155097"/>
                    </c:manualLayout>
                  </c15:layout>
                </c:ext>
                <c:ext xmlns:c16="http://schemas.microsoft.com/office/drawing/2014/chart" uri="{C3380CC4-5D6E-409C-BE32-E72D297353CC}">
                  <c16:uniqueId val="{00000009-497D-441B-85DB-9AA2634C0CE0}"/>
                </c:ext>
              </c:extLst>
            </c:dLbl>
            <c:dLbl>
              <c:idx val="5"/>
              <c:layout>
                <c:manualLayout>
                  <c:x val="0.29579300507954065"/>
                  <c:y val="-0.1309800455149901"/>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315609D7-3824-4F42-A33B-62D976580D09}" type="CATEGORYNAME">
                      <a:rPr lang="en-US">
                        <a:solidFill>
                          <a:sysClr val="windowText" lastClr="000000"/>
                        </a:solidFill>
                      </a:rPr>
                      <a:pPr>
                        <a:defRPr sz="800">
                          <a:solidFill>
                            <a:schemeClr val="bg1"/>
                          </a:solidFill>
                          <a:latin typeface="Arial" panose="020B0604020202020204" pitchFamily="34" charset="0"/>
                          <a:cs typeface="Arial" panose="020B0604020202020204" pitchFamily="34" charset="0"/>
                        </a:defRPr>
                      </a:pPr>
                      <a:t>[NOMBRE DE CATEGORÍA]</a:t>
                    </a:fld>
                    <a:r>
                      <a:rPr lang="en-US" baseline="0">
                        <a:solidFill>
                          <a:sysClr val="windowText" lastClr="000000"/>
                        </a:solidFill>
                      </a:rPr>
                      <a:t>
</a:t>
                    </a:r>
                    <a:fld id="{2D49C89A-3D59-4D6B-9466-191A7852CBD3}" type="PERCENTAGE">
                      <a:rPr lang="en-US" baseline="0">
                        <a:solidFill>
                          <a:sysClr val="windowText" lastClr="000000"/>
                        </a:solidFill>
                      </a:rPr>
                      <a:pPr>
                        <a:defRPr sz="800">
                          <a:solidFill>
                            <a:schemeClr val="bg1"/>
                          </a:solidFill>
                          <a:latin typeface="Arial" panose="020B0604020202020204" pitchFamily="34" charset="0"/>
                          <a:cs typeface="Arial" panose="020B0604020202020204" pitchFamily="34" charset="0"/>
                        </a:defRPr>
                      </a:pPr>
                      <a:t>[PORCENTAJE]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97D-441B-85DB-9AA2634C0CE0}"/>
                </c:ext>
              </c:extLst>
            </c:dLbl>
            <c:dLbl>
              <c:idx val="6"/>
              <c:layout>
                <c:manualLayout>
                  <c:x val="-0.31654671285312996"/>
                  <c:y val="-0.11205875853406064"/>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97D-441B-85DB-9AA2634C0CE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'Cap. de Almacenamiento'!$T$36:$T$42</c:f>
              <c:strCache>
                <c:ptCount val="7"/>
                <c:pt idx="0">
                  <c:v>El Alto</c:v>
                </c:pt>
                <c:pt idx="1">
                  <c:v>La Garita</c:v>
                </c:pt>
                <c:pt idx="2">
                  <c:v>Barranca</c:v>
                </c:pt>
                <c:pt idx="3">
                  <c:v>Moin</c:v>
                </c:pt>
                <c:pt idx="4">
                  <c:v>Juan Santamaría</c:v>
                </c:pt>
                <c:pt idx="5">
                  <c:v>Danel Oduber</c:v>
                </c:pt>
                <c:pt idx="6">
                  <c:v>Tobías Bolaños</c:v>
                </c:pt>
              </c:strCache>
            </c:strRef>
          </c:cat>
          <c:val>
            <c:numRef>
              <c:f>'Cap. de Almacenamiento'!$U$36:$U$42</c:f>
              <c:numCache>
                <c:formatCode>_-* #,##0_-;\-* #,##0_-;_-* "-"??_-;_-@_-</c:formatCode>
                <c:ptCount val="7"/>
                <c:pt idx="0">
                  <c:v>101657</c:v>
                </c:pt>
                <c:pt idx="1">
                  <c:v>110206</c:v>
                </c:pt>
                <c:pt idx="2">
                  <c:v>45342</c:v>
                </c:pt>
                <c:pt idx="3">
                  <c:v>345860.72299999994</c:v>
                </c:pt>
                <c:pt idx="4">
                  <c:v>3170</c:v>
                </c:pt>
                <c:pt idx="5">
                  <c:v>2785</c:v>
                </c:pt>
                <c:pt idx="6">
                  <c:v>40</c:v>
                </c:pt>
              </c:numCache>
            </c:numRef>
          </c:val>
          <c:extLst>
            <c:ext xmlns:c16="http://schemas.microsoft.com/office/drawing/2014/chart" uri="{C3380CC4-5D6E-409C-BE32-E72D297353CC}">
              <c16:uniqueId val="{0000000E-497D-441B-85DB-9AA2634C0CE0}"/>
            </c:ext>
          </c:extLst>
        </c:ser>
        <c:dLbls>
          <c:showLegendKey val="0"/>
          <c:showVal val="1"/>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9.9160730602580099E-2"/>
          <c:y val="6.6130764474240891E-2"/>
          <c:w val="0.87588323721003347"/>
          <c:h val="0.76410583525889286"/>
        </c:manualLayout>
      </c:layout>
      <c:bar3DChart>
        <c:barDir val="col"/>
        <c:grouping val="stacked"/>
        <c:varyColors val="0"/>
        <c:ser>
          <c:idx val="0"/>
          <c:order val="0"/>
          <c:tx>
            <c:strRef>
              <c:f>'STEO - EIA - Diciembre 2022'!$A$122</c:f>
              <c:strCache>
                <c:ptCount val="1"/>
                <c:pt idx="0">
                  <c:v>OCDE</c:v>
                </c:pt>
              </c:strCache>
            </c:strRef>
          </c:tx>
          <c:invertIfNegative val="0"/>
          <c:dLbls>
            <c:numFmt formatCode="#,##0.0" sourceLinked="0"/>
            <c:spPr>
              <a:noFill/>
              <a:ln>
                <a:noFill/>
              </a:ln>
              <a:effectLst/>
            </c:spPr>
            <c:txPr>
              <a:bodyPr rot="0" vert="horz"/>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'STEO - EIA - Diciembre 2022'!$C$121:$K$121</c:f>
              <c:numCache>
                <c:formatCode>General</c:formatCode>
                <c:ptCount val="9"/>
                <c:pt idx="0">
                  <c:v>2018</c:v>
                </c:pt>
                <c:pt idx="1">
                  <c:v>2019</c:v>
                </c:pt>
                <c:pt idx="2">
                  <c:v>2020</c:v>
                </c:pt>
                <c:pt idx="3">
                  <c:v>2021</c:v>
                </c:pt>
                <c:pt idx="4">
                  <c:v>2022</c:v>
                </c:pt>
                <c:pt idx="5">
                  <c:v>2023</c:v>
                </c:pt>
                <c:pt idx="7" formatCode="mmm\-yy">
                  <c:v>44531</c:v>
                </c:pt>
                <c:pt idx="8" formatCode="mmm\-yy">
                  <c:v>44896</c:v>
                </c:pt>
              </c:numCache>
            </c:numRef>
          </c:cat>
          <c:val>
            <c:numRef>
              <c:f>'STEO - EIA - Diciembre 2022'!$C$122:$K$122</c:f>
              <c:numCache>
                <c:formatCode>0.00_)</c:formatCode>
                <c:ptCount val="9"/>
                <c:pt idx="0">
                  <c:v>47.847339070666671</c:v>
                </c:pt>
                <c:pt idx="1">
                  <c:v>42.145051173666666</c:v>
                </c:pt>
                <c:pt idx="2">
                  <c:v>42.090434207166666</c:v>
                </c:pt>
                <c:pt idx="3">
                  <c:v>44.870336269500001</c:v>
                </c:pt>
                <c:pt idx="4">
                  <c:v>46.005451681083336</c:v>
                </c:pt>
                <c:pt idx="5">
                  <c:v>45.839570449416662</c:v>
                </c:pt>
                <c:pt idx="7">
                  <c:v>47.680513918999999</c:v>
                </c:pt>
                <c:pt idx="8">
                  <c:v>46.37509009</c:v>
                </c:pt>
              </c:numCache>
            </c:numRef>
          </c:val>
          <c:extLst>
            <c:ext xmlns:c16="http://schemas.microsoft.com/office/drawing/2014/chart" uri="{C3380CC4-5D6E-409C-BE32-E72D297353CC}">
              <c16:uniqueId val="{00000000-9548-4887-8B9E-B601A754B075}"/>
            </c:ext>
          </c:extLst>
        </c:ser>
        <c:ser>
          <c:idx val="1"/>
          <c:order val="1"/>
          <c:tx>
            <c:strRef>
              <c:f>'STEO - EIA - Diciembre 2022'!$A$123</c:f>
              <c:strCache>
                <c:ptCount val="1"/>
                <c:pt idx="0">
                  <c:v>No OCDE</c:v>
                </c:pt>
              </c:strCache>
            </c:strRef>
          </c:tx>
          <c:invertIfNegative val="0"/>
          <c:dLbls>
            <c:numFmt formatCode="#,##0.0" sourceLinked="0"/>
            <c:spPr>
              <a:noFill/>
              <a:ln>
                <a:noFill/>
              </a:ln>
              <a:effectLst/>
            </c:spPr>
            <c:txPr>
              <a:bodyPr rot="0" vert="horz"/>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'STEO - EIA - Diciembre 2022'!$C$121:$K$121</c:f>
              <c:numCache>
                <c:formatCode>General</c:formatCode>
                <c:ptCount val="9"/>
                <c:pt idx="0">
                  <c:v>2018</c:v>
                </c:pt>
                <c:pt idx="1">
                  <c:v>2019</c:v>
                </c:pt>
                <c:pt idx="2">
                  <c:v>2020</c:v>
                </c:pt>
                <c:pt idx="3">
                  <c:v>2021</c:v>
                </c:pt>
                <c:pt idx="4">
                  <c:v>2022</c:v>
                </c:pt>
                <c:pt idx="5">
                  <c:v>2023</c:v>
                </c:pt>
                <c:pt idx="7" formatCode="mmm\-yy">
                  <c:v>44531</c:v>
                </c:pt>
                <c:pt idx="8" formatCode="mmm\-yy">
                  <c:v>44896</c:v>
                </c:pt>
              </c:numCache>
            </c:numRef>
          </c:cat>
          <c:val>
            <c:numRef>
              <c:f>'STEO - EIA - Diciembre 2022'!$C$123:$K$123</c:f>
              <c:numCache>
                <c:formatCode>0.00_)</c:formatCode>
                <c:ptCount val="9"/>
                <c:pt idx="0">
                  <c:v>53.015129270833334</c:v>
                </c:pt>
                <c:pt idx="1">
                  <c:v>49.698294916749994</c:v>
                </c:pt>
                <c:pt idx="2">
                  <c:v>50.296550900666666</c:v>
                </c:pt>
                <c:pt idx="3">
                  <c:v>52.54587595025</c:v>
                </c:pt>
                <c:pt idx="4">
                  <c:v>53.434753733583328</c:v>
                </c:pt>
                <c:pt idx="5">
                  <c:v>54.646706434500004</c:v>
                </c:pt>
                <c:pt idx="7">
                  <c:v>54.625110820000003</c:v>
                </c:pt>
                <c:pt idx="8">
                  <c:v>54.491846381000002</c:v>
                </c:pt>
              </c:numCache>
            </c:numRef>
          </c:val>
          <c:extLst>
            <c:ext xmlns:c16="http://schemas.microsoft.com/office/drawing/2014/chart" uri="{C3380CC4-5D6E-409C-BE32-E72D297353CC}">
              <c16:uniqueId val="{00000001-9548-4887-8B9E-B601A754B075}"/>
            </c:ext>
          </c:extLst>
        </c:ser>
        <c:dLbls>
          <c:showLegendKey val="0"/>
          <c:showVal val="0"/>
          <c:showCatName val="0"/>
          <c:showSerName val="0"/>
          <c:showPercent val="0"/>
          <c:showBubbleSize val="0"/>
        </c:dLbls>
        <c:gapWidth val="60"/>
        <c:shape val="cylinder"/>
        <c:axId val="205610496"/>
        <c:axId val="199482112"/>
        <c:axId val="0"/>
      </c:bar3DChart>
      <c:catAx>
        <c:axId val="205610496"/>
        <c:scaling>
          <c:orientation val="minMax"/>
        </c:scaling>
        <c:delete val="0"/>
        <c:axPos val="b"/>
        <c:numFmt formatCode="General" sourceLinked="1"/>
        <c:majorTickMark val="none"/>
        <c:minorTickMark val="none"/>
        <c:tickLblPos val="nextTo"/>
        <c:txPr>
          <a:bodyPr rot="-60000000" vert="horz"/>
          <a:lstStyle/>
          <a:p>
            <a:pPr>
              <a:defRPr/>
            </a:pPr>
            <a:endParaRPr lang="es-CR"/>
          </a:p>
        </c:txPr>
        <c:crossAx val="199482112"/>
        <c:crosses val="autoZero"/>
        <c:auto val="1"/>
        <c:lblAlgn val="ctr"/>
        <c:lblOffset val="100"/>
        <c:noMultiLvlLbl val="0"/>
      </c:catAx>
      <c:valAx>
        <c:axId val="199482112"/>
        <c:scaling>
          <c:orientation val="minMax"/>
        </c:scaling>
        <c:delete val="0"/>
        <c:axPos val="l"/>
        <c:title>
          <c:tx>
            <c:rich>
              <a:bodyPr rot="-5400000" vert="horz"/>
              <a:lstStyle/>
              <a:p>
                <a:pPr>
                  <a:defRPr/>
                </a:pPr>
                <a:r>
                  <a:rPr lang="en-US"/>
                  <a:t>millones barriles por día</a:t>
                </a:r>
              </a:p>
            </c:rich>
          </c:tx>
          <c:overlay val="0"/>
        </c:title>
        <c:numFmt formatCode="#,##0" sourceLinked="0"/>
        <c:majorTickMark val="none"/>
        <c:minorTickMark val="none"/>
        <c:tickLblPos val="nextTo"/>
        <c:txPr>
          <a:bodyPr rot="-60000000" vert="horz"/>
          <a:lstStyle/>
          <a:p>
            <a:pPr>
              <a:defRPr/>
            </a:pPr>
            <a:endParaRPr lang="es-CR"/>
          </a:p>
        </c:txPr>
        <c:crossAx val="205610496"/>
        <c:crosses val="autoZero"/>
        <c:crossBetween val="between"/>
      </c:valAx>
    </c:plotArea>
    <c:legend>
      <c:legendPos val="b"/>
      <c:overlay val="0"/>
      <c:txPr>
        <a:bodyPr rot="0" vert="horz"/>
        <a:lstStyle/>
        <a:p>
          <a:pPr>
            <a:defRPr/>
          </a:pPr>
          <a:endParaRPr lang="es-C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0.11925284900284901"/>
          <c:y val="7.0929084967320269E-2"/>
          <c:w val="0.86265598290598289"/>
          <c:h val="0.7378513071895425"/>
        </c:manualLayout>
      </c:layout>
      <c:bar3DChart>
        <c:barDir val="col"/>
        <c:grouping val="stacked"/>
        <c:varyColors val="0"/>
        <c:ser>
          <c:idx val="0"/>
          <c:order val="0"/>
          <c:tx>
            <c:strRef>
              <c:f>'STEO - EIA - Diciembre 2022'!$A$111</c:f>
              <c:strCache>
                <c:ptCount val="1"/>
                <c:pt idx="0">
                  <c:v>OPEP</c:v>
                </c:pt>
              </c:strCache>
            </c:strRef>
          </c:tx>
          <c:invertIfNegative val="0"/>
          <c:dLbls>
            <c:numFmt formatCode="#,##0.0" sourceLinked="0"/>
            <c:spPr>
              <a:noFill/>
              <a:ln>
                <a:noFill/>
              </a:ln>
              <a:effectLst/>
            </c:spPr>
            <c:txPr>
              <a:bodyPr rot="0" vert="horz"/>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'STEO - EIA - Diciembre 2022'!$C$110:$K$110</c:f>
              <c:numCache>
                <c:formatCode>General</c:formatCode>
                <c:ptCount val="9"/>
                <c:pt idx="0">
                  <c:v>2018</c:v>
                </c:pt>
                <c:pt idx="1">
                  <c:v>2019</c:v>
                </c:pt>
                <c:pt idx="2">
                  <c:v>2020</c:v>
                </c:pt>
                <c:pt idx="3">
                  <c:v>2021</c:v>
                </c:pt>
                <c:pt idx="4">
                  <c:v>2022</c:v>
                </c:pt>
                <c:pt idx="5">
                  <c:v>2023</c:v>
                </c:pt>
                <c:pt idx="7" formatCode="mmm\-yy">
                  <c:v>44531</c:v>
                </c:pt>
                <c:pt idx="8" formatCode="mmm\-yy">
                  <c:v>44896</c:v>
                </c:pt>
              </c:numCache>
            </c:numRef>
          </c:cat>
          <c:val>
            <c:numRef>
              <c:f>'STEO - EIA - Diciembre 2022'!$C$111:$K$111</c:f>
              <c:numCache>
                <c:formatCode>0.00_)</c:formatCode>
                <c:ptCount val="9"/>
                <c:pt idx="0">
                  <c:v>36.722676413333332</c:v>
                </c:pt>
                <c:pt idx="1">
                  <c:v>34.668445689916673</c:v>
                </c:pt>
                <c:pt idx="2">
                  <c:v>30.7216719645</c:v>
                </c:pt>
                <c:pt idx="3">
                  <c:v>31.651045611750003</c:v>
                </c:pt>
                <c:pt idx="4">
                  <c:v>34.17692028408333</c:v>
                </c:pt>
                <c:pt idx="5">
                  <c:v>34.335758913916671</c:v>
                </c:pt>
                <c:pt idx="7">
                  <c:v>33.349787894000002</c:v>
                </c:pt>
                <c:pt idx="8">
                  <c:v>34.521338092999997</c:v>
                </c:pt>
              </c:numCache>
            </c:numRef>
          </c:val>
          <c:extLst>
            <c:ext xmlns:c16="http://schemas.microsoft.com/office/drawing/2014/chart" uri="{C3380CC4-5D6E-409C-BE32-E72D297353CC}">
              <c16:uniqueId val="{00000000-6DCB-44CE-83AE-B9B8A2979C85}"/>
            </c:ext>
          </c:extLst>
        </c:ser>
        <c:ser>
          <c:idx val="1"/>
          <c:order val="1"/>
          <c:tx>
            <c:strRef>
              <c:f>'STEO - EIA - Diciembre 2022'!$A$112</c:f>
              <c:strCache>
                <c:ptCount val="1"/>
                <c:pt idx="0">
                  <c:v>No OPEP</c:v>
                </c:pt>
              </c:strCache>
            </c:strRef>
          </c:tx>
          <c:invertIfNegative val="0"/>
          <c:dLbls>
            <c:numFmt formatCode="#,##0.0" sourceLinked="0"/>
            <c:spPr>
              <a:noFill/>
              <a:ln>
                <a:noFill/>
              </a:ln>
              <a:effectLst/>
            </c:spPr>
            <c:txPr>
              <a:bodyPr rot="0" vert="horz"/>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'STEO - EIA - Diciembre 2022'!$C$110:$K$110</c:f>
              <c:numCache>
                <c:formatCode>General</c:formatCode>
                <c:ptCount val="9"/>
                <c:pt idx="0">
                  <c:v>2018</c:v>
                </c:pt>
                <c:pt idx="1">
                  <c:v>2019</c:v>
                </c:pt>
                <c:pt idx="2">
                  <c:v>2020</c:v>
                </c:pt>
                <c:pt idx="3">
                  <c:v>2021</c:v>
                </c:pt>
                <c:pt idx="4">
                  <c:v>2022</c:v>
                </c:pt>
                <c:pt idx="5">
                  <c:v>2023</c:v>
                </c:pt>
                <c:pt idx="7" formatCode="mmm\-yy">
                  <c:v>44531</c:v>
                </c:pt>
                <c:pt idx="8" formatCode="mmm\-yy">
                  <c:v>44896</c:v>
                </c:pt>
              </c:numCache>
            </c:numRef>
          </c:cat>
          <c:val>
            <c:numRef>
              <c:f>'STEO - EIA - Diciembre 2022'!$C$112:$K$112</c:f>
              <c:numCache>
                <c:formatCode>0.00_)</c:formatCode>
                <c:ptCount val="9"/>
                <c:pt idx="0">
                  <c:v>64.073264941083337</c:v>
                </c:pt>
                <c:pt idx="1">
                  <c:v>65.980919855916667</c:v>
                </c:pt>
                <c:pt idx="2">
                  <c:v>63.6784953055</c:v>
                </c:pt>
                <c:pt idx="3">
                  <c:v>64.01923910808334</c:v>
                </c:pt>
                <c:pt idx="4">
                  <c:v>65.793539247666672</c:v>
                </c:pt>
                <c:pt idx="5">
                  <c:v>66.764791647083328</c:v>
                </c:pt>
                <c:pt idx="7">
                  <c:v>64.942182559000003</c:v>
                </c:pt>
                <c:pt idx="8">
                  <c:v>66.732223396999998</c:v>
                </c:pt>
              </c:numCache>
            </c:numRef>
          </c:val>
          <c:extLst>
            <c:ext xmlns:c16="http://schemas.microsoft.com/office/drawing/2014/chart" uri="{C3380CC4-5D6E-409C-BE32-E72D297353CC}">
              <c16:uniqueId val="{00000001-6DCB-44CE-83AE-B9B8A2979C85}"/>
            </c:ext>
          </c:extLst>
        </c:ser>
        <c:dLbls>
          <c:showLegendKey val="0"/>
          <c:showVal val="0"/>
          <c:showCatName val="0"/>
          <c:showSerName val="0"/>
          <c:showPercent val="0"/>
          <c:showBubbleSize val="0"/>
        </c:dLbls>
        <c:gapWidth val="60"/>
        <c:shape val="cylinder"/>
        <c:axId val="205431808"/>
        <c:axId val="199478080"/>
        <c:axId val="0"/>
      </c:bar3DChart>
      <c:catAx>
        <c:axId val="205431808"/>
        <c:scaling>
          <c:orientation val="minMax"/>
        </c:scaling>
        <c:delete val="0"/>
        <c:axPos val="b"/>
        <c:numFmt formatCode="General" sourceLinked="1"/>
        <c:majorTickMark val="none"/>
        <c:minorTickMark val="none"/>
        <c:tickLblPos val="nextTo"/>
        <c:txPr>
          <a:bodyPr rot="-60000000" vert="horz"/>
          <a:lstStyle/>
          <a:p>
            <a:pPr>
              <a:defRPr/>
            </a:pPr>
            <a:endParaRPr lang="es-CR"/>
          </a:p>
        </c:txPr>
        <c:crossAx val="199478080"/>
        <c:crosses val="autoZero"/>
        <c:auto val="1"/>
        <c:lblAlgn val="ctr"/>
        <c:lblOffset val="100"/>
        <c:noMultiLvlLbl val="0"/>
      </c:catAx>
      <c:valAx>
        <c:axId val="199478080"/>
        <c:scaling>
          <c:orientation val="minMax"/>
        </c:scaling>
        <c:delete val="0"/>
        <c:axPos val="l"/>
        <c:majorGridlines/>
        <c:title>
          <c:tx>
            <c:rich>
              <a:bodyPr rot="-5400000" vert="horz"/>
              <a:lstStyle/>
              <a:p>
                <a:pPr>
                  <a:defRPr/>
                </a:pPr>
                <a:r>
                  <a:rPr lang="en-US"/>
                  <a:t>millones barriles por día</a:t>
                </a:r>
              </a:p>
            </c:rich>
          </c:tx>
          <c:overlay val="0"/>
        </c:title>
        <c:numFmt formatCode="#,##0" sourceLinked="0"/>
        <c:majorTickMark val="none"/>
        <c:minorTickMark val="none"/>
        <c:tickLblPos val="nextTo"/>
        <c:txPr>
          <a:bodyPr rot="-60000000" vert="horz"/>
          <a:lstStyle/>
          <a:p>
            <a:pPr>
              <a:defRPr/>
            </a:pPr>
            <a:endParaRPr lang="es-CR"/>
          </a:p>
        </c:txPr>
        <c:crossAx val="205431808"/>
        <c:crosses val="autoZero"/>
        <c:crossBetween val="between"/>
      </c:valAx>
    </c:plotArea>
    <c:legend>
      <c:legendPos val="b"/>
      <c:overlay val="0"/>
      <c:txPr>
        <a:bodyPr rot="0" vert="horz"/>
        <a:lstStyle/>
        <a:p>
          <a:pPr>
            <a:defRPr/>
          </a:pPr>
          <a:endParaRPr lang="es-C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84611111111111"/>
          <c:y val="6.5910979877515305E-2"/>
          <c:w val="0.86586888888888891"/>
          <c:h val="0.75880285797608638"/>
        </c:manualLayout>
      </c:layout>
      <c:barChart>
        <c:barDir val="col"/>
        <c:grouping val="clustered"/>
        <c:varyColors val="0"/>
        <c:ser>
          <c:idx val="0"/>
          <c:order val="0"/>
          <c:tx>
            <c:strRef>
              <c:f>'Dif precios Brent y Productos'!$G$2</c:f>
              <c:strCache>
                <c:ptCount val="1"/>
                <c:pt idx="0">
                  <c:v>UNL 87-Brent</c:v>
                </c:pt>
              </c:strCache>
            </c:strRef>
          </c:tx>
          <c:spPr>
            <a:solidFill>
              <a:srgbClr val="C00000"/>
            </a:solidFill>
          </c:spPr>
          <c:invertIfNegative val="0"/>
          <c:cat>
            <c:numRef>
              <c:f>'Dif precios Brent y Productos'!$B$23:$B$38</c:f>
              <c:numCache>
                <c:formatCode>mmm\-yy</c:formatCode>
                <c:ptCount val="16"/>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numCache>
            </c:numRef>
          </c:cat>
          <c:val>
            <c:numRef>
              <c:f>'Dif precios Brent y Productos'!$G$23:$G$38</c:f>
              <c:numCache>
                <c:formatCode>0.00</c:formatCode>
                <c:ptCount val="16"/>
                <c:pt idx="0">
                  <c:v>17.079518181818173</c:v>
                </c:pt>
                <c:pt idx="1">
                  <c:v>17.595504761904749</c:v>
                </c:pt>
                <c:pt idx="2">
                  <c:v>14.083646363636348</c:v>
                </c:pt>
                <c:pt idx="3">
                  <c:v>14.870504761904755</c:v>
                </c:pt>
                <c:pt idx="4">
                  <c:v>13.493389999999977</c:v>
                </c:pt>
                <c:pt idx="5">
                  <c:v>14.136897368421046</c:v>
                </c:pt>
                <c:pt idx="6">
                  <c:v>15.46680869565219</c:v>
                </c:pt>
                <c:pt idx="7">
                  <c:v>29.11330263157889</c:v>
                </c:pt>
                <c:pt idx="8">
                  <c:v>44.096933333333354</c:v>
                </c:pt>
                <c:pt idx="9">
                  <c:v>45.928049999999999</c:v>
                </c:pt>
                <c:pt idx="10">
                  <c:v>22.273203809523793</c:v>
                </c:pt>
                <c:pt idx="11">
                  <c:v>15.700000000000003</c:v>
                </c:pt>
                <c:pt idx="12">
                  <c:v>17.149999999999991</c:v>
                </c:pt>
                <c:pt idx="13">
                  <c:v>22.960000000000008</c:v>
                </c:pt>
                <c:pt idx="14">
                  <c:v>10.709999999999994</c:v>
                </c:pt>
                <c:pt idx="15">
                  <c:v>9.6499999999999915</c:v>
                </c:pt>
              </c:numCache>
            </c:numRef>
          </c:val>
          <c:extLst>
            <c:ext xmlns:c16="http://schemas.microsoft.com/office/drawing/2014/chart" uri="{C3380CC4-5D6E-409C-BE32-E72D297353CC}">
              <c16:uniqueId val="{00000000-E4D5-4FC7-BEBC-2E12BB2A5829}"/>
            </c:ext>
          </c:extLst>
        </c:ser>
        <c:ser>
          <c:idx val="1"/>
          <c:order val="1"/>
          <c:tx>
            <c:strRef>
              <c:f>'Dif precios Brent y Productos'!$H$2</c:f>
              <c:strCache>
                <c:ptCount val="1"/>
                <c:pt idx="0">
                  <c:v>UNL-89-Brent</c:v>
                </c:pt>
              </c:strCache>
            </c:strRef>
          </c:tx>
          <c:spPr>
            <a:solidFill>
              <a:srgbClr val="FFC000"/>
            </a:solidFill>
          </c:spPr>
          <c:invertIfNegative val="0"/>
          <c:cat>
            <c:numRef>
              <c:f>'Dif precios Brent y Productos'!$B$23:$B$38</c:f>
              <c:numCache>
                <c:formatCode>mmm\-yy</c:formatCode>
                <c:ptCount val="16"/>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numCache>
            </c:numRef>
          </c:cat>
          <c:val>
            <c:numRef>
              <c:f>'Dif precios Brent y Productos'!$H$23:$H$38</c:f>
              <c:numCache>
                <c:formatCode>0.00</c:formatCode>
                <c:ptCount val="16"/>
                <c:pt idx="0">
                  <c:v>18.720918181818163</c:v>
                </c:pt>
                <c:pt idx="1">
                  <c:v>19.594904761904758</c:v>
                </c:pt>
                <c:pt idx="2">
                  <c:v>16.137446363636343</c:v>
                </c:pt>
                <c:pt idx="3">
                  <c:v>16.350504761904759</c:v>
                </c:pt>
                <c:pt idx="4">
                  <c:v>15.094009999999969</c:v>
                </c:pt>
                <c:pt idx="5">
                  <c:v>16.006560526315781</c:v>
                </c:pt>
                <c:pt idx="6">
                  <c:v>18.011643478260908</c:v>
                </c:pt>
                <c:pt idx="7">
                  <c:v>32.832822631578907</c:v>
                </c:pt>
                <c:pt idx="8">
                  <c:v>50.768933333333294</c:v>
                </c:pt>
                <c:pt idx="9">
                  <c:v>55.264049999999983</c:v>
                </c:pt>
                <c:pt idx="10">
                  <c:v>28.342203809523781</c:v>
                </c:pt>
                <c:pt idx="11">
                  <c:v>19.440000000000012</c:v>
                </c:pt>
                <c:pt idx="12">
                  <c:v>21.14</c:v>
                </c:pt>
                <c:pt idx="13">
                  <c:v>27.299999999999997</c:v>
                </c:pt>
                <c:pt idx="14">
                  <c:v>15.11</c:v>
                </c:pt>
                <c:pt idx="15">
                  <c:v>12.129999999999995</c:v>
                </c:pt>
              </c:numCache>
            </c:numRef>
          </c:val>
          <c:extLst>
            <c:ext xmlns:c16="http://schemas.microsoft.com/office/drawing/2014/chart" uri="{C3380CC4-5D6E-409C-BE32-E72D297353CC}">
              <c16:uniqueId val="{00000001-E4D5-4FC7-BEBC-2E12BB2A5829}"/>
            </c:ext>
          </c:extLst>
        </c:ser>
        <c:ser>
          <c:idx val="2"/>
          <c:order val="2"/>
          <c:tx>
            <c:strRef>
              <c:f>'Dif precios Brent y Productos'!$I$2</c:f>
              <c:strCache>
                <c:ptCount val="1"/>
                <c:pt idx="0">
                  <c:v>ULSD-Brent </c:v>
                </c:pt>
              </c:strCache>
            </c:strRef>
          </c:tx>
          <c:invertIfNegative val="0"/>
          <c:cat>
            <c:numRef>
              <c:f>'Dif precios Brent y Productos'!$B$23:$B$38</c:f>
              <c:numCache>
                <c:formatCode>mmm\-yy</c:formatCode>
                <c:ptCount val="16"/>
                <c:pt idx="0">
                  <c:v>44440</c:v>
                </c:pt>
                <c:pt idx="1">
                  <c:v>44470</c:v>
                </c:pt>
                <c:pt idx="2">
                  <c:v>44501</c:v>
                </c:pt>
                <c:pt idx="3">
                  <c:v>44531</c:v>
                </c:pt>
                <c:pt idx="4">
                  <c:v>44562</c:v>
                </c:pt>
                <c:pt idx="5">
                  <c:v>44593</c:v>
                </c:pt>
                <c:pt idx="6">
                  <c:v>44621</c:v>
                </c:pt>
                <c:pt idx="7">
                  <c:v>44652</c:v>
                </c:pt>
                <c:pt idx="8">
                  <c:v>44682</c:v>
                </c:pt>
                <c:pt idx="9">
                  <c:v>44713</c:v>
                </c:pt>
                <c:pt idx="10">
                  <c:v>44743</c:v>
                </c:pt>
                <c:pt idx="11">
                  <c:v>44774</c:v>
                </c:pt>
                <c:pt idx="12">
                  <c:v>44805</c:v>
                </c:pt>
                <c:pt idx="13">
                  <c:v>44835</c:v>
                </c:pt>
                <c:pt idx="14">
                  <c:v>44866</c:v>
                </c:pt>
                <c:pt idx="15">
                  <c:v>44896</c:v>
                </c:pt>
              </c:numCache>
            </c:numRef>
          </c:cat>
          <c:val>
            <c:numRef>
              <c:f>'Dif precios Brent y Productos'!$I$23:$I$38</c:f>
              <c:numCache>
                <c:formatCode>0.00</c:formatCode>
                <c:ptCount val="16"/>
                <c:pt idx="0">
                  <c:v>15.789118181818168</c:v>
                </c:pt>
                <c:pt idx="1">
                  <c:v>19.39330476190473</c:v>
                </c:pt>
                <c:pt idx="2">
                  <c:v>16.269746363636358</c:v>
                </c:pt>
                <c:pt idx="3">
                  <c:v>17.685104761904753</c:v>
                </c:pt>
                <c:pt idx="4">
                  <c:v>19.506950000000003</c:v>
                </c:pt>
                <c:pt idx="5">
                  <c:v>19.776613157894715</c:v>
                </c:pt>
                <c:pt idx="6">
                  <c:v>32.127113043478317</c:v>
                </c:pt>
                <c:pt idx="7">
                  <c:v>55.521852631578938</c:v>
                </c:pt>
                <c:pt idx="8">
                  <c:v>49.946933333333291</c:v>
                </c:pt>
                <c:pt idx="9">
                  <c:v>55.688249999999996</c:v>
                </c:pt>
                <c:pt idx="10">
                  <c:v>39.174423809523816</c:v>
                </c:pt>
                <c:pt idx="11">
                  <c:v>48.149999999999991</c:v>
                </c:pt>
                <c:pt idx="12">
                  <c:v>50.259999999999991</c:v>
                </c:pt>
                <c:pt idx="13">
                  <c:v>66.05</c:v>
                </c:pt>
                <c:pt idx="14">
                  <c:v>49.219999999999985</c:v>
                </c:pt>
                <c:pt idx="15">
                  <c:v>43.339999999999989</c:v>
                </c:pt>
              </c:numCache>
            </c:numRef>
          </c:val>
          <c:extLst>
            <c:ext xmlns:c16="http://schemas.microsoft.com/office/drawing/2014/chart" uri="{C3380CC4-5D6E-409C-BE32-E72D297353CC}">
              <c16:uniqueId val="{00000002-E4D5-4FC7-BEBC-2E12BB2A5829}"/>
            </c:ext>
          </c:extLst>
        </c:ser>
        <c:dLbls>
          <c:showLegendKey val="0"/>
          <c:showVal val="0"/>
          <c:showCatName val="0"/>
          <c:showSerName val="0"/>
          <c:showPercent val="0"/>
          <c:showBubbleSize val="0"/>
        </c:dLbls>
        <c:gapWidth val="150"/>
        <c:axId val="226655744"/>
        <c:axId val="199376192"/>
      </c:barChart>
      <c:dateAx>
        <c:axId val="226655744"/>
        <c:scaling>
          <c:orientation val="minMax"/>
        </c:scaling>
        <c:delete val="0"/>
        <c:axPos val="b"/>
        <c:numFmt formatCode="mmm\-yy" sourceLinked="1"/>
        <c:majorTickMark val="out"/>
        <c:minorTickMark val="none"/>
        <c:tickLblPos val="nextTo"/>
        <c:txPr>
          <a:bodyPr rot="-5400000" vert="horz"/>
          <a:lstStyle/>
          <a:p>
            <a:pPr>
              <a:defRPr sz="900"/>
            </a:pPr>
            <a:endParaRPr lang="es-CR"/>
          </a:p>
        </c:txPr>
        <c:crossAx val="199376192"/>
        <c:crosses val="autoZero"/>
        <c:auto val="1"/>
        <c:lblOffset val="100"/>
        <c:baseTimeUnit val="months"/>
      </c:dateAx>
      <c:valAx>
        <c:axId val="199376192"/>
        <c:scaling>
          <c:orientation val="minMax"/>
        </c:scaling>
        <c:delete val="0"/>
        <c:axPos val="l"/>
        <c:numFmt formatCode="0" sourceLinked="0"/>
        <c:majorTickMark val="out"/>
        <c:minorTickMark val="none"/>
        <c:tickLblPos val="nextTo"/>
        <c:crossAx val="226655744"/>
        <c:crosses val="autoZero"/>
        <c:crossBetween val="between"/>
      </c:valAx>
    </c:plotArea>
    <c:legend>
      <c:legendPos val="r"/>
      <c:layout>
        <c:manualLayout>
          <c:xMode val="edge"/>
          <c:yMode val="edge"/>
          <c:x val="0.13966823226044114"/>
          <c:y val="5.9609293804717363E-2"/>
          <c:w val="0.17127296296296296"/>
          <c:h val="0.22514999999999999"/>
        </c:manualLayout>
      </c:layout>
      <c:overlay val="0"/>
    </c:legend>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15312637907376E-2"/>
          <c:y val="4.023009666605442E-2"/>
          <c:w val="0.79630356442002359"/>
          <c:h val="0.70099253394748318"/>
        </c:manualLayout>
      </c:layout>
      <c:lineChart>
        <c:grouping val="standard"/>
        <c:varyColors val="0"/>
        <c:ser>
          <c:idx val="0"/>
          <c:order val="0"/>
          <c:tx>
            <c:strRef>
              <c:f>'[Gráficos EEP enero 2023.xlsx]Comport $ vs Crudos 1'!$B$2</c:f>
              <c:strCache>
                <c:ptCount val="1"/>
                <c:pt idx="0">
                  <c:v>Cushing, OK Crude Oil Future Contract 1 (Dollars per Barrel)</c:v>
                </c:pt>
              </c:strCache>
            </c:strRef>
          </c:tx>
          <c:spPr>
            <a:ln>
              <a:solidFill>
                <a:srgbClr val="FF0000"/>
              </a:solidFill>
            </a:ln>
          </c:spPr>
          <c:marker>
            <c:symbol val="none"/>
          </c:marker>
          <c:cat>
            <c:numRef>
              <c:f>'[Gráficos EEP enero 2023.xlsx]Comport $ vs Crudos 1'!$A$339:$A$471</c:f>
              <c:numCache>
                <c:formatCode>mmm\-yy</c:formatCode>
                <c:ptCount val="133"/>
                <c:pt idx="0">
                  <c:v>40911</c:v>
                </c:pt>
                <c:pt idx="1">
                  <c:v>40942</c:v>
                </c:pt>
                <c:pt idx="2">
                  <c:v>40971</c:v>
                </c:pt>
                <c:pt idx="3">
                  <c:v>41002</c:v>
                </c:pt>
                <c:pt idx="4">
                  <c:v>41032</c:v>
                </c:pt>
                <c:pt idx="5">
                  <c:v>41063</c:v>
                </c:pt>
                <c:pt idx="6">
                  <c:v>41093</c:v>
                </c:pt>
                <c:pt idx="7">
                  <c:v>41124</c:v>
                </c:pt>
                <c:pt idx="8">
                  <c:v>41155</c:v>
                </c:pt>
                <c:pt idx="9">
                  <c:v>41185</c:v>
                </c:pt>
                <c:pt idx="10">
                  <c:v>41216</c:v>
                </c:pt>
                <c:pt idx="11">
                  <c:v>41246</c:v>
                </c:pt>
                <c:pt idx="12">
                  <c:v>41277</c:v>
                </c:pt>
                <c:pt idx="13">
                  <c:v>41308</c:v>
                </c:pt>
                <c:pt idx="14">
                  <c:v>41336</c:v>
                </c:pt>
                <c:pt idx="15">
                  <c:v>41367</c:v>
                </c:pt>
                <c:pt idx="16">
                  <c:v>41397</c:v>
                </c:pt>
                <c:pt idx="17">
                  <c:v>41428</c:v>
                </c:pt>
                <c:pt idx="18">
                  <c:v>41458</c:v>
                </c:pt>
                <c:pt idx="19">
                  <c:v>41489</c:v>
                </c:pt>
                <c:pt idx="20">
                  <c:v>41520</c:v>
                </c:pt>
                <c:pt idx="21">
                  <c:v>41550</c:v>
                </c:pt>
                <c:pt idx="22">
                  <c:v>41581</c:v>
                </c:pt>
                <c:pt idx="23">
                  <c:v>41611</c:v>
                </c:pt>
                <c:pt idx="24">
                  <c:v>41642</c:v>
                </c:pt>
                <c:pt idx="25">
                  <c:v>41673</c:v>
                </c:pt>
                <c:pt idx="26">
                  <c:v>41701</c:v>
                </c:pt>
                <c:pt idx="27">
                  <c:v>41732</c:v>
                </c:pt>
                <c:pt idx="28">
                  <c:v>41762</c:v>
                </c:pt>
                <c:pt idx="29">
                  <c:v>41793</c:v>
                </c:pt>
                <c:pt idx="30">
                  <c:v>41823</c:v>
                </c:pt>
                <c:pt idx="31">
                  <c:v>41854</c:v>
                </c:pt>
                <c:pt idx="32">
                  <c:v>41885</c:v>
                </c:pt>
                <c:pt idx="33">
                  <c:v>41915</c:v>
                </c:pt>
                <c:pt idx="34">
                  <c:v>41946</c:v>
                </c:pt>
                <c:pt idx="35">
                  <c:v>41976</c:v>
                </c:pt>
                <c:pt idx="36">
                  <c:v>42007</c:v>
                </c:pt>
                <c:pt idx="37">
                  <c:v>42038</c:v>
                </c:pt>
                <c:pt idx="38">
                  <c:v>42066</c:v>
                </c:pt>
                <c:pt idx="39">
                  <c:v>42097</c:v>
                </c:pt>
                <c:pt idx="40">
                  <c:v>42127</c:v>
                </c:pt>
                <c:pt idx="41">
                  <c:v>42158</c:v>
                </c:pt>
                <c:pt idx="42">
                  <c:v>42188</c:v>
                </c:pt>
                <c:pt idx="43">
                  <c:v>42219</c:v>
                </c:pt>
                <c:pt idx="44">
                  <c:v>42250</c:v>
                </c:pt>
                <c:pt idx="45">
                  <c:v>42280</c:v>
                </c:pt>
                <c:pt idx="46">
                  <c:v>42311</c:v>
                </c:pt>
                <c:pt idx="47">
                  <c:v>42341</c:v>
                </c:pt>
                <c:pt idx="48">
                  <c:v>42372</c:v>
                </c:pt>
                <c:pt idx="49">
                  <c:v>42403</c:v>
                </c:pt>
                <c:pt idx="50">
                  <c:v>42432</c:v>
                </c:pt>
                <c:pt idx="51">
                  <c:v>42463</c:v>
                </c:pt>
                <c:pt idx="52">
                  <c:v>42493</c:v>
                </c:pt>
                <c:pt idx="53">
                  <c:v>42524</c:v>
                </c:pt>
                <c:pt idx="54">
                  <c:v>42554</c:v>
                </c:pt>
                <c:pt idx="55">
                  <c:v>42585</c:v>
                </c:pt>
                <c:pt idx="56">
                  <c:v>42616</c:v>
                </c:pt>
                <c:pt idx="57">
                  <c:v>42646</c:v>
                </c:pt>
                <c:pt idx="58">
                  <c:v>42677</c:v>
                </c:pt>
                <c:pt idx="59">
                  <c:v>42707</c:v>
                </c:pt>
                <c:pt idx="60">
                  <c:v>42738</c:v>
                </c:pt>
                <c:pt idx="61">
                  <c:v>42769</c:v>
                </c:pt>
                <c:pt idx="62">
                  <c:v>42797</c:v>
                </c:pt>
                <c:pt idx="63">
                  <c:v>42828</c:v>
                </c:pt>
                <c:pt idx="64">
                  <c:v>42858</c:v>
                </c:pt>
                <c:pt idx="65">
                  <c:v>42889</c:v>
                </c:pt>
                <c:pt idx="66">
                  <c:v>42919</c:v>
                </c:pt>
                <c:pt idx="67">
                  <c:v>42950</c:v>
                </c:pt>
                <c:pt idx="68">
                  <c:v>42981</c:v>
                </c:pt>
                <c:pt idx="69">
                  <c:v>43011</c:v>
                </c:pt>
                <c:pt idx="70">
                  <c:v>43042</c:v>
                </c:pt>
                <c:pt idx="71">
                  <c:v>43072</c:v>
                </c:pt>
                <c:pt idx="72">
                  <c:v>43103</c:v>
                </c:pt>
                <c:pt idx="73">
                  <c:v>43134</c:v>
                </c:pt>
                <c:pt idx="74">
                  <c:v>43162</c:v>
                </c:pt>
                <c:pt idx="75">
                  <c:v>43193</c:v>
                </c:pt>
                <c:pt idx="76">
                  <c:v>43223</c:v>
                </c:pt>
                <c:pt idx="77">
                  <c:v>43254</c:v>
                </c:pt>
                <c:pt idx="78">
                  <c:v>43284</c:v>
                </c:pt>
                <c:pt idx="79">
                  <c:v>43315</c:v>
                </c:pt>
                <c:pt idx="80">
                  <c:v>43346</c:v>
                </c:pt>
                <c:pt idx="81">
                  <c:v>43376</c:v>
                </c:pt>
                <c:pt idx="82">
                  <c:v>43407</c:v>
                </c:pt>
                <c:pt idx="83">
                  <c:v>43437</c:v>
                </c:pt>
                <c:pt idx="84">
                  <c:v>43468</c:v>
                </c:pt>
                <c:pt idx="85">
                  <c:v>43499</c:v>
                </c:pt>
                <c:pt idx="86">
                  <c:v>43527</c:v>
                </c:pt>
                <c:pt idx="87">
                  <c:v>43558</c:v>
                </c:pt>
                <c:pt idx="88">
                  <c:v>43588</c:v>
                </c:pt>
                <c:pt idx="89">
                  <c:v>43619</c:v>
                </c:pt>
                <c:pt idx="90">
                  <c:v>43649</c:v>
                </c:pt>
                <c:pt idx="91">
                  <c:v>43680</c:v>
                </c:pt>
                <c:pt idx="92">
                  <c:v>43711</c:v>
                </c:pt>
                <c:pt idx="93">
                  <c:v>43741</c:v>
                </c:pt>
                <c:pt idx="94">
                  <c:v>43772</c:v>
                </c:pt>
                <c:pt idx="95">
                  <c:v>43802</c:v>
                </c:pt>
                <c:pt idx="96">
                  <c:v>43833</c:v>
                </c:pt>
                <c:pt idx="97">
                  <c:v>43864</c:v>
                </c:pt>
                <c:pt idx="98">
                  <c:v>43893</c:v>
                </c:pt>
                <c:pt idx="99">
                  <c:v>43924</c:v>
                </c:pt>
                <c:pt idx="100">
                  <c:v>43954</c:v>
                </c:pt>
                <c:pt idx="101">
                  <c:v>43985</c:v>
                </c:pt>
                <c:pt idx="102">
                  <c:v>44015</c:v>
                </c:pt>
                <c:pt idx="103">
                  <c:v>44046</c:v>
                </c:pt>
                <c:pt idx="104">
                  <c:v>44077</c:v>
                </c:pt>
                <c:pt idx="105">
                  <c:v>44107</c:v>
                </c:pt>
                <c:pt idx="106">
                  <c:v>44138</c:v>
                </c:pt>
                <c:pt idx="107">
                  <c:v>44168</c:v>
                </c:pt>
                <c:pt idx="108">
                  <c:v>44199</c:v>
                </c:pt>
                <c:pt idx="109">
                  <c:v>44230</c:v>
                </c:pt>
                <c:pt idx="110">
                  <c:v>44258</c:v>
                </c:pt>
                <c:pt idx="111">
                  <c:v>44289</c:v>
                </c:pt>
                <c:pt idx="112">
                  <c:v>44319</c:v>
                </c:pt>
                <c:pt idx="113">
                  <c:v>44350</c:v>
                </c:pt>
                <c:pt idx="114">
                  <c:v>44380</c:v>
                </c:pt>
                <c:pt idx="115">
                  <c:v>44411</c:v>
                </c:pt>
                <c:pt idx="116">
                  <c:v>44442</c:v>
                </c:pt>
                <c:pt idx="117">
                  <c:v>44472</c:v>
                </c:pt>
                <c:pt idx="118">
                  <c:v>44503</c:v>
                </c:pt>
                <c:pt idx="119">
                  <c:v>44533</c:v>
                </c:pt>
                <c:pt idx="120">
                  <c:v>44564</c:v>
                </c:pt>
                <c:pt idx="121">
                  <c:v>44595</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numCache>
            </c:numRef>
          </c:cat>
          <c:val>
            <c:numRef>
              <c:f>'[Gráficos EEP enero 2023.xlsx]Comport $ vs Crudos 1'!$B$339:$B$471</c:f>
              <c:numCache>
                <c:formatCode>#,##0.00</c:formatCode>
                <c:ptCount val="133"/>
                <c:pt idx="0">
                  <c:v>100.3135</c:v>
                </c:pt>
                <c:pt idx="1">
                  <c:v>102.26249999999997</c:v>
                </c:pt>
                <c:pt idx="2">
                  <c:v>106.20499999999998</c:v>
                </c:pt>
                <c:pt idx="3">
                  <c:v>103.351</c:v>
                </c:pt>
                <c:pt idx="4">
                  <c:v>94.688636363636363</c:v>
                </c:pt>
                <c:pt idx="5">
                  <c:v>82.452857142857141</c:v>
                </c:pt>
                <c:pt idx="6">
                  <c:v>87.931428571428597</c:v>
                </c:pt>
                <c:pt idx="7">
                  <c:v>94.160869565217382</c:v>
                </c:pt>
                <c:pt idx="8">
                  <c:v>94.558421052631587</c:v>
                </c:pt>
                <c:pt idx="9">
                  <c:v>89.570869565217379</c:v>
                </c:pt>
                <c:pt idx="10">
                  <c:v>86.732380952380964</c:v>
                </c:pt>
                <c:pt idx="11">
                  <c:v>88.245499999999993</c:v>
                </c:pt>
                <c:pt idx="12">
                  <c:v>94.828571428571436</c:v>
                </c:pt>
                <c:pt idx="13">
                  <c:v>95.332631578947357</c:v>
                </c:pt>
                <c:pt idx="14">
                  <c:v>92.938500000000005</c:v>
                </c:pt>
                <c:pt idx="15">
                  <c:v>92.021363636363631</c:v>
                </c:pt>
                <c:pt idx="16">
                  <c:v>94.482272727272715</c:v>
                </c:pt>
                <c:pt idx="17">
                  <c:v>95.772499999999994</c:v>
                </c:pt>
                <c:pt idx="18">
                  <c:v>104.67090909090908</c:v>
                </c:pt>
                <c:pt idx="19">
                  <c:v>106.57272727272729</c:v>
                </c:pt>
                <c:pt idx="20">
                  <c:v>106.2895</c:v>
                </c:pt>
                <c:pt idx="21">
                  <c:v>100.53826086956522</c:v>
                </c:pt>
                <c:pt idx="22">
                  <c:v>93.85899999999998</c:v>
                </c:pt>
                <c:pt idx="23">
                  <c:v>97.620476190476182</c:v>
                </c:pt>
                <c:pt idx="24">
                  <c:v>94.617142857142852</c:v>
                </c:pt>
                <c:pt idx="25">
                  <c:v>100.81736842105265</c:v>
                </c:pt>
                <c:pt idx="26">
                  <c:v>100.80380952380953</c:v>
                </c:pt>
                <c:pt idx="27">
                  <c:v>102.06880952380953</c:v>
                </c:pt>
                <c:pt idx="28">
                  <c:v>102.17714285714285</c:v>
                </c:pt>
                <c:pt idx="29">
                  <c:v>105.79380952380953</c:v>
                </c:pt>
                <c:pt idx="30">
                  <c:v>103.58840909090908</c:v>
                </c:pt>
                <c:pt idx="31">
                  <c:v>96.535000000000011</c:v>
                </c:pt>
                <c:pt idx="32">
                  <c:v>93.211904761904748</c:v>
                </c:pt>
                <c:pt idx="33">
                  <c:v>84.396956521739114</c:v>
                </c:pt>
                <c:pt idx="34">
                  <c:v>75.78947368421052</c:v>
                </c:pt>
                <c:pt idx="35">
                  <c:v>59.290454545454551</c:v>
                </c:pt>
                <c:pt idx="36">
                  <c:v>47.21725</c:v>
                </c:pt>
                <c:pt idx="37">
                  <c:v>50.583947368421057</c:v>
                </c:pt>
                <c:pt idx="38">
                  <c:v>47.823636363636361</c:v>
                </c:pt>
                <c:pt idx="39">
                  <c:v>54.210909090909084</c:v>
                </c:pt>
                <c:pt idx="40">
                  <c:v>59.24666666666667</c:v>
                </c:pt>
                <c:pt idx="41">
                  <c:v>59.819545454545441</c:v>
                </c:pt>
                <c:pt idx="42">
                  <c:v>51.16304347826086</c:v>
                </c:pt>
                <c:pt idx="43">
                  <c:v>42.867619047619051</c:v>
                </c:pt>
                <c:pt idx="44">
                  <c:v>45.479523809523805</c:v>
                </c:pt>
                <c:pt idx="45">
                  <c:v>46.223636363636359</c:v>
                </c:pt>
                <c:pt idx="46">
                  <c:v>42.243499999999997</c:v>
                </c:pt>
                <c:pt idx="47">
                  <c:v>37.184090909090905</c:v>
                </c:pt>
                <c:pt idx="48">
                  <c:v>31.683157894736844</c:v>
                </c:pt>
                <c:pt idx="49">
                  <c:v>30.348000000000003</c:v>
                </c:pt>
                <c:pt idx="50">
                  <c:v>37.546363636363637</c:v>
                </c:pt>
                <c:pt idx="51">
                  <c:v>40.755238095238084</c:v>
                </c:pt>
                <c:pt idx="52">
                  <c:v>46.712380952380947</c:v>
                </c:pt>
                <c:pt idx="53">
                  <c:v>48.757272727272721</c:v>
                </c:pt>
                <c:pt idx="54">
                  <c:v>44.651499999999999</c:v>
                </c:pt>
                <c:pt idx="55">
                  <c:v>44.724347826086962</c:v>
                </c:pt>
                <c:pt idx="56">
                  <c:v>45.18238095238096</c:v>
                </c:pt>
                <c:pt idx="57">
                  <c:v>49.775238095238095</c:v>
                </c:pt>
                <c:pt idx="58">
                  <c:v>45.660952380952381</c:v>
                </c:pt>
                <c:pt idx="59">
                  <c:v>51.970476190476198</c:v>
                </c:pt>
                <c:pt idx="60">
                  <c:v>52.487368421052629</c:v>
                </c:pt>
                <c:pt idx="61">
                  <c:v>53.46842105263157</c:v>
                </c:pt>
                <c:pt idx="62">
                  <c:v>49.327826086956513</c:v>
                </c:pt>
                <c:pt idx="63">
                  <c:v>51.060526315789481</c:v>
                </c:pt>
                <c:pt idx="64">
                  <c:v>48.476363636363637</c:v>
                </c:pt>
                <c:pt idx="65">
                  <c:v>45.177727272727275</c:v>
                </c:pt>
                <c:pt idx="66">
                  <c:v>46.600000000000009</c:v>
                </c:pt>
                <c:pt idx="67">
                  <c:v>48.036956521739135</c:v>
                </c:pt>
                <c:pt idx="68">
                  <c:v>49.822000000000003</c:v>
                </c:pt>
                <c:pt idx="69">
                  <c:v>51.577727272727266</c:v>
                </c:pt>
                <c:pt idx="70">
                  <c:v>56.638571428571431</c:v>
                </c:pt>
                <c:pt idx="71">
                  <c:v>57.881499999999996</c:v>
                </c:pt>
                <c:pt idx="72">
                  <c:v>63.698571428571434</c:v>
                </c:pt>
                <c:pt idx="73">
                  <c:v>62.229473684210532</c:v>
                </c:pt>
                <c:pt idx="74">
                  <c:v>62.724761904761898</c:v>
                </c:pt>
                <c:pt idx="75">
                  <c:v>66.253809523809522</c:v>
                </c:pt>
                <c:pt idx="76">
                  <c:v>70.214999999999989</c:v>
                </c:pt>
                <c:pt idx="77">
                  <c:v>67.873333333333335</c:v>
                </c:pt>
                <c:pt idx="78">
                  <c:v>70.98142857142858</c:v>
                </c:pt>
                <c:pt idx="79">
                  <c:v>68.055652173913046</c:v>
                </c:pt>
                <c:pt idx="80">
                  <c:v>70.233000000000018</c:v>
                </c:pt>
                <c:pt idx="81">
                  <c:v>70.748695652173907</c:v>
                </c:pt>
                <c:pt idx="82">
                  <c:v>56.960499999999989</c:v>
                </c:pt>
                <c:pt idx="83">
                  <c:v>49.522777777777776</c:v>
                </c:pt>
                <c:pt idx="84">
                  <c:v>51.375714285714288</c:v>
                </c:pt>
                <c:pt idx="85">
                  <c:v>54.986000000000011</c:v>
                </c:pt>
                <c:pt idx="86">
                  <c:v>58.156666666666673</c:v>
                </c:pt>
                <c:pt idx="87">
                  <c:v>63.862380952380946</c:v>
                </c:pt>
                <c:pt idx="88">
                  <c:v>60.721304347826091</c:v>
                </c:pt>
                <c:pt idx="89">
                  <c:v>54.657500000000006</c:v>
                </c:pt>
                <c:pt idx="90">
                  <c:v>57.260526315789463</c:v>
                </c:pt>
                <c:pt idx="91">
                  <c:v>54.802272727272729</c:v>
                </c:pt>
                <c:pt idx="92">
                  <c:v>56.857619047619046</c:v>
                </c:pt>
                <c:pt idx="93">
                  <c:v>53.96304347826085</c:v>
                </c:pt>
                <c:pt idx="94">
                  <c:v>56.712857142857146</c:v>
                </c:pt>
                <c:pt idx="95">
                  <c:v>59.816666666666663</c:v>
                </c:pt>
                <c:pt idx="96">
                  <c:v>57.519047619047612</c:v>
                </c:pt>
                <c:pt idx="97">
                  <c:v>50.542631578947358</c:v>
                </c:pt>
                <c:pt idx="98">
                  <c:v>28.790454545454544</c:v>
                </c:pt>
                <c:pt idx="99">
                  <c:v>16.547619047619051</c:v>
                </c:pt>
                <c:pt idx="100">
                  <c:v>28.562500000000007</c:v>
                </c:pt>
                <c:pt idx="101">
                  <c:v>38.307272727272725</c:v>
                </c:pt>
                <c:pt idx="102">
                  <c:v>40.710454545454553</c:v>
                </c:pt>
                <c:pt idx="103">
                  <c:v>42.339047619047619</c:v>
                </c:pt>
                <c:pt idx="104">
                  <c:v>39.63428571428571</c:v>
                </c:pt>
                <c:pt idx="105">
                  <c:v>39.3959090909091</c:v>
                </c:pt>
                <c:pt idx="106">
                  <c:v>40.937368421052639</c:v>
                </c:pt>
                <c:pt idx="107">
                  <c:v>47.024999999999984</c:v>
                </c:pt>
                <c:pt idx="108">
                  <c:v>52.008421052631569</c:v>
                </c:pt>
                <c:pt idx="109">
                  <c:v>59.06</c:v>
                </c:pt>
                <c:pt idx="110">
                  <c:v>62.36</c:v>
                </c:pt>
                <c:pt idx="111">
                  <c:v>61.7</c:v>
                </c:pt>
                <c:pt idx="112">
                  <c:v>65.16</c:v>
                </c:pt>
                <c:pt idx="113">
                  <c:v>71.349999999999994</c:v>
                </c:pt>
                <c:pt idx="114">
                  <c:v>72.489999999999995</c:v>
                </c:pt>
                <c:pt idx="115">
                  <c:v>67.73</c:v>
                </c:pt>
                <c:pt idx="116">
                  <c:v>71.650000000000006</c:v>
                </c:pt>
                <c:pt idx="117">
                  <c:v>81.48</c:v>
                </c:pt>
                <c:pt idx="118">
                  <c:v>79.150000000000006</c:v>
                </c:pt>
                <c:pt idx="119">
                  <c:v>71.709999999999994</c:v>
                </c:pt>
                <c:pt idx="120">
                  <c:v>83.22</c:v>
                </c:pt>
                <c:pt idx="121">
                  <c:v>91.64</c:v>
                </c:pt>
                <c:pt idx="122">
                  <c:v>108.5</c:v>
                </c:pt>
                <c:pt idx="123">
                  <c:v>101.78</c:v>
                </c:pt>
                <c:pt idx="124">
                  <c:v>109.55</c:v>
                </c:pt>
                <c:pt idx="125">
                  <c:v>115.47277777777776</c:v>
                </c:pt>
                <c:pt idx="126">
                  <c:v>101.61899999999999</c:v>
                </c:pt>
                <c:pt idx="127">
                  <c:v>93.665217391304353</c:v>
                </c:pt>
                <c:pt idx="128">
                  <c:v>84.258095238095251</c:v>
                </c:pt>
                <c:pt idx="129">
                  <c:v>87.554761904761904</c:v>
                </c:pt>
                <c:pt idx="130">
                  <c:v>84.370476190476182</c:v>
                </c:pt>
                <c:pt idx="131">
                  <c:v>76.437142857142888</c:v>
                </c:pt>
                <c:pt idx="132">
                  <c:v>78.079473684210541</c:v>
                </c:pt>
              </c:numCache>
            </c:numRef>
          </c:val>
          <c:smooth val="1"/>
          <c:extLst>
            <c:ext xmlns:c16="http://schemas.microsoft.com/office/drawing/2014/chart" uri="{C3380CC4-5D6E-409C-BE32-E72D297353CC}">
              <c16:uniqueId val="{00000000-5787-454F-8197-BB3B1CE01194}"/>
            </c:ext>
          </c:extLst>
        </c:ser>
        <c:ser>
          <c:idx val="1"/>
          <c:order val="1"/>
          <c:tx>
            <c:strRef>
              <c:f>'[Gráficos EEP enero 2023.xlsx]Comport $ vs Crudos 1'!$C$2</c:f>
              <c:strCache>
                <c:ptCount val="1"/>
                <c:pt idx="0">
                  <c:v>Brent Crude Oil Future Contract 1 (Dollars per Barrel)</c:v>
                </c:pt>
              </c:strCache>
            </c:strRef>
          </c:tx>
          <c:spPr>
            <a:ln>
              <a:solidFill>
                <a:srgbClr val="33CC33"/>
              </a:solidFill>
            </a:ln>
          </c:spPr>
          <c:marker>
            <c:symbol val="none"/>
          </c:marker>
          <c:cat>
            <c:numRef>
              <c:f>'[Gráficos EEP enero 2023.xlsx]Comport $ vs Crudos 1'!$A$339:$A$471</c:f>
              <c:numCache>
                <c:formatCode>mmm\-yy</c:formatCode>
                <c:ptCount val="133"/>
                <c:pt idx="0">
                  <c:v>40911</c:v>
                </c:pt>
                <c:pt idx="1">
                  <c:v>40942</c:v>
                </c:pt>
                <c:pt idx="2">
                  <c:v>40971</c:v>
                </c:pt>
                <c:pt idx="3">
                  <c:v>41002</c:v>
                </c:pt>
                <c:pt idx="4">
                  <c:v>41032</c:v>
                </c:pt>
                <c:pt idx="5">
                  <c:v>41063</c:v>
                </c:pt>
                <c:pt idx="6">
                  <c:v>41093</c:v>
                </c:pt>
                <c:pt idx="7">
                  <c:v>41124</c:v>
                </c:pt>
                <c:pt idx="8">
                  <c:v>41155</c:v>
                </c:pt>
                <c:pt idx="9">
                  <c:v>41185</c:v>
                </c:pt>
                <c:pt idx="10">
                  <c:v>41216</c:v>
                </c:pt>
                <c:pt idx="11">
                  <c:v>41246</c:v>
                </c:pt>
                <c:pt idx="12">
                  <c:v>41277</c:v>
                </c:pt>
                <c:pt idx="13">
                  <c:v>41308</c:v>
                </c:pt>
                <c:pt idx="14">
                  <c:v>41336</c:v>
                </c:pt>
                <c:pt idx="15">
                  <c:v>41367</c:v>
                </c:pt>
                <c:pt idx="16">
                  <c:v>41397</c:v>
                </c:pt>
                <c:pt idx="17">
                  <c:v>41428</c:v>
                </c:pt>
                <c:pt idx="18">
                  <c:v>41458</c:v>
                </c:pt>
                <c:pt idx="19">
                  <c:v>41489</c:v>
                </c:pt>
                <c:pt idx="20">
                  <c:v>41520</c:v>
                </c:pt>
                <c:pt idx="21">
                  <c:v>41550</c:v>
                </c:pt>
                <c:pt idx="22">
                  <c:v>41581</c:v>
                </c:pt>
                <c:pt idx="23">
                  <c:v>41611</c:v>
                </c:pt>
                <c:pt idx="24">
                  <c:v>41642</c:v>
                </c:pt>
                <c:pt idx="25">
                  <c:v>41673</c:v>
                </c:pt>
                <c:pt idx="26">
                  <c:v>41701</c:v>
                </c:pt>
                <c:pt idx="27">
                  <c:v>41732</c:v>
                </c:pt>
                <c:pt idx="28">
                  <c:v>41762</c:v>
                </c:pt>
                <c:pt idx="29">
                  <c:v>41793</c:v>
                </c:pt>
                <c:pt idx="30">
                  <c:v>41823</c:v>
                </c:pt>
                <c:pt idx="31">
                  <c:v>41854</c:v>
                </c:pt>
                <c:pt idx="32">
                  <c:v>41885</c:v>
                </c:pt>
                <c:pt idx="33">
                  <c:v>41915</c:v>
                </c:pt>
                <c:pt idx="34">
                  <c:v>41946</c:v>
                </c:pt>
                <c:pt idx="35">
                  <c:v>41976</c:v>
                </c:pt>
                <c:pt idx="36">
                  <c:v>42007</c:v>
                </c:pt>
                <c:pt idx="37">
                  <c:v>42038</c:v>
                </c:pt>
                <c:pt idx="38">
                  <c:v>42066</c:v>
                </c:pt>
                <c:pt idx="39">
                  <c:v>42097</c:v>
                </c:pt>
                <c:pt idx="40">
                  <c:v>42127</c:v>
                </c:pt>
                <c:pt idx="41">
                  <c:v>42158</c:v>
                </c:pt>
                <c:pt idx="42">
                  <c:v>42188</c:v>
                </c:pt>
                <c:pt idx="43">
                  <c:v>42219</c:v>
                </c:pt>
                <c:pt idx="44">
                  <c:v>42250</c:v>
                </c:pt>
                <c:pt idx="45">
                  <c:v>42280</c:v>
                </c:pt>
                <c:pt idx="46">
                  <c:v>42311</c:v>
                </c:pt>
                <c:pt idx="47">
                  <c:v>42341</c:v>
                </c:pt>
                <c:pt idx="48">
                  <c:v>42372</c:v>
                </c:pt>
                <c:pt idx="49">
                  <c:v>42403</c:v>
                </c:pt>
                <c:pt idx="50">
                  <c:v>42432</c:v>
                </c:pt>
                <c:pt idx="51">
                  <c:v>42463</c:v>
                </c:pt>
                <c:pt idx="52">
                  <c:v>42493</c:v>
                </c:pt>
                <c:pt idx="53">
                  <c:v>42524</c:v>
                </c:pt>
                <c:pt idx="54">
                  <c:v>42554</c:v>
                </c:pt>
                <c:pt idx="55">
                  <c:v>42585</c:v>
                </c:pt>
                <c:pt idx="56">
                  <c:v>42616</c:v>
                </c:pt>
                <c:pt idx="57">
                  <c:v>42646</c:v>
                </c:pt>
                <c:pt idx="58">
                  <c:v>42677</c:v>
                </c:pt>
                <c:pt idx="59">
                  <c:v>42707</c:v>
                </c:pt>
                <c:pt idx="60">
                  <c:v>42738</c:v>
                </c:pt>
                <c:pt idx="61">
                  <c:v>42769</c:v>
                </c:pt>
                <c:pt idx="62">
                  <c:v>42797</c:v>
                </c:pt>
                <c:pt idx="63">
                  <c:v>42828</c:v>
                </c:pt>
                <c:pt idx="64">
                  <c:v>42858</c:v>
                </c:pt>
                <c:pt idx="65">
                  <c:v>42889</c:v>
                </c:pt>
                <c:pt idx="66">
                  <c:v>42919</c:v>
                </c:pt>
                <c:pt idx="67">
                  <c:v>42950</c:v>
                </c:pt>
                <c:pt idx="68">
                  <c:v>42981</c:v>
                </c:pt>
                <c:pt idx="69">
                  <c:v>43011</c:v>
                </c:pt>
                <c:pt idx="70">
                  <c:v>43042</c:v>
                </c:pt>
                <c:pt idx="71">
                  <c:v>43072</c:v>
                </c:pt>
                <c:pt idx="72">
                  <c:v>43103</c:v>
                </c:pt>
                <c:pt idx="73">
                  <c:v>43134</c:v>
                </c:pt>
                <c:pt idx="74">
                  <c:v>43162</c:v>
                </c:pt>
                <c:pt idx="75">
                  <c:v>43193</c:v>
                </c:pt>
                <c:pt idx="76">
                  <c:v>43223</c:v>
                </c:pt>
                <c:pt idx="77">
                  <c:v>43254</c:v>
                </c:pt>
                <c:pt idx="78">
                  <c:v>43284</c:v>
                </c:pt>
                <c:pt idx="79">
                  <c:v>43315</c:v>
                </c:pt>
                <c:pt idx="80">
                  <c:v>43346</c:v>
                </c:pt>
                <c:pt idx="81">
                  <c:v>43376</c:v>
                </c:pt>
                <c:pt idx="82">
                  <c:v>43407</c:v>
                </c:pt>
                <c:pt idx="83">
                  <c:v>43437</c:v>
                </c:pt>
                <c:pt idx="84">
                  <c:v>43468</c:v>
                </c:pt>
                <c:pt idx="85">
                  <c:v>43499</c:v>
                </c:pt>
                <c:pt idx="86">
                  <c:v>43527</c:v>
                </c:pt>
                <c:pt idx="87">
                  <c:v>43558</c:v>
                </c:pt>
                <c:pt idx="88">
                  <c:v>43588</c:v>
                </c:pt>
                <c:pt idx="89">
                  <c:v>43619</c:v>
                </c:pt>
                <c:pt idx="90">
                  <c:v>43649</c:v>
                </c:pt>
                <c:pt idx="91">
                  <c:v>43680</c:v>
                </c:pt>
                <c:pt idx="92">
                  <c:v>43711</c:v>
                </c:pt>
                <c:pt idx="93">
                  <c:v>43741</c:v>
                </c:pt>
                <c:pt idx="94">
                  <c:v>43772</c:v>
                </c:pt>
                <c:pt idx="95">
                  <c:v>43802</c:v>
                </c:pt>
                <c:pt idx="96">
                  <c:v>43833</c:v>
                </c:pt>
                <c:pt idx="97">
                  <c:v>43864</c:v>
                </c:pt>
                <c:pt idx="98">
                  <c:v>43893</c:v>
                </c:pt>
                <c:pt idx="99">
                  <c:v>43924</c:v>
                </c:pt>
                <c:pt idx="100">
                  <c:v>43954</c:v>
                </c:pt>
                <c:pt idx="101">
                  <c:v>43985</c:v>
                </c:pt>
                <c:pt idx="102">
                  <c:v>44015</c:v>
                </c:pt>
                <c:pt idx="103">
                  <c:v>44046</c:v>
                </c:pt>
                <c:pt idx="104">
                  <c:v>44077</c:v>
                </c:pt>
                <c:pt idx="105">
                  <c:v>44107</c:v>
                </c:pt>
                <c:pt idx="106">
                  <c:v>44138</c:v>
                </c:pt>
                <c:pt idx="107">
                  <c:v>44168</c:v>
                </c:pt>
                <c:pt idx="108">
                  <c:v>44199</c:v>
                </c:pt>
                <c:pt idx="109">
                  <c:v>44230</c:v>
                </c:pt>
                <c:pt idx="110">
                  <c:v>44258</c:v>
                </c:pt>
                <c:pt idx="111">
                  <c:v>44289</c:v>
                </c:pt>
                <c:pt idx="112">
                  <c:v>44319</c:v>
                </c:pt>
                <c:pt idx="113">
                  <c:v>44350</c:v>
                </c:pt>
                <c:pt idx="114">
                  <c:v>44380</c:v>
                </c:pt>
                <c:pt idx="115">
                  <c:v>44411</c:v>
                </c:pt>
                <c:pt idx="116">
                  <c:v>44442</c:v>
                </c:pt>
                <c:pt idx="117">
                  <c:v>44472</c:v>
                </c:pt>
                <c:pt idx="118">
                  <c:v>44503</c:v>
                </c:pt>
                <c:pt idx="119">
                  <c:v>44533</c:v>
                </c:pt>
                <c:pt idx="120">
                  <c:v>44564</c:v>
                </c:pt>
                <c:pt idx="121">
                  <c:v>44595</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numCache>
            </c:numRef>
          </c:cat>
          <c:val>
            <c:numRef>
              <c:f>'[Gráficos EEP enero 2023.xlsx]Comport $ vs Crudos 1'!$C$339:$C$471</c:f>
              <c:numCache>
                <c:formatCode>#,##0.00</c:formatCode>
                <c:ptCount val="133"/>
                <c:pt idx="0">
                  <c:v>110.68599999999999</c:v>
                </c:pt>
                <c:pt idx="1">
                  <c:v>119.327</c:v>
                </c:pt>
                <c:pt idx="2">
                  <c:v>125.44545454545454</c:v>
                </c:pt>
                <c:pt idx="3">
                  <c:v>119.75</c:v>
                </c:pt>
                <c:pt idx="4">
                  <c:v>110.33904761904762</c:v>
                </c:pt>
                <c:pt idx="5">
                  <c:v>95.155714285714296</c:v>
                </c:pt>
                <c:pt idx="6">
                  <c:v>102.61857142857141</c:v>
                </c:pt>
                <c:pt idx="7">
                  <c:v>113.3804347826087</c:v>
                </c:pt>
                <c:pt idx="8">
                  <c:v>112.86368421052633</c:v>
                </c:pt>
                <c:pt idx="9">
                  <c:v>111.71086956521739</c:v>
                </c:pt>
                <c:pt idx="10">
                  <c:v>109.05857142857143</c:v>
                </c:pt>
                <c:pt idx="11">
                  <c:v>109.494</c:v>
                </c:pt>
                <c:pt idx="12">
                  <c:v>112.96000000000001</c:v>
                </c:pt>
                <c:pt idx="13">
                  <c:v>116.01944444444445</c:v>
                </c:pt>
                <c:pt idx="14">
                  <c:v>108.55578947368421</c:v>
                </c:pt>
                <c:pt idx="15">
                  <c:v>102.25272727272728</c:v>
                </c:pt>
                <c:pt idx="16">
                  <c:v>102.55863636363634</c:v>
                </c:pt>
                <c:pt idx="17">
                  <c:v>102.91899999999998</c:v>
                </c:pt>
                <c:pt idx="18">
                  <c:v>107.93318181818178</c:v>
                </c:pt>
                <c:pt idx="19">
                  <c:v>111.28045454545453</c:v>
                </c:pt>
                <c:pt idx="20">
                  <c:v>111.59649999999999</c:v>
                </c:pt>
                <c:pt idx="21">
                  <c:v>109.07652173913043</c:v>
                </c:pt>
                <c:pt idx="22">
                  <c:v>107.79199999999999</c:v>
                </c:pt>
                <c:pt idx="23">
                  <c:v>110.75666666666666</c:v>
                </c:pt>
                <c:pt idx="24">
                  <c:v>108.12285714285716</c:v>
                </c:pt>
                <c:pt idx="25">
                  <c:v>108.90052631578948</c:v>
                </c:pt>
                <c:pt idx="26">
                  <c:v>107.48095238095237</c:v>
                </c:pt>
                <c:pt idx="27">
                  <c:v>107.7552380952381</c:v>
                </c:pt>
                <c:pt idx="28">
                  <c:v>109.51666666666667</c:v>
                </c:pt>
                <c:pt idx="29">
                  <c:v>111.7952380952381</c:v>
                </c:pt>
                <c:pt idx="30">
                  <c:v>106.76818181818182</c:v>
                </c:pt>
                <c:pt idx="31">
                  <c:v>101.60809523809523</c:v>
                </c:pt>
                <c:pt idx="32">
                  <c:v>97.091428571428565</c:v>
                </c:pt>
                <c:pt idx="33">
                  <c:v>87.425217391304372</c:v>
                </c:pt>
                <c:pt idx="34">
                  <c:v>79.437894736842111</c:v>
                </c:pt>
                <c:pt idx="35">
                  <c:v>62.334999999999994</c:v>
                </c:pt>
                <c:pt idx="36">
                  <c:v>47.75950000000001</c:v>
                </c:pt>
                <c:pt idx="37">
                  <c:v>57.865263157894752</c:v>
                </c:pt>
                <c:pt idx="38">
                  <c:v>55.885454545454543</c:v>
                </c:pt>
                <c:pt idx="39">
                  <c:v>59.350909090909084</c:v>
                </c:pt>
                <c:pt idx="40">
                  <c:v>64.096190476190472</c:v>
                </c:pt>
                <c:pt idx="41">
                  <c:v>61.477727272727286</c:v>
                </c:pt>
                <c:pt idx="42">
                  <c:v>56.561304347826088</c:v>
                </c:pt>
                <c:pt idx="43">
                  <c:v>46.782380952380954</c:v>
                </c:pt>
                <c:pt idx="44">
                  <c:v>47.680476190476185</c:v>
                </c:pt>
                <c:pt idx="45">
                  <c:v>48.43</c:v>
                </c:pt>
                <c:pt idx="46">
                  <c:v>44.303500000000014</c:v>
                </c:pt>
                <c:pt idx="47">
                  <c:v>38.005454545454548</c:v>
                </c:pt>
                <c:pt idx="48">
                  <c:v>30.875263157894732</c:v>
                </c:pt>
                <c:pt idx="49">
                  <c:v>32.1815</c:v>
                </c:pt>
                <c:pt idx="50">
                  <c:v>38.210454545454553</c:v>
                </c:pt>
                <c:pt idx="51">
                  <c:v>41.583333333333336</c:v>
                </c:pt>
                <c:pt idx="52">
                  <c:v>46.742380952380941</c:v>
                </c:pt>
                <c:pt idx="53">
                  <c:v>48.247272727272723</c:v>
                </c:pt>
                <c:pt idx="54">
                  <c:v>44.798500000000004</c:v>
                </c:pt>
                <c:pt idx="55">
                  <c:v>45.843043478260874</c:v>
                </c:pt>
                <c:pt idx="56">
                  <c:v>46.560476190476194</c:v>
                </c:pt>
                <c:pt idx="57">
                  <c:v>49.522380952380956</c:v>
                </c:pt>
                <c:pt idx="58">
                  <c:v>44.600476190476193</c:v>
                </c:pt>
                <c:pt idx="59">
                  <c:v>53.288571428571416</c:v>
                </c:pt>
                <c:pt idx="60">
                  <c:v>54.579473684210512</c:v>
                </c:pt>
                <c:pt idx="61">
                  <c:v>54.869500000000002</c:v>
                </c:pt>
                <c:pt idx="62">
                  <c:v>51.632608695652173</c:v>
                </c:pt>
                <c:pt idx="63">
                  <c:v>52.2921052631579</c:v>
                </c:pt>
                <c:pt idx="64">
                  <c:v>50.326521739130442</c:v>
                </c:pt>
                <c:pt idx="65">
                  <c:v>46.368181818181824</c:v>
                </c:pt>
                <c:pt idx="66">
                  <c:v>48.478571428571428</c:v>
                </c:pt>
                <c:pt idx="67">
                  <c:v>51.704347826086966</c:v>
                </c:pt>
                <c:pt idx="68">
                  <c:v>56.152857142857137</c:v>
                </c:pt>
                <c:pt idx="69">
                  <c:v>57.507727272727273</c:v>
                </c:pt>
                <c:pt idx="70">
                  <c:v>62.714090909090899</c:v>
                </c:pt>
                <c:pt idx="71">
                  <c:v>64.373684210526321</c:v>
                </c:pt>
                <c:pt idx="72">
                  <c:v>69.077142857142846</c:v>
                </c:pt>
                <c:pt idx="73">
                  <c:v>65.317499999999981</c:v>
                </c:pt>
                <c:pt idx="74">
                  <c:v>66.016666666666666</c:v>
                </c:pt>
                <c:pt idx="75">
                  <c:v>72.106000000000009</c:v>
                </c:pt>
                <c:pt idx="76">
                  <c:v>77.06</c:v>
                </c:pt>
                <c:pt idx="77">
                  <c:v>74.404761904761898</c:v>
                </c:pt>
                <c:pt idx="78">
                  <c:v>74.123809523809527</c:v>
                </c:pt>
                <c:pt idx="79">
                  <c:v>72.442727272727282</c:v>
                </c:pt>
                <c:pt idx="80">
                  <c:v>78.89100000000002</c:v>
                </c:pt>
                <c:pt idx="81">
                  <c:v>80.597391304347823</c:v>
                </c:pt>
                <c:pt idx="82">
                  <c:v>64.74818181818182</c:v>
                </c:pt>
                <c:pt idx="83">
                  <c:v>57.362352941176482</c:v>
                </c:pt>
                <c:pt idx="84">
                  <c:v>59.409545454545452</c:v>
                </c:pt>
                <c:pt idx="85">
                  <c:v>63.960499999999989</c:v>
                </c:pt>
                <c:pt idx="86">
                  <c:v>66.138571428571424</c:v>
                </c:pt>
                <c:pt idx="87">
                  <c:v>71.259500000000003</c:v>
                </c:pt>
                <c:pt idx="88">
                  <c:v>71.172608695652201</c:v>
                </c:pt>
                <c:pt idx="89">
                  <c:v>64.220499999999987</c:v>
                </c:pt>
                <c:pt idx="90">
                  <c:v>63.977142857142844</c:v>
                </c:pt>
                <c:pt idx="91">
                  <c:v>59.041818181818186</c:v>
                </c:pt>
                <c:pt idx="92">
                  <c:v>62.826666666666675</c:v>
                </c:pt>
                <c:pt idx="93">
                  <c:v>59.713043478260865</c:v>
                </c:pt>
                <c:pt idx="94">
                  <c:v>62.911739130434782</c:v>
                </c:pt>
                <c:pt idx="95">
                  <c:v>66.988695652173917</c:v>
                </c:pt>
                <c:pt idx="96">
                  <c:v>63.645454545454534</c:v>
                </c:pt>
                <c:pt idx="97">
                  <c:v>55.490526315789481</c:v>
                </c:pt>
                <c:pt idx="98">
                  <c:v>32.096363636363634</c:v>
                </c:pt>
                <c:pt idx="99">
                  <c:v>18.466666666666669</c:v>
                </c:pt>
                <c:pt idx="100">
                  <c:v>29.378947368421056</c:v>
                </c:pt>
                <c:pt idx="101">
                  <c:v>40.266818181818188</c:v>
                </c:pt>
                <c:pt idx="102">
                  <c:v>43.24217391304348</c:v>
                </c:pt>
                <c:pt idx="103">
                  <c:v>44.736000000000004</c:v>
                </c:pt>
                <c:pt idx="104">
                  <c:v>40.864090909090912</c:v>
                </c:pt>
                <c:pt idx="105">
                  <c:v>40.18954545454546</c:v>
                </c:pt>
                <c:pt idx="106">
                  <c:v>42.692380952380951</c:v>
                </c:pt>
                <c:pt idx="107">
                  <c:v>49.993636363636362</c:v>
                </c:pt>
                <c:pt idx="108">
                  <c:v>54.774000000000001</c:v>
                </c:pt>
                <c:pt idx="109">
                  <c:v>62.28</c:v>
                </c:pt>
                <c:pt idx="110" formatCode="#\ ##0.0">
                  <c:v>65.41</c:v>
                </c:pt>
                <c:pt idx="111" formatCode="#\ ##0.0">
                  <c:v>64.81</c:v>
                </c:pt>
                <c:pt idx="112">
                  <c:v>68.53</c:v>
                </c:pt>
                <c:pt idx="113">
                  <c:v>73.16</c:v>
                </c:pt>
                <c:pt idx="114">
                  <c:v>75.17</c:v>
                </c:pt>
                <c:pt idx="115">
                  <c:v>70.75</c:v>
                </c:pt>
                <c:pt idx="116">
                  <c:v>74.489999999999995</c:v>
                </c:pt>
                <c:pt idx="117">
                  <c:v>83.54</c:v>
                </c:pt>
                <c:pt idx="118">
                  <c:v>81.05</c:v>
                </c:pt>
                <c:pt idx="119">
                  <c:v>74.17</c:v>
                </c:pt>
                <c:pt idx="120">
                  <c:v>86.51</c:v>
                </c:pt>
                <c:pt idx="121">
                  <c:v>97.13</c:v>
                </c:pt>
                <c:pt idx="122">
                  <c:v>117.25</c:v>
                </c:pt>
                <c:pt idx="123">
                  <c:v>104.58</c:v>
                </c:pt>
                <c:pt idx="124">
                  <c:v>113.34</c:v>
                </c:pt>
                <c:pt idx="125">
                  <c:v>123.00777777777779</c:v>
                </c:pt>
                <c:pt idx="126">
                  <c:v>111.92571428571429</c:v>
                </c:pt>
                <c:pt idx="127">
                  <c:v>100.44636363636364</c:v>
                </c:pt>
                <c:pt idx="128">
                  <c:v>89.764761904761912</c:v>
                </c:pt>
                <c:pt idx="129">
                  <c:v>93.395714285714291</c:v>
                </c:pt>
                <c:pt idx="130">
                  <c:v>91.415454545454551</c:v>
                </c:pt>
                <c:pt idx="131">
                  <c:v>80.924000000000007</c:v>
                </c:pt>
                <c:pt idx="132">
                  <c:v>82.460499999999996</c:v>
                </c:pt>
              </c:numCache>
            </c:numRef>
          </c:val>
          <c:smooth val="1"/>
          <c:extLst>
            <c:ext xmlns:c16="http://schemas.microsoft.com/office/drawing/2014/chart" uri="{C3380CC4-5D6E-409C-BE32-E72D297353CC}">
              <c16:uniqueId val="{00000001-5787-454F-8197-BB3B1CE01194}"/>
            </c:ext>
          </c:extLst>
        </c:ser>
        <c:dLbls>
          <c:showLegendKey val="0"/>
          <c:showVal val="0"/>
          <c:showCatName val="0"/>
          <c:showSerName val="0"/>
          <c:showPercent val="0"/>
          <c:showBubbleSize val="0"/>
        </c:dLbls>
        <c:marker val="1"/>
        <c:smooth val="0"/>
        <c:axId val="215285248"/>
        <c:axId val="184197120"/>
      </c:lineChart>
      <c:lineChart>
        <c:grouping val="standard"/>
        <c:varyColors val="0"/>
        <c:ser>
          <c:idx val="2"/>
          <c:order val="2"/>
          <c:tx>
            <c:strRef>
              <c:f>'[Gráficos EEP enero 2023.xlsx]Comport $ vs Crudos 1'!$H$2</c:f>
              <c:strCache>
                <c:ptCount val="1"/>
                <c:pt idx="0">
                  <c:v>TWDUSD</c:v>
                </c:pt>
              </c:strCache>
            </c:strRef>
          </c:tx>
          <c:spPr>
            <a:ln>
              <a:solidFill>
                <a:schemeClr val="tx2">
                  <a:lumMod val="75000"/>
                </a:schemeClr>
              </a:solidFill>
            </a:ln>
          </c:spPr>
          <c:marker>
            <c:symbol val="none"/>
          </c:marker>
          <c:cat>
            <c:multiLvlStrRef>
              <c:f>'[Gráficos EEP enero 2023.xlsx]Comport $ vs Crudos 1'!$A$272:$B$467</c:f>
              <c:multiLvlStrCache>
                <c:ptCount val="196"/>
                <c:lvl>
                  <c:pt idx="0">
                    <c:v>71,32</c:v>
                  </c:pt>
                  <c:pt idx="1">
                    <c:v>74,48</c:v>
                  </c:pt>
                  <c:pt idx="2">
                    <c:v>72,52</c:v>
                  </c:pt>
                  <c:pt idx="3">
                    <c:v>62,99</c:v>
                  </c:pt>
                  <c:pt idx="4">
                    <c:v>59,00</c:v>
                  </c:pt>
                  <c:pt idx="5">
                    <c:v>59,87</c:v>
                  </c:pt>
                  <c:pt idx="6">
                    <c:v>61,49</c:v>
                  </c:pt>
                  <c:pt idx="7">
                    <c:v>54,47</c:v>
                  </c:pt>
                  <c:pt idx="8">
                    <c:v>59,77</c:v>
                  </c:pt>
                  <c:pt idx="9">
                    <c:v>61,06</c:v>
                  </c:pt>
                  <c:pt idx="10">
                    <c:v>63,91</c:v>
                  </c:pt>
                  <c:pt idx="11">
                    <c:v>63,68</c:v>
                  </c:pt>
                  <c:pt idx="12">
                    <c:v>68,06</c:v>
                  </c:pt>
                  <c:pt idx="13">
                    <c:v>74,67</c:v>
                  </c:pt>
                  <c:pt idx="14">
                    <c:v>72,25</c:v>
                  </c:pt>
                  <c:pt idx="15">
                    <c:v>80,13</c:v>
                  </c:pt>
                  <c:pt idx="16">
                    <c:v>86,92</c:v>
                  </c:pt>
                  <c:pt idx="17">
                    <c:v>94,07</c:v>
                  </c:pt>
                  <c:pt idx="18">
                    <c:v>92,80</c:v>
                  </c:pt>
                  <c:pt idx="19">
                    <c:v>91,99</c:v>
                  </c:pt>
                  <c:pt idx="20">
                    <c:v>96,50</c:v>
                  </c:pt>
                  <c:pt idx="21">
                    <c:v>105,61</c:v>
                  </c:pt>
                  <c:pt idx="22">
                    <c:v>113,51</c:v>
                  </c:pt>
                  <c:pt idx="23">
                    <c:v>126,56</c:v>
                  </c:pt>
                  <c:pt idx="24">
                    <c:v>135,56</c:v>
                  </c:pt>
                  <c:pt idx="25">
                    <c:v>131,76</c:v>
                  </c:pt>
                  <c:pt idx="26">
                    <c:v>115,38</c:v>
                  </c:pt>
                  <c:pt idx="27">
                    <c:v>102,50</c:v>
                  </c:pt>
                  <c:pt idx="28">
                    <c:v>74,20</c:v>
                  </c:pt>
                  <c:pt idx="29">
                    <c:v>55,43</c:v>
                  </c:pt>
                  <c:pt idx="30">
                    <c:v>41,99</c:v>
                  </c:pt>
                  <c:pt idx="31">
                    <c:v>41,21</c:v>
                  </c:pt>
                  <c:pt idx="32">
                    <c:v>39,31</c:v>
                  </c:pt>
                  <c:pt idx="33">
                    <c:v>48,94</c:v>
                  </c:pt>
                  <c:pt idx="34">
                    <c:v>50,27</c:v>
                  </c:pt>
                  <c:pt idx="35">
                    <c:v>60,69</c:v>
                  </c:pt>
                  <c:pt idx="36">
                    <c:v>69,65</c:v>
                  </c:pt>
                  <c:pt idx="37">
                    <c:v>64,61</c:v>
                  </c:pt>
                  <c:pt idx="38">
                    <c:v>70,81</c:v>
                  </c:pt>
                  <c:pt idx="39">
                    <c:v>69,69</c:v>
                  </c:pt>
                  <c:pt idx="40">
                    <c:v>76,59</c:v>
                  </c:pt>
                  <c:pt idx="41">
                    <c:v>78,01</c:v>
                  </c:pt>
                  <c:pt idx="42">
                    <c:v>74,98</c:v>
                  </c:pt>
                  <c:pt idx="43">
                    <c:v>77,79</c:v>
                  </c:pt>
                  <c:pt idx="44">
                    <c:v>76,81</c:v>
                  </c:pt>
                  <c:pt idx="45">
                    <c:v>81,86</c:v>
                  </c:pt>
                  <c:pt idx="46">
                    <c:v>84,45</c:v>
                  </c:pt>
                  <c:pt idx="47">
                    <c:v>72,94</c:v>
                  </c:pt>
                  <c:pt idx="48">
                    <c:v>75,39</c:v>
                  </c:pt>
                  <c:pt idx="49">
                    <c:v>77,28</c:v>
                  </c:pt>
                  <c:pt idx="50">
                    <c:v>75,99</c:v>
                  </c:pt>
                  <c:pt idx="51">
                    <c:v>76,22</c:v>
                  </c:pt>
                  <c:pt idx="52">
                    <c:v>82,13</c:v>
                  </c:pt>
                  <c:pt idx="53">
                    <c:v>84,69</c:v>
                  </c:pt>
                  <c:pt idx="54">
                    <c:v>89,51</c:v>
                  </c:pt>
                  <c:pt idx="55">
                    <c:v>89,61</c:v>
                  </c:pt>
                  <c:pt idx="56">
                    <c:v>90,81</c:v>
                  </c:pt>
                  <c:pt idx="57">
                    <c:v>103,61</c:v>
                  </c:pt>
                  <c:pt idx="58">
                    <c:v>110,45</c:v>
                  </c:pt>
                  <c:pt idx="59">
                    <c:v>100,22</c:v>
                  </c:pt>
                  <c:pt idx="60">
                    <c:v>95,89</c:v>
                  </c:pt>
                  <c:pt idx="61">
                    <c:v>97,18</c:v>
                  </c:pt>
                  <c:pt idx="62">
                    <c:v>85,76</c:v>
                  </c:pt>
                  <c:pt idx="63">
                    <c:v>84,56</c:v>
                  </c:pt>
                  <c:pt idx="64">
                    <c:v>85,87</c:v>
                  </c:pt>
                  <c:pt idx="65">
                    <c:v>96,51</c:v>
                  </c:pt>
                  <c:pt idx="66">
                    <c:v>98,58</c:v>
                  </c:pt>
                  <c:pt idx="67">
                    <c:v>100,31</c:v>
                  </c:pt>
                  <c:pt idx="68">
                    <c:v>102,26</c:v>
                  </c:pt>
                  <c:pt idx="69">
                    <c:v>106,21</c:v>
                  </c:pt>
                  <c:pt idx="70">
                    <c:v>103,35</c:v>
                  </c:pt>
                  <c:pt idx="71">
                    <c:v>94,69</c:v>
                  </c:pt>
                  <c:pt idx="72">
                    <c:v>82,45</c:v>
                  </c:pt>
                  <c:pt idx="73">
                    <c:v>87,93</c:v>
                  </c:pt>
                  <c:pt idx="74">
                    <c:v>94,16</c:v>
                  </c:pt>
                  <c:pt idx="75">
                    <c:v>94,56</c:v>
                  </c:pt>
                  <c:pt idx="76">
                    <c:v>89,57</c:v>
                  </c:pt>
                  <c:pt idx="77">
                    <c:v>86,73</c:v>
                  </c:pt>
                  <c:pt idx="78">
                    <c:v>88,25</c:v>
                  </c:pt>
                  <c:pt idx="79">
                    <c:v>94,83</c:v>
                  </c:pt>
                  <c:pt idx="80">
                    <c:v>95,33</c:v>
                  </c:pt>
                  <c:pt idx="81">
                    <c:v>92,94</c:v>
                  </c:pt>
                  <c:pt idx="82">
                    <c:v>92,02</c:v>
                  </c:pt>
                  <c:pt idx="83">
                    <c:v>94,48</c:v>
                  </c:pt>
                  <c:pt idx="84">
                    <c:v>95,77</c:v>
                  </c:pt>
                  <c:pt idx="85">
                    <c:v>104,67</c:v>
                  </c:pt>
                  <c:pt idx="86">
                    <c:v>106,57</c:v>
                  </c:pt>
                  <c:pt idx="87">
                    <c:v>106,29</c:v>
                  </c:pt>
                  <c:pt idx="88">
                    <c:v>100,54</c:v>
                  </c:pt>
                  <c:pt idx="89">
                    <c:v>93,86</c:v>
                  </c:pt>
                  <c:pt idx="90">
                    <c:v>97,62</c:v>
                  </c:pt>
                  <c:pt idx="91">
                    <c:v>94,62</c:v>
                  </c:pt>
                  <c:pt idx="92">
                    <c:v>100,82</c:v>
                  </c:pt>
                  <c:pt idx="93">
                    <c:v>100,80</c:v>
                  </c:pt>
                  <c:pt idx="94">
                    <c:v>102,07</c:v>
                  </c:pt>
                  <c:pt idx="95">
                    <c:v>102,18</c:v>
                  </c:pt>
                  <c:pt idx="96">
                    <c:v>105,79</c:v>
                  </c:pt>
                  <c:pt idx="97">
                    <c:v>103,59</c:v>
                  </c:pt>
                  <c:pt idx="98">
                    <c:v>96,54</c:v>
                  </c:pt>
                  <c:pt idx="99">
                    <c:v>93,21</c:v>
                  </c:pt>
                  <c:pt idx="100">
                    <c:v>84,40</c:v>
                  </c:pt>
                  <c:pt idx="101">
                    <c:v>75,79</c:v>
                  </c:pt>
                  <c:pt idx="102">
                    <c:v>59,29</c:v>
                  </c:pt>
                  <c:pt idx="103">
                    <c:v>47,22</c:v>
                  </c:pt>
                  <c:pt idx="104">
                    <c:v>50,58</c:v>
                  </c:pt>
                  <c:pt idx="105">
                    <c:v>47,82</c:v>
                  </c:pt>
                  <c:pt idx="106">
                    <c:v>54,21</c:v>
                  </c:pt>
                  <c:pt idx="107">
                    <c:v>59,25</c:v>
                  </c:pt>
                  <c:pt idx="108">
                    <c:v>59,82</c:v>
                  </c:pt>
                  <c:pt idx="109">
                    <c:v>51,16</c:v>
                  </c:pt>
                  <c:pt idx="110">
                    <c:v>42,87</c:v>
                  </c:pt>
                  <c:pt idx="111">
                    <c:v>45,48</c:v>
                  </c:pt>
                  <c:pt idx="112">
                    <c:v>46,22</c:v>
                  </c:pt>
                  <c:pt idx="113">
                    <c:v>42,24</c:v>
                  </c:pt>
                  <c:pt idx="114">
                    <c:v>37,18</c:v>
                  </c:pt>
                  <c:pt idx="115">
                    <c:v>31,68</c:v>
                  </c:pt>
                  <c:pt idx="116">
                    <c:v>30,35</c:v>
                  </c:pt>
                  <c:pt idx="117">
                    <c:v>37,55</c:v>
                  </c:pt>
                  <c:pt idx="118">
                    <c:v>40,76</c:v>
                  </c:pt>
                  <c:pt idx="119">
                    <c:v>46,71</c:v>
                  </c:pt>
                  <c:pt idx="120">
                    <c:v>48,76</c:v>
                  </c:pt>
                  <c:pt idx="121">
                    <c:v>44,65</c:v>
                  </c:pt>
                  <c:pt idx="122">
                    <c:v>44,72</c:v>
                  </c:pt>
                  <c:pt idx="123">
                    <c:v>45,18</c:v>
                  </c:pt>
                  <c:pt idx="124">
                    <c:v>49,78</c:v>
                  </c:pt>
                  <c:pt idx="125">
                    <c:v>45,66</c:v>
                  </c:pt>
                  <c:pt idx="126">
                    <c:v>51,97</c:v>
                  </c:pt>
                  <c:pt idx="127">
                    <c:v>52,49</c:v>
                  </c:pt>
                  <c:pt idx="128">
                    <c:v>53,47</c:v>
                  </c:pt>
                  <c:pt idx="129">
                    <c:v>49,33</c:v>
                  </c:pt>
                  <c:pt idx="130">
                    <c:v>51,06</c:v>
                  </c:pt>
                  <c:pt idx="131">
                    <c:v>48,48</c:v>
                  </c:pt>
                  <c:pt idx="132">
                    <c:v>45,18</c:v>
                  </c:pt>
                  <c:pt idx="133">
                    <c:v>46,60</c:v>
                  </c:pt>
                  <c:pt idx="134">
                    <c:v>48,04</c:v>
                  </c:pt>
                  <c:pt idx="135">
                    <c:v>49,82</c:v>
                  </c:pt>
                  <c:pt idx="136">
                    <c:v>51,58</c:v>
                  </c:pt>
                  <c:pt idx="137">
                    <c:v>56,64</c:v>
                  </c:pt>
                  <c:pt idx="138">
                    <c:v>57,88</c:v>
                  </c:pt>
                  <c:pt idx="139">
                    <c:v>63,70</c:v>
                  </c:pt>
                  <c:pt idx="140">
                    <c:v>62,23</c:v>
                  </c:pt>
                  <c:pt idx="141">
                    <c:v>62,72</c:v>
                  </c:pt>
                  <c:pt idx="142">
                    <c:v>66,25</c:v>
                  </c:pt>
                  <c:pt idx="143">
                    <c:v>70,22</c:v>
                  </c:pt>
                  <c:pt idx="144">
                    <c:v>67,87</c:v>
                  </c:pt>
                  <c:pt idx="145">
                    <c:v>70,98</c:v>
                  </c:pt>
                  <c:pt idx="146">
                    <c:v>68,06</c:v>
                  </c:pt>
                  <c:pt idx="147">
                    <c:v>70,23</c:v>
                  </c:pt>
                  <c:pt idx="148">
                    <c:v>70,75</c:v>
                  </c:pt>
                  <c:pt idx="149">
                    <c:v>56,96</c:v>
                  </c:pt>
                  <c:pt idx="150">
                    <c:v>49,52</c:v>
                  </c:pt>
                  <c:pt idx="151">
                    <c:v>51,38</c:v>
                  </c:pt>
                  <c:pt idx="152">
                    <c:v>54,99</c:v>
                  </c:pt>
                  <c:pt idx="153">
                    <c:v>58,16</c:v>
                  </c:pt>
                  <c:pt idx="154">
                    <c:v>63,86</c:v>
                  </c:pt>
                  <c:pt idx="155">
                    <c:v>60,72</c:v>
                  </c:pt>
                  <c:pt idx="156">
                    <c:v>54,66</c:v>
                  </c:pt>
                  <c:pt idx="157">
                    <c:v>57,26</c:v>
                  </c:pt>
                  <c:pt idx="158">
                    <c:v>54,80</c:v>
                  </c:pt>
                  <c:pt idx="159">
                    <c:v>56,86</c:v>
                  </c:pt>
                  <c:pt idx="160">
                    <c:v>53,96</c:v>
                  </c:pt>
                  <c:pt idx="161">
                    <c:v>56,71</c:v>
                  </c:pt>
                  <c:pt idx="162">
                    <c:v>59,82</c:v>
                  </c:pt>
                  <c:pt idx="163">
                    <c:v>57,52</c:v>
                  </c:pt>
                  <c:pt idx="164">
                    <c:v>50,54</c:v>
                  </c:pt>
                  <c:pt idx="165">
                    <c:v>28,79</c:v>
                  </c:pt>
                  <c:pt idx="166">
                    <c:v>16,55</c:v>
                  </c:pt>
                  <c:pt idx="167">
                    <c:v>28,56</c:v>
                  </c:pt>
                  <c:pt idx="168">
                    <c:v>38,31</c:v>
                  </c:pt>
                  <c:pt idx="169">
                    <c:v>40,71</c:v>
                  </c:pt>
                  <c:pt idx="170">
                    <c:v>42,34</c:v>
                  </c:pt>
                  <c:pt idx="171">
                    <c:v>39,63</c:v>
                  </c:pt>
                  <c:pt idx="172">
                    <c:v>39,40</c:v>
                  </c:pt>
                  <c:pt idx="173">
                    <c:v>40,94</c:v>
                  </c:pt>
                  <c:pt idx="174">
                    <c:v>47,03</c:v>
                  </c:pt>
                  <c:pt idx="175">
                    <c:v>52,01</c:v>
                  </c:pt>
                  <c:pt idx="176">
                    <c:v>59,06</c:v>
                  </c:pt>
                  <c:pt idx="177">
                    <c:v>62,36</c:v>
                  </c:pt>
                  <c:pt idx="178">
                    <c:v>61,70</c:v>
                  </c:pt>
                  <c:pt idx="179">
                    <c:v>65,16</c:v>
                  </c:pt>
                  <c:pt idx="180">
                    <c:v>71,35</c:v>
                  </c:pt>
                  <c:pt idx="181">
                    <c:v>72,49</c:v>
                  </c:pt>
                  <c:pt idx="182">
                    <c:v>67,73</c:v>
                  </c:pt>
                  <c:pt idx="183">
                    <c:v>71,65</c:v>
                  </c:pt>
                  <c:pt idx="184">
                    <c:v>81,48</c:v>
                  </c:pt>
                  <c:pt idx="185">
                    <c:v>79,15</c:v>
                  </c:pt>
                  <c:pt idx="186">
                    <c:v>71,71</c:v>
                  </c:pt>
                  <c:pt idx="187">
                    <c:v>83,22</c:v>
                  </c:pt>
                  <c:pt idx="188">
                    <c:v>91,64</c:v>
                  </c:pt>
                  <c:pt idx="189">
                    <c:v>108,50</c:v>
                  </c:pt>
                  <c:pt idx="190">
                    <c:v>101,78</c:v>
                  </c:pt>
                  <c:pt idx="191">
                    <c:v>109,55</c:v>
                  </c:pt>
                  <c:pt idx="192">
                    <c:v>115,47</c:v>
                  </c:pt>
                  <c:pt idx="193">
                    <c:v>101,62</c:v>
                  </c:pt>
                  <c:pt idx="194">
                    <c:v>93,67</c:v>
                  </c:pt>
                  <c:pt idx="195">
                    <c:v>84,26</c:v>
                  </c:pt>
                </c:lvl>
                <c:lvl>
                  <c:pt idx="0">
                    <c:v>jun-06</c:v>
                  </c:pt>
                  <c:pt idx="1">
                    <c:v>jul-06</c:v>
                  </c:pt>
                  <c:pt idx="2">
                    <c:v>ago-06</c:v>
                  </c:pt>
                  <c:pt idx="3">
                    <c:v>sep-06</c:v>
                  </c:pt>
                  <c:pt idx="4">
                    <c:v>oct-06</c:v>
                  </c:pt>
                  <c:pt idx="5">
                    <c:v>nov-06</c:v>
                  </c:pt>
                  <c:pt idx="6">
                    <c:v>dic-06</c:v>
                  </c:pt>
                  <c:pt idx="7">
                    <c:v>ene-07</c:v>
                  </c:pt>
                  <c:pt idx="8">
                    <c:v>feb-07</c:v>
                  </c:pt>
                  <c:pt idx="9">
                    <c:v>mar-07</c:v>
                  </c:pt>
                  <c:pt idx="10">
                    <c:v>abr-07</c:v>
                  </c:pt>
                  <c:pt idx="11">
                    <c:v>may-07</c:v>
                  </c:pt>
                  <c:pt idx="12">
                    <c:v>jun-07</c:v>
                  </c:pt>
                  <c:pt idx="13">
                    <c:v>jul-07</c:v>
                  </c:pt>
                  <c:pt idx="14">
                    <c:v>ago-07</c:v>
                  </c:pt>
                  <c:pt idx="15">
                    <c:v>sep-07</c:v>
                  </c:pt>
                  <c:pt idx="16">
                    <c:v>oct-07</c:v>
                  </c:pt>
                  <c:pt idx="17">
                    <c:v>nov-07</c:v>
                  </c:pt>
                  <c:pt idx="18">
                    <c:v>dic-07</c:v>
                  </c:pt>
                  <c:pt idx="19">
                    <c:v>ene-08</c:v>
                  </c:pt>
                  <c:pt idx="20">
                    <c:v>feb-08</c:v>
                  </c:pt>
                  <c:pt idx="21">
                    <c:v>mar-08</c:v>
                  </c:pt>
                  <c:pt idx="22">
                    <c:v>abr-08</c:v>
                  </c:pt>
                  <c:pt idx="23">
                    <c:v>may-08</c:v>
                  </c:pt>
                  <c:pt idx="24">
                    <c:v>jun-08</c:v>
                  </c:pt>
                  <c:pt idx="25">
                    <c:v>jul-08</c:v>
                  </c:pt>
                  <c:pt idx="26">
                    <c:v>ago-08</c:v>
                  </c:pt>
                  <c:pt idx="27">
                    <c:v>sep-08</c:v>
                  </c:pt>
                  <c:pt idx="28">
                    <c:v>oct-08</c:v>
                  </c:pt>
                  <c:pt idx="29">
                    <c:v>nov-08</c:v>
                  </c:pt>
                  <c:pt idx="30">
                    <c:v>dic-08</c:v>
                  </c:pt>
                  <c:pt idx="31">
                    <c:v>ene-09</c:v>
                  </c:pt>
                  <c:pt idx="32">
                    <c:v>feb-09</c:v>
                  </c:pt>
                  <c:pt idx="33">
                    <c:v>mar-09</c:v>
                  </c:pt>
                  <c:pt idx="34">
                    <c:v>abr-09</c:v>
                  </c:pt>
                  <c:pt idx="35">
                    <c:v>may-09</c:v>
                  </c:pt>
                  <c:pt idx="36">
                    <c:v>jun-09</c:v>
                  </c:pt>
                  <c:pt idx="37">
                    <c:v>jul-09</c:v>
                  </c:pt>
                  <c:pt idx="38">
                    <c:v>ago-09</c:v>
                  </c:pt>
                  <c:pt idx="39">
                    <c:v>sep-09</c:v>
                  </c:pt>
                  <c:pt idx="40">
                    <c:v>oct-09</c:v>
                  </c:pt>
                  <c:pt idx="41">
                    <c:v>nov-09</c:v>
                  </c:pt>
                  <c:pt idx="42">
                    <c:v>dic-09</c:v>
                  </c:pt>
                  <c:pt idx="43">
                    <c:v>ene-10</c:v>
                  </c:pt>
                  <c:pt idx="44">
                    <c:v>feb-10</c:v>
                  </c:pt>
                  <c:pt idx="45">
                    <c:v>mar-10</c:v>
                  </c:pt>
                  <c:pt idx="46">
                    <c:v>abr-10</c:v>
                  </c:pt>
                  <c:pt idx="47">
                    <c:v>may-10</c:v>
                  </c:pt>
                  <c:pt idx="48">
                    <c:v>jun-10</c:v>
                  </c:pt>
                  <c:pt idx="49">
                    <c:v>jul-10</c:v>
                  </c:pt>
                  <c:pt idx="50">
                    <c:v>ago-10</c:v>
                  </c:pt>
                  <c:pt idx="51">
                    <c:v>sep-10</c:v>
                  </c:pt>
                  <c:pt idx="52">
                    <c:v>oct-10</c:v>
                  </c:pt>
                  <c:pt idx="53">
                    <c:v>nov-10</c:v>
                  </c:pt>
                  <c:pt idx="54">
                    <c:v>dic-10</c:v>
                  </c:pt>
                  <c:pt idx="55">
                    <c:v>ene-11</c:v>
                  </c:pt>
                  <c:pt idx="56">
                    <c:v>feb-11</c:v>
                  </c:pt>
                  <c:pt idx="57">
                    <c:v>mar-11</c:v>
                  </c:pt>
                  <c:pt idx="58">
                    <c:v>abr-11</c:v>
                  </c:pt>
                  <c:pt idx="59">
                    <c:v>may-11</c:v>
                  </c:pt>
                  <c:pt idx="60">
                    <c:v>jun-11</c:v>
                  </c:pt>
                  <c:pt idx="61">
                    <c:v>jul-11</c:v>
                  </c:pt>
                  <c:pt idx="62">
                    <c:v>ago-11</c:v>
                  </c:pt>
                  <c:pt idx="63">
                    <c:v>sep-11</c:v>
                  </c:pt>
                  <c:pt idx="64">
                    <c:v>oct-11</c:v>
                  </c:pt>
                  <c:pt idx="65">
                    <c:v>nov-11</c:v>
                  </c:pt>
                  <c:pt idx="66">
                    <c:v>dic-11</c:v>
                  </c:pt>
                  <c:pt idx="67">
                    <c:v>ene-12</c:v>
                  </c:pt>
                  <c:pt idx="68">
                    <c:v>feb-12</c:v>
                  </c:pt>
                  <c:pt idx="69">
                    <c:v>mar-12</c:v>
                  </c:pt>
                  <c:pt idx="70">
                    <c:v>abr-12</c:v>
                  </c:pt>
                  <c:pt idx="71">
                    <c:v>may-12</c:v>
                  </c:pt>
                  <c:pt idx="72">
                    <c:v>jun-12</c:v>
                  </c:pt>
                  <c:pt idx="73">
                    <c:v>jul-12</c:v>
                  </c:pt>
                  <c:pt idx="74">
                    <c:v>ago-12</c:v>
                  </c:pt>
                  <c:pt idx="75">
                    <c:v>sep-12</c:v>
                  </c:pt>
                  <c:pt idx="76">
                    <c:v>oct-12</c:v>
                  </c:pt>
                  <c:pt idx="77">
                    <c:v>nov-12</c:v>
                  </c:pt>
                  <c:pt idx="78">
                    <c:v>dic-12</c:v>
                  </c:pt>
                  <c:pt idx="79">
                    <c:v>ene-13</c:v>
                  </c:pt>
                  <c:pt idx="80">
                    <c:v>feb-13</c:v>
                  </c:pt>
                  <c:pt idx="81">
                    <c:v>mar-13</c:v>
                  </c:pt>
                  <c:pt idx="82">
                    <c:v>abr-13</c:v>
                  </c:pt>
                  <c:pt idx="83">
                    <c:v>may-13</c:v>
                  </c:pt>
                  <c:pt idx="84">
                    <c:v>jun-13</c:v>
                  </c:pt>
                  <c:pt idx="85">
                    <c:v>jul-13</c:v>
                  </c:pt>
                  <c:pt idx="86">
                    <c:v>ago-13</c:v>
                  </c:pt>
                  <c:pt idx="87">
                    <c:v>sep-13</c:v>
                  </c:pt>
                  <c:pt idx="88">
                    <c:v>oct-13</c:v>
                  </c:pt>
                  <c:pt idx="89">
                    <c:v>nov-13</c:v>
                  </c:pt>
                  <c:pt idx="90">
                    <c:v>dic-13</c:v>
                  </c:pt>
                  <c:pt idx="91">
                    <c:v>ene-14</c:v>
                  </c:pt>
                  <c:pt idx="92">
                    <c:v>feb-14</c:v>
                  </c:pt>
                  <c:pt idx="93">
                    <c:v>mar-14</c:v>
                  </c:pt>
                  <c:pt idx="94">
                    <c:v>abr-14</c:v>
                  </c:pt>
                  <c:pt idx="95">
                    <c:v>may-14</c:v>
                  </c:pt>
                  <c:pt idx="96">
                    <c:v>jun-14</c:v>
                  </c:pt>
                  <c:pt idx="97">
                    <c:v>jul-14</c:v>
                  </c:pt>
                  <c:pt idx="98">
                    <c:v>ago-14</c:v>
                  </c:pt>
                  <c:pt idx="99">
                    <c:v>sep-14</c:v>
                  </c:pt>
                  <c:pt idx="100">
                    <c:v>oct-14</c:v>
                  </c:pt>
                  <c:pt idx="101">
                    <c:v>nov-14</c:v>
                  </c:pt>
                  <c:pt idx="102">
                    <c:v>dic-14</c:v>
                  </c:pt>
                  <c:pt idx="103">
                    <c:v>ene-15</c:v>
                  </c:pt>
                  <c:pt idx="104">
                    <c:v>feb-15</c:v>
                  </c:pt>
                  <c:pt idx="105">
                    <c:v>mar-15</c:v>
                  </c:pt>
                  <c:pt idx="106">
                    <c:v>abr-15</c:v>
                  </c:pt>
                  <c:pt idx="107">
                    <c:v>may-15</c:v>
                  </c:pt>
                  <c:pt idx="108">
                    <c:v>jun-15</c:v>
                  </c:pt>
                  <c:pt idx="109">
                    <c:v>jul-15</c:v>
                  </c:pt>
                  <c:pt idx="110">
                    <c:v>ago-15</c:v>
                  </c:pt>
                  <c:pt idx="111">
                    <c:v>sep-15</c:v>
                  </c:pt>
                  <c:pt idx="112">
                    <c:v>oct-15</c:v>
                  </c:pt>
                  <c:pt idx="113">
                    <c:v>nov-15</c:v>
                  </c:pt>
                  <c:pt idx="114">
                    <c:v>dic-15</c:v>
                  </c:pt>
                  <c:pt idx="115">
                    <c:v>ene-16</c:v>
                  </c:pt>
                  <c:pt idx="116">
                    <c:v>feb-16</c:v>
                  </c:pt>
                  <c:pt idx="117">
                    <c:v>mar-16</c:v>
                  </c:pt>
                  <c:pt idx="118">
                    <c:v>abr-16</c:v>
                  </c:pt>
                  <c:pt idx="119">
                    <c:v>may-16</c:v>
                  </c:pt>
                  <c:pt idx="120">
                    <c:v>jun-16</c:v>
                  </c:pt>
                  <c:pt idx="121">
                    <c:v>jul-16</c:v>
                  </c:pt>
                  <c:pt idx="122">
                    <c:v>ago-16</c:v>
                  </c:pt>
                  <c:pt idx="123">
                    <c:v>sep-16</c:v>
                  </c:pt>
                  <c:pt idx="124">
                    <c:v>oct-16</c:v>
                  </c:pt>
                  <c:pt idx="125">
                    <c:v>nov-16</c:v>
                  </c:pt>
                  <c:pt idx="126">
                    <c:v>dic-16</c:v>
                  </c:pt>
                  <c:pt idx="127">
                    <c:v>ene-17</c:v>
                  </c:pt>
                  <c:pt idx="128">
                    <c:v>feb-17</c:v>
                  </c:pt>
                  <c:pt idx="129">
                    <c:v>mar-17</c:v>
                  </c:pt>
                  <c:pt idx="130">
                    <c:v>abr-17</c:v>
                  </c:pt>
                  <c:pt idx="131">
                    <c:v>may-17</c:v>
                  </c:pt>
                  <c:pt idx="132">
                    <c:v>jun-17</c:v>
                  </c:pt>
                  <c:pt idx="133">
                    <c:v>jul-17</c:v>
                  </c:pt>
                  <c:pt idx="134">
                    <c:v>ago-17</c:v>
                  </c:pt>
                  <c:pt idx="135">
                    <c:v>sep-17</c:v>
                  </c:pt>
                  <c:pt idx="136">
                    <c:v>oct-17</c:v>
                  </c:pt>
                  <c:pt idx="137">
                    <c:v>nov-17</c:v>
                  </c:pt>
                  <c:pt idx="138">
                    <c:v>dic-17</c:v>
                  </c:pt>
                  <c:pt idx="139">
                    <c:v>ene-18</c:v>
                  </c:pt>
                  <c:pt idx="140">
                    <c:v>feb-18</c:v>
                  </c:pt>
                  <c:pt idx="141">
                    <c:v>mar-18</c:v>
                  </c:pt>
                  <c:pt idx="142">
                    <c:v>abr-18</c:v>
                  </c:pt>
                  <c:pt idx="143">
                    <c:v>may-18</c:v>
                  </c:pt>
                  <c:pt idx="144">
                    <c:v>jun-18</c:v>
                  </c:pt>
                  <c:pt idx="145">
                    <c:v>jul-18</c:v>
                  </c:pt>
                  <c:pt idx="146">
                    <c:v>ago-18</c:v>
                  </c:pt>
                  <c:pt idx="147">
                    <c:v>sep-18</c:v>
                  </c:pt>
                  <c:pt idx="148">
                    <c:v>oct-18</c:v>
                  </c:pt>
                  <c:pt idx="149">
                    <c:v>nov-18</c:v>
                  </c:pt>
                  <c:pt idx="150">
                    <c:v>dic-18</c:v>
                  </c:pt>
                  <c:pt idx="151">
                    <c:v>ene-19</c:v>
                  </c:pt>
                  <c:pt idx="152">
                    <c:v>feb-19</c:v>
                  </c:pt>
                  <c:pt idx="153">
                    <c:v>mar-19</c:v>
                  </c:pt>
                  <c:pt idx="154">
                    <c:v>abr-19</c:v>
                  </c:pt>
                  <c:pt idx="155">
                    <c:v>may-19</c:v>
                  </c:pt>
                  <c:pt idx="156">
                    <c:v>jun-19</c:v>
                  </c:pt>
                  <c:pt idx="157">
                    <c:v>jul-19</c:v>
                  </c:pt>
                  <c:pt idx="158">
                    <c:v>ago-19</c:v>
                  </c:pt>
                  <c:pt idx="159">
                    <c:v>sep-19</c:v>
                  </c:pt>
                  <c:pt idx="160">
                    <c:v>oct-19</c:v>
                  </c:pt>
                  <c:pt idx="161">
                    <c:v>nov-19</c:v>
                  </c:pt>
                  <c:pt idx="162">
                    <c:v>dic-19</c:v>
                  </c:pt>
                  <c:pt idx="163">
                    <c:v>ene-20</c:v>
                  </c:pt>
                  <c:pt idx="164">
                    <c:v>feb-20</c:v>
                  </c:pt>
                  <c:pt idx="165">
                    <c:v>mar-20</c:v>
                  </c:pt>
                  <c:pt idx="166">
                    <c:v>abr-20</c:v>
                  </c:pt>
                  <c:pt idx="167">
                    <c:v>may-20</c:v>
                  </c:pt>
                  <c:pt idx="168">
                    <c:v>jun-20</c:v>
                  </c:pt>
                  <c:pt idx="169">
                    <c:v>jul-20</c:v>
                  </c:pt>
                  <c:pt idx="170">
                    <c:v>ago-20</c:v>
                  </c:pt>
                  <c:pt idx="171">
                    <c:v>sep-20</c:v>
                  </c:pt>
                  <c:pt idx="172">
                    <c:v>oct-20</c:v>
                  </c:pt>
                  <c:pt idx="173">
                    <c:v>nov-20</c:v>
                  </c:pt>
                  <c:pt idx="174">
                    <c:v>dic-20</c:v>
                  </c:pt>
                  <c:pt idx="175">
                    <c:v>ene-21</c:v>
                  </c:pt>
                  <c:pt idx="176">
                    <c:v>feb-21</c:v>
                  </c:pt>
                  <c:pt idx="177">
                    <c:v>mar-21</c:v>
                  </c:pt>
                  <c:pt idx="178">
                    <c:v>abr-21</c:v>
                  </c:pt>
                  <c:pt idx="179">
                    <c:v>may-21</c:v>
                  </c:pt>
                  <c:pt idx="180">
                    <c:v>jun-21</c:v>
                  </c:pt>
                  <c:pt idx="181">
                    <c:v>jul-21</c:v>
                  </c:pt>
                  <c:pt idx="182">
                    <c:v>ago-21</c:v>
                  </c:pt>
                  <c:pt idx="183">
                    <c:v>sep-21</c:v>
                  </c:pt>
                  <c:pt idx="184">
                    <c:v>oct-21</c:v>
                  </c:pt>
                  <c:pt idx="185">
                    <c:v>nov-21</c:v>
                  </c:pt>
                  <c:pt idx="186">
                    <c:v>dic-21</c:v>
                  </c:pt>
                  <c:pt idx="187">
                    <c:v>ene-22</c:v>
                  </c:pt>
                  <c:pt idx="188">
                    <c:v>feb-22</c:v>
                  </c:pt>
                  <c:pt idx="189">
                    <c:v>mar-22</c:v>
                  </c:pt>
                  <c:pt idx="190">
                    <c:v>abr-22</c:v>
                  </c:pt>
                  <c:pt idx="191">
                    <c:v>may-22</c:v>
                  </c:pt>
                  <c:pt idx="192">
                    <c:v>jun-22</c:v>
                  </c:pt>
                  <c:pt idx="193">
                    <c:v>jul-22</c:v>
                  </c:pt>
                  <c:pt idx="194">
                    <c:v>ago-22</c:v>
                  </c:pt>
                  <c:pt idx="195">
                    <c:v>sep-22</c:v>
                  </c:pt>
                </c:lvl>
              </c:multiLvlStrCache>
            </c:multiLvlStrRef>
          </c:cat>
          <c:val>
            <c:numRef>
              <c:f>'[Gráficos EEP enero 2023.xlsx]Comport $ vs Crudos 1'!$H$339:$H$471</c:f>
              <c:numCache>
                <c:formatCode>#,##0.00</c:formatCode>
                <c:ptCount val="133"/>
                <c:pt idx="0">
                  <c:v>91.658754999999985</c:v>
                </c:pt>
                <c:pt idx="1">
                  <c:v>89.973629999999972</c:v>
                </c:pt>
                <c:pt idx="2">
                  <c:v>90.522459090909081</c:v>
                </c:pt>
                <c:pt idx="3">
                  <c:v>90.828757142857128</c:v>
                </c:pt>
                <c:pt idx="4">
                  <c:v>92.50570454545452</c:v>
                </c:pt>
                <c:pt idx="5">
                  <c:v>93.894100000000009</c:v>
                </c:pt>
                <c:pt idx="6">
                  <c:v>93.418523809523819</c:v>
                </c:pt>
                <c:pt idx="7">
                  <c:v>92.542739130434796</c:v>
                </c:pt>
                <c:pt idx="8">
                  <c:v>90.996921052631563</c:v>
                </c:pt>
                <c:pt idx="9">
                  <c:v>90.769639999999995</c:v>
                </c:pt>
                <c:pt idx="10">
                  <c:v>91.486669999999989</c:v>
                </c:pt>
                <c:pt idx="11">
                  <c:v>90.893219999999971</c:v>
                </c:pt>
                <c:pt idx="12">
                  <c:v>90.836342857142853</c:v>
                </c:pt>
                <c:pt idx="13">
                  <c:v>91.558878947368427</c:v>
                </c:pt>
                <c:pt idx="14">
                  <c:v>92.416210000000007</c:v>
                </c:pt>
                <c:pt idx="15">
                  <c:v>92.050418181818173</c:v>
                </c:pt>
                <c:pt idx="16">
                  <c:v>92.5288318181818</c:v>
                </c:pt>
                <c:pt idx="17">
                  <c:v>93.286444999999986</c:v>
                </c:pt>
                <c:pt idx="18">
                  <c:v>93.871440909090921</c:v>
                </c:pt>
                <c:pt idx="19">
                  <c:v>93.717245454545449</c:v>
                </c:pt>
                <c:pt idx="20">
                  <c:v>93.477405000000005</c:v>
                </c:pt>
                <c:pt idx="21">
                  <c:v>92.507381818181813</c:v>
                </c:pt>
                <c:pt idx="22">
                  <c:v>93.379100000000022</c:v>
                </c:pt>
                <c:pt idx="23">
                  <c:v>93.538329999999988</c:v>
                </c:pt>
                <c:pt idx="24">
                  <c:v>94.467338095238091</c:v>
                </c:pt>
                <c:pt idx="25">
                  <c:v>94.649735294117662</c:v>
                </c:pt>
                <c:pt idx="26">
                  <c:v>94.447189473684219</c:v>
                </c:pt>
                <c:pt idx="27">
                  <c:v>94.004904545454565</c:v>
                </c:pt>
                <c:pt idx="28">
                  <c:v>93.679276190476173</c:v>
                </c:pt>
                <c:pt idx="29">
                  <c:v>93.837128571428579</c:v>
                </c:pt>
                <c:pt idx="30">
                  <c:v>93.614213636363644</c:v>
                </c:pt>
                <c:pt idx="31">
                  <c:v>94.586214285714306</c:v>
                </c:pt>
                <c:pt idx="32">
                  <c:v>96.121190476190478</c:v>
                </c:pt>
                <c:pt idx="33">
                  <c:v>97.437427272727248</c:v>
                </c:pt>
                <c:pt idx="34">
                  <c:v>99.111088888888901</c:v>
                </c:pt>
                <c:pt idx="35">
                  <c:v>101.44297619047617</c:v>
                </c:pt>
                <c:pt idx="36">
                  <c:v>103.752015</c:v>
                </c:pt>
                <c:pt idx="37">
                  <c:v>105.15777222222222</c:v>
                </c:pt>
                <c:pt idx="38">
                  <c:v>107.34526190476191</c:v>
                </c:pt>
                <c:pt idx="39">
                  <c:v>106.33373636363636</c:v>
                </c:pt>
                <c:pt idx="40">
                  <c:v>105.39908500000001</c:v>
                </c:pt>
                <c:pt idx="41">
                  <c:v>106.17315909090911</c:v>
                </c:pt>
                <c:pt idx="42">
                  <c:v>108.1116590909091</c:v>
                </c:pt>
                <c:pt idx="43">
                  <c:v>109.96969523809524</c:v>
                </c:pt>
                <c:pt idx="44">
                  <c:v>110.84471904761907</c:v>
                </c:pt>
                <c:pt idx="45">
                  <c:v>109.89630952380951</c:v>
                </c:pt>
                <c:pt idx="46">
                  <c:v>111.67842631578948</c:v>
                </c:pt>
                <c:pt idx="47">
                  <c:v>112.77370909090907</c:v>
                </c:pt>
                <c:pt idx="48">
                  <c:v>115.22028124999999</c:v>
                </c:pt>
                <c:pt idx="49">
                  <c:v>114.27466000000001</c:v>
                </c:pt>
                <c:pt idx="50">
                  <c:v>111.88698260869563</c:v>
                </c:pt>
                <c:pt idx="51">
                  <c:v>110.01393809523809</c:v>
                </c:pt>
                <c:pt idx="52">
                  <c:v>111.07416000000001</c:v>
                </c:pt>
                <c:pt idx="53">
                  <c:v>111.59391304347828</c:v>
                </c:pt>
                <c:pt idx="54">
                  <c:v>112.462835</c:v>
                </c:pt>
                <c:pt idx="55">
                  <c:v>111.42166521739128</c:v>
                </c:pt>
                <c:pt idx="56">
                  <c:v>112.30144761904764</c:v>
                </c:pt>
                <c:pt idx="57">
                  <c:v>113.45011000000002</c:v>
                </c:pt>
                <c:pt idx="58">
                  <c:v>116.08804000000001</c:v>
                </c:pt>
                <c:pt idx="59">
                  <c:v>117.89017619047623</c:v>
                </c:pt>
                <c:pt idx="60">
                  <c:v>117.77406315789473</c:v>
                </c:pt>
                <c:pt idx="61">
                  <c:v>116.10262105263158</c:v>
                </c:pt>
                <c:pt idx="62">
                  <c:v>115.62564347826088</c:v>
                </c:pt>
                <c:pt idx="63">
                  <c:v>114.73886999999999</c:v>
                </c:pt>
                <c:pt idx="64">
                  <c:v>114.2335090909091</c:v>
                </c:pt>
                <c:pt idx="65">
                  <c:v>112.73481818181818</c:v>
                </c:pt>
                <c:pt idx="66">
                  <c:v>111.04655</c:v>
                </c:pt>
                <c:pt idx="67">
                  <c:v>109.8917695652174</c:v>
                </c:pt>
                <c:pt idx="68">
                  <c:v>108.84837999999999</c:v>
                </c:pt>
                <c:pt idx="69">
                  <c:v>110.88149523809523</c:v>
                </c:pt>
                <c:pt idx="70">
                  <c:v>111.14969000000001</c:v>
                </c:pt>
                <c:pt idx="71">
                  <c:v>110.86388500000001</c:v>
                </c:pt>
                <c:pt idx="72">
                  <c:v>108.35309523809526</c:v>
                </c:pt>
                <c:pt idx="73">
                  <c:v>107.65015263157896</c:v>
                </c:pt>
                <c:pt idx="74">
                  <c:v>107.94438500000001</c:v>
                </c:pt>
                <c:pt idx="75">
                  <c:v>107.94289523809523</c:v>
                </c:pt>
                <c:pt idx="76">
                  <c:v>111.04698181818181</c:v>
                </c:pt>
                <c:pt idx="77">
                  <c:v>112.85035238095237</c:v>
                </c:pt>
                <c:pt idx="78">
                  <c:v>113.06464285714286</c:v>
                </c:pt>
                <c:pt idx="79">
                  <c:v>113.83579999999999</c:v>
                </c:pt>
                <c:pt idx="80">
                  <c:v>114.09496315789472</c:v>
                </c:pt>
                <c:pt idx="81">
                  <c:v>114.84196818181817</c:v>
                </c:pt>
                <c:pt idx="82">
                  <c:v>116.17807499999999</c:v>
                </c:pt>
                <c:pt idx="83">
                  <c:v>116.21659999999999</c:v>
                </c:pt>
                <c:pt idx="84">
                  <c:v>114.40063000000001</c:v>
                </c:pt>
                <c:pt idx="85">
                  <c:v>114.34083888888888</c:v>
                </c:pt>
                <c:pt idx="86">
                  <c:v>114.70519523809521</c:v>
                </c:pt>
                <c:pt idx="87">
                  <c:v>114.81825000000003</c:v>
                </c:pt>
                <c:pt idx="88">
                  <c:v>115.90223636363633</c:v>
                </c:pt>
                <c:pt idx="89">
                  <c:v>115.40379500000002</c:v>
                </c:pt>
                <c:pt idx="90">
                  <c:v>115.04150000000003</c:v>
                </c:pt>
                <c:pt idx="91">
                  <c:v>117.13757272727271</c:v>
                </c:pt>
                <c:pt idx="92">
                  <c:v>117.37059500000001</c:v>
                </c:pt>
                <c:pt idx="93">
                  <c:v>116.79947727272726</c:v>
                </c:pt>
                <c:pt idx="94">
                  <c:v>116.58835263157894</c:v>
                </c:pt>
                <c:pt idx="95">
                  <c:v>115.94958571428572</c:v>
                </c:pt>
                <c:pt idx="96">
                  <c:v>115.32602380952382</c:v>
                </c:pt>
                <c:pt idx="97">
                  <c:v>116.76244736842105</c:v>
                </c:pt>
                <c:pt idx="98">
                  <c:v>121.28631363636363</c:v>
                </c:pt>
                <c:pt idx="99">
                  <c:v>123.64911904761905</c:v>
                </c:pt>
                <c:pt idx="100">
                  <c:v>123.12058999999996</c:v>
                </c:pt>
                <c:pt idx="101">
                  <c:v>120.01327727272725</c:v>
                </c:pt>
                <c:pt idx="102">
                  <c:v>119.05910909090912</c:v>
                </c:pt>
                <c:pt idx="103">
                  <c:v>117.38687619047622</c:v>
                </c:pt>
                <c:pt idx="104">
                  <c:v>116.7151619047619</c:v>
                </c:pt>
                <c:pt idx="105">
                  <c:v>116.16731428571427</c:v>
                </c:pt>
                <c:pt idx="106">
                  <c:v>114.48638823529411</c:v>
                </c:pt>
                <c:pt idx="107">
                  <c:v>112.22609047619049</c:v>
                </c:pt>
                <c:pt idx="108">
                  <c:v>111.75762777777777</c:v>
                </c:pt>
                <c:pt idx="109">
                  <c:v>112.3053</c:v>
                </c:pt>
                <c:pt idx="110">
                  <c:v>104.23097391304346</c:v>
                </c:pt>
                <c:pt idx="111">
                  <c:v>103.84702727272725</c:v>
                </c:pt>
                <c:pt idx="112">
                  <c:v>111.47498999999998</c:v>
                </c:pt>
                <c:pt idx="113">
                  <c:v>111.85262272727273</c:v>
                </c:pt>
                <c:pt idx="114">
                  <c:v>113.3452238095238</c:v>
                </c:pt>
                <c:pt idx="115">
                  <c:v>113.69325909090911</c:v>
                </c:pt>
                <c:pt idx="116">
                  <c:v>113.75198095238095</c:v>
                </c:pt>
                <c:pt idx="117">
                  <c:v>108.97000476190476</c:v>
                </c:pt>
                <c:pt idx="118">
                  <c:v>104.56793181818179</c:v>
                </c:pt>
                <c:pt idx="119">
                  <c:v>105.75271304347827</c:v>
                </c:pt>
                <c:pt idx="120">
                  <c:v>115.08</c:v>
                </c:pt>
                <c:pt idx="121">
                  <c:v>115.05</c:v>
                </c:pt>
                <c:pt idx="122">
                  <c:v>115.893</c:v>
                </c:pt>
                <c:pt idx="123">
                  <c:v>117.31176666666666</c:v>
                </c:pt>
                <c:pt idx="124">
                  <c:v>119.84104761904759</c:v>
                </c:pt>
                <c:pt idx="125">
                  <c:v>104.464</c:v>
                </c:pt>
                <c:pt idx="126">
                  <c:v>122.82085500000002</c:v>
                </c:pt>
                <c:pt idx="127">
                  <c:v>122.42636521739128</c:v>
                </c:pt>
                <c:pt idx="128">
                  <c:v>125.74801904761902</c:v>
                </c:pt>
                <c:pt idx="129">
                  <c:v>127.645695</c:v>
                </c:pt>
                <c:pt idx="130">
                  <c:v>125.01538499999999</c:v>
                </c:pt>
                <c:pt idx="131">
                  <c:v>122.33304285714287</c:v>
                </c:pt>
                <c:pt idx="132">
                  <c:v>119.84514736842105</c:v>
                </c:pt>
              </c:numCache>
            </c:numRef>
          </c:val>
          <c:smooth val="1"/>
          <c:extLst>
            <c:ext xmlns:c16="http://schemas.microsoft.com/office/drawing/2014/chart" uri="{C3380CC4-5D6E-409C-BE32-E72D297353CC}">
              <c16:uniqueId val="{00000002-5787-454F-8197-BB3B1CE01194}"/>
            </c:ext>
          </c:extLst>
        </c:ser>
        <c:dLbls>
          <c:showLegendKey val="0"/>
          <c:showVal val="0"/>
          <c:showCatName val="0"/>
          <c:showSerName val="0"/>
          <c:showPercent val="0"/>
          <c:showBubbleSize val="0"/>
        </c:dLbls>
        <c:marker val="1"/>
        <c:smooth val="0"/>
        <c:axId val="265543680"/>
        <c:axId val="137320640"/>
      </c:lineChart>
      <c:dateAx>
        <c:axId val="215285248"/>
        <c:scaling>
          <c:orientation val="minMax"/>
        </c:scaling>
        <c:delete val="0"/>
        <c:axPos val="b"/>
        <c:numFmt formatCode="mmm\-yy" sourceLinked="1"/>
        <c:majorTickMark val="out"/>
        <c:minorTickMark val="none"/>
        <c:tickLblPos val="nextTo"/>
        <c:txPr>
          <a:bodyPr rot="-5400000" vert="horz"/>
          <a:lstStyle/>
          <a:p>
            <a:pPr>
              <a:defRPr sz="900"/>
            </a:pPr>
            <a:endParaRPr lang="es-CR"/>
          </a:p>
        </c:txPr>
        <c:crossAx val="184197120"/>
        <c:crosses val="autoZero"/>
        <c:auto val="1"/>
        <c:lblOffset val="100"/>
        <c:baseTimeUnit val="months"/>
      </c:dateAx>
      <c:valAx>
        <c:axId val="184197120"/>
        <c:scaling>
          <c:orientation val="minMax"/>
        </c:scaling>
        <c:delete val="0"/>
        <c:axPos val="l"/>
        <c:majorGridlines/>
        <c:numFmt formatCode="#,##0" sourceLinked="0"/>
        <c:majorTickMark val="out"/>
        <c:minorTickMark val="none"/>
        <c:tickLblPos val="nextTo"/>
        <c:txPr>
          <a:bodyPr/>
          <a:lstStyle/>
          <a:p>
            <a:pPr>
              <a:defRPr sz="900"/>
            </a:pPr>
            <a:endParaRPr lang="es-CR"/>
          </a:p>
        </c:txPr>
        <c:crossAx val="215285248"/>
        <c:crosses val="autoZero"/>
        <c:crossBetween val="between"/>
      </c:valAx>
      <c:valAx>
        <c:axId val="137320640"/>
        <c:scaling>
          <c:orientation val="minMax"/>
          <c:max val="130"/>
          <c:min val="80"/>
        </c:scaling>
        <c:delete val="0"/>
        <c:axPos val="r"/>
        <c:numFmt formatCode="#,##0" sourceLinked="0"/>
        <c:majorTickMark val="out"/>
        <c:minorTickMark val="none"/>
        <c:tickLblPos val="nextTo"/>
        <c:txPr>
          <a:bodyPr/>
          <a:lstStyle/>
          <a:p>
            <a:pPr>
              <a:defRPr sz="900"/>
            </a:pPr>
            <a:endParaRPr lang="es-CR"/>
          </a:p>
        </c:txPr>
        <c:crossAx val="265543680"/>
        <c:crosses val="max"/>
        <c:crossBetween val="between"/>
      </c:valAx>
      <c:catAx>
        <c:axId val="265543680"/>
        <c:scaling>
          <c:orientation val="minMax"/>
        </c:scaling>
        <c:delete val="1"/>
        <c:axPos val="b"/>
        <c:numFmt formatCode="General" sourceLinked="1"/>
        <c:majorTickMark val="out"/>
        <c:minorTickMark val="none"/>
        <c:tickLblPos val="nextTo"/>
        <c:crossAx val="137320640"/>
        <c:crosses val="autoZero"/>
        <c:auto val="1"/>
        <c:lblAlgn val="ctr"/>
        <c:lblOffset val="100"/>
        <c:noMultiLvlLbl val="1"/>
      </c:catAx>
    </c:plotArea>
    <c:legend>
      <c:legendPos val="r"/>
      <c:layout>
        <c:manualLayout>
          <c:xMode val="edge"/>
          <c:yMode val="edge"/>
          <c:x val="6.3715610897169261E-3"/>
          <c:y val="0.88018503866573605"/>
          <c:w val="0.98169996788810787"/>
          <c:h val="0.116732663412815"/>
        </c:manualLayout>
      </c:layout>
      <c:overlay val="0"/>
      <c:txPr>
        <a:bodyPr/>
        <a:lstStyle/>
        <a:p>
          <a:pPr>
            <a:defRPr sz="800"/>
          </a:pPr>
          <a:endParaRPr lang="es-CR"/>
        </a:p>
      </c:txPr>
    </c:legend>
    <c:plotVisOnly val="1"/>
    <c:dispBlanksAs val="gap"/>
    <c:showDLblsOverMax val="0"/>
  </c:chart>
  <c:spPr>
    <a:ln>
      <a:noFill/>
    </a:ln>
    <a:effectLst>
      <a:softEdge rad="0"/>
    </a:effectLst>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588778675396"/>
          <c:y val="5.8262853530339082E-2"/>
          <c:w val="0.73270011902419696"/>
          <c:h val="0.74343601349118771"/>
        </c:manualLayout>
      </c:layout>
      <c:barChart>
        <c:barDir val="col"/>
        <c:grouping val="stacked"/>
        <c:varyColors val="0"/>
        <c:ser>
          <c:idx val="0"/>
          <c:order val="0"/>
          <c:tx>
            <c:strRef>
              <c:f>'[Cuadros y gráficos del Prospecto de Inversión 2023.xlsx]Gráficos Com Intl'!$B$23</c:f>
              <c:strCache>
                <c:ptCount val="1"/>
                <c:pt idx="0">
                  <c:v>Volumen de importación</c:v>
                </c:pt>
              </c:strCache>
            </c:strRef>
          </c:tx>
          <c:spPr>
            <a:solidFill>
              <a:srgbClr val="C00000"/>
            </a:solidFill>
            <a:ln>
              <a:solidFill>
                <a:schemeClr val="lt1">
                  <a:shade val="50000"/>
                </a:schemeClr>
              </a:solidFill>
            </a:ln>
          </c:spPr>
          <c:invertIfNegative val="0"/>
          <c:dLbls>
            <c:dLbl>
              <c:idx val="0"/>
              <c:layout>
                <c:manualLayout>
                  <c:x val="-2.0449926132911412E-3"/>
                  <c:y val="8.7435286185557088E-3"/>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76-4466-BA58-2EEE7672C16C}"/>
                </c:ext>
              </c:extLst>
            </c:dLbl>
            <c:dLbl>
              <c:idx val="1"/>
              <c:layout>
                <c:manualLayout>
                  <c:x val="2.2178631901329606E-3"/>
                  <c:y val="3.0652315249584627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76-4466-BA58-2EEE7672C16C}"/>
                </c:ext>
              </c:extLst>
            </c:dLbl>
            <c:dLbl>
              <c:idx val="2"/>
              <c:layout>
                <c:manualLayout>
                  <c:x val="0"/>
                  <c:y val="2.7376050470755375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76-4466-BA58-2EEE7672C16C}"/>
                </c:ext>
              </c:extLst>
            </c:dLbl>
            <c:dLbl>
              <c:idx val="3"/>
              <c:layout>
                <c:manualLayout>
                  <c:x val="-2.0449926132911412E-3"/>
                  <c:y val="1.1373738833104578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76-4466-BA58-2EEE7672C16C}"/>
                </c:ext>
              </c:extLst>
            </c:dLbl>
            <c:dLbl>
              <c:idx val="4"/>
              <c:layout>
                <c:manualLayout>
                  <c:x val="-1.6990972485666084E-3"/>
                  <c:y val="4.654578728117701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76-4466-BA58-2EEE7672C16C}"/>
                </c:ext>
              </c:extLst>
            </c:dLbl>
            <c:dLbl>
              <c:idx val="5"/>
              <c:layout>
                <c:manualLayout>
                  <c:x val="2.2180174011738546E-3"/>
                  <c:y val="4.9930891666064681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76-4466-BA58-2EEE7672C16C}"/>
                </c:ext>
              </c:extLst>
            </c:dLbl>
            <c:dLbl>
              <c:idx val="6"/>
              <c:layout>
                <c:manualLayout>
                  <c:x val="2.5953718182406986E-4"/>
                  <c:y val="8.4449180091020731E-2"/>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76-4466-BA58-2EEE7672C16C}"/>
                </c:ext>
              </c:extLst>
            </c:dLbl>
            <c:dLbl>
              <c:idx val="7"/>
              <c:layout>
                <c:manualLayout>
                  <c:x val="1.9584802193497847E-3"/>
                  <c:y val="0.11740422355462447"/>
                </c:manualLayout>
              </c:layout>
              <c:spPr/>
              <c:txPr>
                <a:bodyPr rot="-5400000" vert="horz"/>
                <a:lstStyle/>
                <a:p>
                  <a:pPr>
                    <a:defRPr sz="1000" b="1">
                      <a:solidFill>
                        <a:schemeClr val="bg1"/>
                      </a:solidFill>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76-4466-BA58-2EEE7672C16C}"/>
                </c:ext>
              </c:extLst>
            </c:dLbl>
            <c:dLbl>
              <c:idx val="8"/>
              <c:layout>
                <c:manualLayout>
                  <c:x val="3.9169604386995694E-3"/>
                  <c:y val="0.18960244648318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76-4466-BA58-2EEE7672C16C}"/>
                </c:ext>
              </c:extLst>
            </c:dLbl>
            <c:spPr>
              <a:noFill/>
              <a:ln>
                <a:noFill/>
              </a:ln>
              <a:effectLst/>
            </c:spPr>
            <c:txPr>
              <a:bodyPr rot="-5400000" vert="horz"/>
              <a:lstStyle/>
              <a:p>
                <a:pPr>
                  <a:defRPr sz="1050"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Intl'!$A$26:$A$37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'[Cuadros y gráficos del Prospecto de Inversión 2023.xlsx]Gráficos Com Intl'!$B$26:$B$37</c:f>
              <c:numCache>
                <c:formatCode>#,##0</c:formatCode>
                <c:ptCount val="12"/>
                <c:pt idx="0">
                  <c:v>18407.005000000001</c:v>
                </c:pt>
                <c:pt idx="1">
                  <c:v>18024.459572809501</c:v>
                </c:pt>
                <c:pt idx="2">
                  <c:v>18863.92526</c:v>
                </c:pt>
                <c:pt idx="3">
                  <c:v>18939.512116619</c:v>
                </c:pt>
                <c:pt idx="4">
                  <c:v>19574.156025190499</c:v>
                </c:pt>
                <c:pt idx="5">
                  <c:v>20208.666344761899</c:v>
                </c:pt>
                <c:pt idx="6">
                  <c:v>21608.13406</c:v>
                </c:pt>
                <c:pt idx="7">
                  <c:v>20536.024137618999</c:v>
                </c:pt>
                <c:pt idx="8">
                  <c:v>22178.648152381</c:v>
                </c:pt>
                <c:pt idx="9">
                  <c:v>17108.710678095202</c:v>
                </c:pt>
                <c:pt idx="10">
                  <c:v>20959.909235714302</c:v>
                </c:pt>
                <c:pt idx="11">
                  <c:v>21111.507418000001</c:v>
                </c:pt>
              </c:numCache>
            </c:numRef>
          </c:val>
          <c:extLst>
            <c:ext xmlns:c16="http://schemas.microsoft.com/office/drawing/2014/chart" uri="{C3380CC4-5D6E-409C-BE32-E72D297353CC}">
              <c16:uniqueId val="{00000009-E476-4466-BA58-2EEE7672C16C}"/>
            </c:ext>
          </c:extLst>
        </c:ser>
        <c:dLbls>
          <c:showLegendKey val="0"/>
          <c:showVal val="0"/>
          <c:showCatName val="0"/>
          <c:showSerName val="0"/>
          <c:showPercent val="0"/>
          <c:showBubbleSize val="0"/>
        </c:dLbls>
        <c:gapWidth val="52"/>
        <c:overlap val="100"/>
        <c:axId val="226138752"/>
        <c:axId val="226161024"/>
      </c:barChart>
      <c:lineChart>
        <c:grouping val="standard"/>
        <c:varyColors val="0"/>
        <c:ser>
          <c:idx val="1"/>
          <c:order val="1"/>
          <c:tx>
            <c:strRef>
              <c:f>'[Cuadros y gráficos del Prospecto de Inversión 2023.xlsx]Gráficos Com Intl'!$C$23</c:f>
              <c:strCache>
                <c:ptCount val="1"/>
                <c:pt idx="0">
                  <c:v>Costo por barril CIF</c:v>
                </c:pt>
              </c:strCache>
            </c:strRef>
          </c:tx>
          <c:spPr>
            <a:ln>
              <a:solidFill>
                <a:schemeClr val="tx2">
                  <a:lumMod val="50000"/>
                </a:schemeClr>
              </a:solidFill>
            </a:ln>
          </c:spPr>
          <c:dLbls>
            <c:dLbl>
              <c:idx val="0"/>
              <c:layout>
                <c:manualLayout>
                  <c:x val="-4.251228290940718E-2"/>
                  <c:y val="-5.429351271210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76-4466-BA58-2EEE7672C16C}"/>
                </c:ext>
              </c:extLst>
            </c:dLbl>
            <c:dLbl>
              <c:idx val="1"/>
              <c:layout>
                <c:manualLayout>
                  <c:x val="-3.6534229390681044E-2"/>
                  <c:y val="3.9937908496732004E-2"/>
                </c:manualLayout>
              </c:layout>
              <c:showLegendKey val="0"/>
              <c:showVal val="1"/>
              <c:showCatName val="0"/>
              <c:showSerName val="0"/>
              <c:showPercent val="0"/>
              <c:showBubbleSize val="0"/>
              <c:extLst>
                <c:ext xmlns:c15="http://schemas.microsoft.com/office/drawing/2012/chart" uri="{CE6537A1-D6FC-4f65-9D91-7224C49458BB}">
                  <c15:layout>
                    <c:manualLayout>
                      <c:w val="9.1039426523297495E-2"/>
                      <c:h val="5.8955555555555553E-2"/>
                    </c:manualLayout>
                  </c15:layout>
                </c:ext>
                <c:ext xmlns:c16="http://schemas.microsoft.com/office/drawing/2014/chart" uri="{C3380CC4-5D6E-409C-BE32-E72D297353CC}">
                  <c16:uniqueId val="{0000000B-E476-4466-BA58-2EEE7672C16C}"/>
                </c:ext>
              </c:extLst>
            </c:dLbl>
            <c:dLbl>
              <c:idx val="2"/>
              <c:layout>
                <c:manualLayout>
                  <c:x val="-2.3688448034904729E-2"/>
                  <c:y val="-6.4501818898988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76-4466-BA58-2EEE7672C16C}"/>
                </c:ext>
              </c:extLst>
            </c:dLbl>
            <c:dLbl>
              <c:idx val="3"/>
              <c:layout>
                <c:manualLayout>
                  <c:x val="1.9444444444444444E-3"/>
                  <c:y val="-5.149640522875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76-4466-BA58-2EEE7672C16C}"/>
                </c:ext>
              </c:extLst>
            </c:dLbl>
            <c:dLbl>
              <c:idx val="4"/>
              <c:layout>
                <c:manualLayout>
                  <c:x val="-4.931075268817204E-2"/>
                  <c:y val="-0.12253202614379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76-4466-BA58-2EEE7672C16C}"/>
                </c:ext>
              </c:extLst>
            </c:dLbl>
            <c:dLbl>
              <c:idx val="5"/>
              <c:layout>
                <c:manualLayout>
                  <c:x val="-3.2719836400817999E-2"/>
                  <c:y val="-5.70071258907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476-4466-BA58-2EEE7672C16C}"/>
                </c:ext>
              </c:extLst>
            </c:dLbl>
            <c:dLbl>
              <c:idx val="6"/>
              <c:layout>
                <c:manualLayout>
                  <c:x val="-4.225219455223593E-2"/>
                  <c:y val="-0.10859603692101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476-4466-BA58-2EEE7672C16C}"/>
                </c:ext>
              </c:extLst>
            </c:dLbl>
            <c:dLbl>
              <c:idx val="7"/>
              <c:layout>
                <c:manualLayout>
                  <c:x val="-5.4148924731182796E-2"/>
                  <c:y val="-0.14017254901960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476-4466-BA58-2EEE7672C16C}"/>
                </c:ext>
              </c:extLst>
            </c:dLbl>
            <c:dLbl>
              <c:idx val="8"/>
              <c:layout>
                <c:manualLayout>
                  <c:x val="-4.2713799283154205E-2"/>
                  <c:y val="-0.32624248366013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476-4466-BA58-2EEE7672C16C}"/>
                </c:ext>
              </c:extLst>
            </c:dLbl>
            <c:dLbl>
              <c:idx val="9"/>
              <c:layout>
                <c:manualLayout>
                  <c:x val="-4.2530568846358321E-2"/>
                  <c:y val="-0.12008920912677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476-4466-BA58-2EEE7672C16C}"/>
                </c:ext>
              </c:extLst>
            </c:dLbl>
            <c:dLbl>
              <c:idx val="10"/>
              <c:layout>
                <c:manualLayout>
                  <c:x val="-4.7846882776016633E-2"/>
                  <c:y val="-0.19214273460284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476-4466-BA58-2EEE7672C16C}"/>
                </c:ext>
              </c:extLst>
            </c:dLbl>
            <c:dLbl>
              <c:idx val="11"/>
              <c:layout>
                <c:manualLayout>
                  <c:x val="-6.0616887322574933E-2"/>
                  <c:y val="-7.0338034485248405E-2"/>
                </c:manualLayout>
              </c:layout>
              <c:showLegendKey val="0"/>
              <c:showVal val="1"/>
              <c:showCatName val="0"/>
              <c:showSerName val="0"/>
              <c:showPercent val="0"/>
              <c:showBubbleSize val="0"/>
              <c:extLst>
                <c:ext xmlns:c15="http://schemas.microsoft.com/office/drawing/2012/chart" uri="{CE6537A1-D6FC-4f65-9D91-7224C49458BB}">
                  <c15:layout>
                    <c:manualLayout>
                      <c:w val="9.074014336917563E-2"/>
                      <c:h val="7.6188235294117654E-2"/>
                    </c:manualLayout>
                  </c15:layout>
                </c:ext>
                <c:ext xmlns:c16="http://schemas.microsoft.com/office/drawing/2014/chart" uri="{C3380CC4-5D6E-409C-BE32-E72D297353CC}">
                  <c16:uniqueId val="{00000015-E476-4466-BA58-2EEE7672C16C}"/>
                </c:ext>
              </c:extLst>
            </c:dLbl>
            <c:dLbl>
              <c:idx val="12"/>
              <c:layout>
                <c:manualLayout>
                  <c:x val="-3.5442140705298733E-2"/>
                  <c:y val="-0.1784182535597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476-4466-BA58-2EEE7672C16C}"/>
                </c:ext>
              </c:extLst>
            </c:dLbl>
            <c:numFmt formatCode="[$$-540A]#,##0.00" sourceLinked="0"/>
            <c:spPr>
              <a:noFill/>
              <a:ln>
                <a:noFill/>
              </a:ln>
              <a:effectLst/>
            </c:spPr>
            <c:txPr>
              <a:bodyPr/>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Intl'!$A$26:$A$37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'[Cuadros y gráficos del Prospecto de Inversión 2023.xlsx]Gráficos Com Intl'!$C$26:$C$37</c:f>
              <c:numCache>
                <c:formatCode>0.00</c:formatCode>
                <c:ptCount val="12"/>
                <c:pt idx="0">
                  <c:v>116.79738224675869</c:v>
                </c:pt>
                <c:pt idx="1">
                  <c:v>120.70482150773543</c:v>
                </c:pt>
                <c:pt idx="2">
                  <c:v>133.2884347278748</c:v>
                </c:pt>
                <c:pt idx="3">
                  <c:v>107.5870170105843</c:v>
                </c:pt>
                <c:pt idx="4">
                  <c:v>64.149190882953178</c:v>
                </c:pt>
                <c:pt idx="5">
                  <c:v>53.408557249141516</c:v>
                </c:pt>
                <c:pt idx="6">
                  <c:v>63.303906390500316</c:v>
                </c:pt>
                <c:pt idx="7">
                  <c:v>78.11721431208575</c:v>
                </c:pt>
                <c:pt idx="8">
                  <c:v>71.042586457096121</c:v>
                </c:pt>
                <c:pt idx="9">
                  <c:v>47.34</c:v>
                </c:pt>
                <c:pt idx="10">
                  <c:v>76.101847030047111</c:v>
                </c:pt>
                <c:pt idx="11">
                  <c:v>119.12403069833705</c:v>
                </c:pt>
              </c:numCache>
            </c:numRef>
          </c:val>
          <c:smooth val="1"/>
          <c:extLst>
            <c:ext xmlns:c16="http://schemas.microsoft.com/office/drawing/2014/chart" uri="{C3380CC4-5D6E-409C-BE32-E72D297353CC}">
              <c16:uniqueId val="{00000017-E476-4466-BA58-2EEE7672C16C}"/>
            </c:ext>
          </c:extLst>
        </c:ser>
        <c:dLbls>
          <c:showLegendKey val="0"/>
          <c:showVal val="0"/>
          <c:showCatName val="0"/>
          <c:showSerName val="0"/>
          <c:showPercent val="0"/>
          <c:showBubbleSize val="0"/>
        </c:dLbls>
        <c:marker val="1"/>
        <c:smooth val="0"/>
        <c:axId val="226164096"/>
        <c:axId val="226162560"/>
      </c:lineChart>
      <c:catAx>
        <c:axId val="226138752"/>
        <c:scaling>
          <c:orientation val="minMax"/>
        </c:scaling>
        <c:delete val="0"/>
        <c:axPos val="b"/>
        <c:numFmt formatCode="General" sourceLinked="1"/>
        <c:majorTickMark val="out"/>
        <c:minorTickMark val="none"/>
        <c:tickLblPos val="nextTo"/>
        <c:txPr>
          <a:bodyPr/>
          <a:lstStyle/>
          <a:p>
            <a:pPr>
              <a:defRPr b="1"/>
            </a:pPr>
            <a:endParaRPr lang="es-CR"/>
          </a:p>
        </c:txPr>
        <c:crossAx val="226161024"/>
        <c:crosses val="autoZero"/>
        <c:auto val="1"/>
        <c:lblAlgn val="ctr"/>
        <c:lblOffset val="100"/>
        <c:noMultiLvlLbl val="0"/>
      </c:catAx>
      <c:valAx>
        <c:axId val="226161024"/>
        <c:scaling>
          <c:orientation val="minMax"/>
          <c:min val="15000"/>
        </c:scaling>
        <c:delete val="0"/>
        <c:axPos val="l"/>
        <c:majorGridlines/>
        <c:numFmt formatCode="#,##0" sourceLinked="1"/>
        <c:majorTickMark val="out"/>
        <c:minorTickMark val="none"/>
        <c:tickLblPos val="nextTo"/>
        <c:crossAx val="226138752"/>
        <c:crosses val="autoZero"/>
        <c:crossBetween val="between"/>
        <c:majorUnit val="1000"/>
      </c:valAx>
      <c:valAx>
        <c:axId val="226162560"/>
        <c:scaling>
          <c:orientation val="minMax"/>
        </c:scaling>
        <c:delete val="0"/>
        <c:axPos val="r"/>
        <c:numFmt formatCode="0" sourceLinked="0"/>
        <c:majorTickMark val="out"/>
        <c:minorTickMark val="none"/>
        <c:tickLblPos val="nextTo"/>
        <c:crossAx val="226164096"/>
        <c:crosses val="max"/>
        <c:crossBetween val="between"/>
      </c:valAx>
      <c:catAx>
        <c:axId val="226164096"/>
        <c:scaling>
          <c:orientation val="minMax"/>
        </c:scaling>
        <c:delete val="1"/>
        <c:axPos val="b"/>
        <c:numFmt formatCode="General" sourceLinked="1"/>
        <c:majorTickMark val="out"/>
        <c:minorTickMark val="none"/>
        <c:tickLblPos val="nextTo"/>
        <c:crossAx val="226162560"/>
        <c:crosses val="autoZero"/>
        <c:auto val="1"/>
        <c:lblAlgn val="ctr"/>
        <c:lblOffset val="100"/>
        <c:noMultiLvlLbl val="0"/>
      </c:catAx>
    </c:plotArea>
    <c:legend>
      <c:legendPos val="r"/>
      <c:layout>
        <c:manualLayout>
          <c:xMode val="edge"/>
          <c:yMode val="edge"/>
          <c:x val="8.9438187315193166E-2"/>
          <c:y val="0.88979229653633196"/>
          <c:w val="0.84579609136695755"/>
          <c:h val="7.2203041128172524E-2"/>
        </c:manualLayout>
      </c:layout>
      <c:overlay val="0"/>
      <c:txPr>
        <a:bodyPr/>
        <a:lstStyle/>
        <a:p>
          <a:pPr>
            <a:defRPr sz="1050"/>
          </a:pPr>
          <a:endParaRPr lang="es-CR"/>
        </a:p>
      </c:txPr>
    </c:legend>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20546368376927E-2"/>
          <c:y val="4.2784276242926279E-2"/>
          <c:w val="0.69069794442046351"/>
          <c:h val="0.86067755981369376"/>
        </c:manualLayout>
      </c:layout>
      <c:barChart>
        <c:barDir val="col"/>
        <c:grouping val="percentStacked"/>
        <c:varyColors val="0"/>
        <c:ser>
          <c:idx val="0"/>
          <c:order val="0"/>
          <c:tx>
            <c:strRef>
              <c:f>'[Cuadros y gráficos del Prospecto de Inversión 2023.xlsx]Gráficos Com Intl'!$A$58</c:f>
              <c:strCache>
                <c:ptCount val="1"/>
                <c:pt idx="0">
                  <c:v>Diésel</c:v>
                </c:pt>
              </c:strCache>
            </c:strRef>
          </c:tx>
          <c:spPr>
            <a:solidFill>
              <a:srgbClr val="6EA516"/>
            </a:solidFill>
          </c:spPr>
          <c:invertIfNegative val="0"/>
          <c:dLbls>
            <c:numFmt formatCode="#,##0" sourceLinked="0"/>
            <c:spPr>
              <a:noFill/>
              <a:ln>
                <a:noFill/>
              </a:ln>
              <a:effectLst/>
            </c:spPr>
            <c:txPr>
              <a:bodyPr/>
              <a:lstStyle/>
              <a:p>
                <a:pPr>
                  <a:defRPr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Intl'!$F$69:$O$69</c:f>
              <c:numCache>
                <c:formatCode>#,##0</c:formatCode>
                <c:ptCount val="10"/>
                <c:pt idx="0">
                  <c:v>36.96870669217229</c:v>
                </c:pt>
                <c:pt idx="1">
                  <c:v>36.999701753064549</c:v>
                </c:pt>
                <c:pt idx="2">
                  <c:v>38.791557590088146</c:v>
                </c:pt>
                <c:pt idx="3">
                  <c:v>37.072884883724768</c:v>
                </c:pt>
                <c:pt idx="4">
                  <c:v>36.301323604431587</c:v>
                </c:pt>
                <c:pt idx="5">
                  <c:v>37.603348039769671</c:v>
                </c:pt>
                <c:pt idx="6">
                  <c:v>34.921482530343198</c:v>
                </c:pt>
                <c:pt idx="7">
                  <c:v>38.873818519330136</c:v>
                </c:pt>
                <c:pt idx="8">
                  <c:v>37.139762116602107</c:v>
                </c:pt>
                <c:pt idx="9">
                  <c:v>35.526651799412505</c:v>
                </c:pt>
              </c:numCache>
            </c:numRef>
          </c:val>
          <c:extLst>
            <c:ext xmlns:c16="http://schemas.microsoft.com/office/drawing/2014/chart" uri="{C3380CC4-5D6E-409C-BE32-E72D297353CC}">
              <c16:uniqueId val="{00000000-6DC5-47F7-AA4C-4D3B31FE71FC}"/>
            </c:ext>
          </c:extLst>
        </c:ser>
        <c:ser>
          <c:idx val="1"/>
          <c:order val="1"/>
          <c:tx>
            <c:strRef>
              <c:f>'[Cuadros y gráficos del Prospecto de Inversión 2023.xlsx]Gráficos Com Intl'!$A$59</c:f>
              <c:strCache>
                <c:ptCount val="1"/>
                <c:pt idx="0">
                  <c:v>Gasolinas</c:v>
                </c:pt>
              </c:strCache>
            </c:strRef>
          </c:tx>
          <c:spPr>
            <a:solidFill>
              <a:srgbClr val="DA0035"/>
            </a:solidFill>
          </c:spPr>
          <c:invertIfNegative val="0"/>
          <c:dLbls>
            <c:spPr>
              <a:noFill/>
              <a:ln>
                <a:noFill/>
              </a:ln>
              <a:effectLst/>
            </c:spPr>
            <c:txPr>
              <a:bodyPr/>
              <a:lstStyle/>
              <a:p>
                <a:pPr>
                  <a:defRPr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Intl'!$F$70:$O$70</c:f>
              <c:numCache>
                <c:formatCode>#,##0</c:formatCode>
                <c:ptCount val="10"/>
                <c:pt idx="0">
                  <c:v>34.472857108849674</c:v>
                </c:pt>
                <c:pt idx="1">
                  <c:v>34.738213495638185</c:v>
                </c:pt>
                <c:pt idx="2">
                  <c:v>37.431742150206709</c:v>
                </c:pt>
                <c:pt idx="3">
                  <c:v>38.834802686467164</c:v>
                </c:pt>
                <c:pt idx="4">
                  <c:v>39.159040000883813</c:v>
                </c:pt>
                <c:pt idx="5">
                  <c:v>36.905216507398862</c:v>
                </c:pt>
                <c:pt idx="6">
                  <c:v>39.299955435130009</c:v>
                </c:pt>
                <c:pt idx="7">
                  <c:v>37.46766410754261</c:v>
                </c:pt>
                <c:pt idx="8">
                  <c:v>39.284569639117514</c:v>
                </c:pt>
                <c:pt idx="9">
                  <c:v>38.464180833797066</c:v>
                </c:pt>
              </c:numCache>
            </c:numRef>
          </c:val>
          <c:extLst>
            <c:ext xmlns:c16="http://schemas.microsoft.com/office/drawing/2014/chart" uri="{C3380CC4-5D6E-409C-BE32-E72D297353CC}">
              <c16:uniqueId val="{00000001-6DC5-47F7-AA4C-4D3B31FE71FC}"/>
            </c:ext>
          </c:extLst>
        </c:ser>
        <c:ser>
          <c:idx val="3"/>
          <c:order val="2"/>
          <c:tx>
            <c:strRef>
              <c:f>'[Cuadros y gráficos del Prospecto de Inversión 2023.xlsx]Gráficos Com Intl'!$A$72</c:f>
              <c:strCache>
                <c:ptCount val="1"/>
                <c:pt idx="0">
                  <c:v>Jet Fuel</c:v>
                </c:pt>
              </c:strCache>
            </c:strRef>
          </c:tx>
          <c:spPr>
            <a:solidFill>
              <a:srgbClr val="1A5572"/>
            </a:solidFill>
          </c:spPr>
          <c:invertIfNegative val="0"/>
          <c:dLbls>
            <c:spPr>
              <a:solidFill>
                <a:srgbClr val="1A5572"/>
              </a:solidFill>
              <a:ln>
                <a:noFill/>
              </a:ln>
              <a:effectLst/>
            </c:spPr>
            <c:txPr>
              <a:bodyPr/>
              <a:lstStyle/>
              <a:p>
                <a:pPr>
                  <a:defRPr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Intl'!$F$72:$O$72</c:f>
              <c:numCache>
                <c:formatCode>#,##0</c:formatCode>
                <c:ptCount val="10"/>
                <c:pt idx="0">
                  <c:v>6.9383987264589067</c:v>
                </c:pt>
                <c:pt idx="1">
                  <c:v>7.2091803507848384</c:v>
                </c:pt>
                <c:pt idx="2">
                  <c:v>7.6806441530431524</c:v>
                </c:pt>
                <c:pt idx="3">
                  <c:v>7.543103805575341</c:v>
                </c:pt>
                <c:pt idx="4">
                  <c:v>8.1339025624316221</c:v>
                </c:pt>
                <c:pt idx="5">
                  <c:v>8.2968085671404133</c:v>
                </c:pt>
                <c:pt idx="6">
                  <c:v>8.7789670796097479</c:v>
                </c:pt>
                <c:pt idx="7">
                  <c:v>5.4415513682860901</c:v>
                </c:pt>
                <c:pt idx="8">
                  <c:v>6.7145087995035837</c:v>
                </c:pt>
                <c:pt idx="9">
                  <c:v>9.1384091235242</c:v>
                </c:pt>
              </c:numCache>
            </c:numRef>
          </c:val>
          <c:extLst>
            <c:ext xmlns:c16="http://schemas.microsoft.com/office/drawing/2014/chart" uri="{C3380CC4-5D6E-409C-BE32-E72D297353CC}">
              <c16:uniqueId val="{00000002-6DC5-47F7-AA4C-4D3B31FE71FC}"/>
            </c:ext>
          </c:extLst>
        </c:ser>
        <c:ser>
          <c:idx val="4"/>
          <c:order val="3"/>
          <c:tx>
            <c:strRef>
              <c:f>'[Cuadros y gráficos del Prospecto de Inversión 2023.xlsx]Gráficos Com Intl'!$A$73</c:f>
              <c:strCache>
                <c:ptCount val="1"/>
                <c:pt idx="0">
                  <c:v>GLP</c:v>
                </c:pt>
              </c:strCache>
            </c:strRef>
          </c:tx>
          <c:spPr>
            <a:solidFill>
              <a:srgbClr val="319EA5"/>
            </a:solidFill>
          </c:spPr>
          <c:invertIfNegative val="0"/>
          <c:dLbls>
            <c:spPr>
              <a:solidFill>
                <a:srgbClr val="319EA5"/>
              </a:solidFill>
              <a:ln>
                <a:noFill/>
              </a:ln>
              <a:effectLst/>
            </c:spPr>
            <c:txPr>
              <a:bodyPr/>
              <a:lstStyle/>
              <a:p>
                <a:pPr>
                  <a:defRPr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Intl'!$F$73:$O$73</c:f>
              <c:numCache>
                <c:formatCode>#,##0</c:formatCode>
                <c:ptCount val="10"/>
                <c:pt idx="0">
                  <c:v>7.8661156124618774</c:v>
                </c:pt>
                <c:pt idx="1">
                  <c:v>7.9933080025848673</c:v>
                </c:pt>
                <c:pt idx="2">
                  <c:v>8.607703989214599</c:v>
                </c:pt>
                <c:pt idx="3">
                  <c:v>9.1203856241014414</c:v>
                </c:pt>
                <c:pt idx="4">
                  <c:v>9.3728255497504076</c:v>
                </c:pt>
                <c:pt idx="5">
                  <c:v>9.5234185882036471</c:v>
                </c:pt>
                <c:pt idx="6">
                  <c:v>9.8332514453360602</c:v>
                </c:pt>
                <c:pt idx="7">
                  <c:v>11.964952406500707</c:v>
                </c:pt>
                <c:pt idx="8">
                  <c:v>11.189660621257334</c:v>
                </c:pt>
                <c:pt idx="9">
                  <c:v>11.748169606710933</c:v>
                </c:pt>
              </c:numCache>
            </c:numRef>
          </c:val>
          <c:extLst>
            <c:ext xmlns:c16="http://schemas.microsoft.com/office/drawing/2014/chart" uri="{C3380CC4-5D6E-409C-BE32-E72D297353CC}">
              <c16:uniqueId val="{00000003-6DC5-47F7-AA4C-4D3B31FE71FC}"/>
            </c:ext>
          </c:extLst>
        </c:ser>
        <c:ser>
          <c:idx val="5"/>
          <c:order val="4"/>
          <c:tx>
            <c:strRef>
              <c:f>'[Cuadros y gráficos del Prospecto de Inversión 2023.xlsx]Gráficos Com Intl'!$A$62</c:f>
              <c:strCache>
                <c:ptCount val="1"/>
                <c:pt idx="0">
                  <c:v>Búnker ICE</c:v>
                </c:pt>
              </c:strCache>
            </c:strRef>
          </c:tx>
          <c:spPr>
            <a:solidFill>
              <a:srgbClr val="003186"/>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Intl'!$F$74:$O$74</c:f>
              <c:numCache>
                <c:formatCode>#,##0</c:formatCode>
                <c:ptCount val="10"/>
                <c:pt idx="0">
                  <c:v>6.1415779273502062</c:v>
                </c:pt>
                <c:pt idx="1">
                  <c:v>6.1106657597941529</c:v>
                </c:pt>
                <c:pt idx="2">
                  <c:v>0.51521474998490713</c:v>
                </c:pt>
                <c:pt idx="3">
                  <c:v>1.3353824315528149</c:v>
                </c:pt>
                <c:pt idx="4">
                  <c:v>0</c:v>
                </c:pt>
                <c:pt idx="5">
                  <c:v>0.32722239489825128</c:v>
                </c:pt>
                <c:pt idx="6">
                  <c:v>0.7000949694191847</c:v>
                </c:pt>
                <c:pt idx="7">
                  <c:v>0</c:v>
                </c:pt>
                <c:pt idx="8">
                  <c:v>0</c:v>
                </c:pt>
                <c:pt idx="9">
                  <c:v>0.44863437804183431</c:v>
                </c:pt>
              </c:numCache>
            </c:numRef>
          </c:val>
          <c:extLst>
            <c:ext xmlns:c16="http://schemas.microsoft.com/office/drawing/2014/chart" uri="{C3380CC4-5D6E-409C-BE32-E72D297353CC}">
              <c16:uniqueId val="{00000004-6DC5-47F7-AA4C-4D3B31FE71FC}"/>
            </c:ext>
          </c:extLst>
        </c:ser>
        <c:ser>
          <c:idx val="6"/>
          <c:order val="5"/>
          <c:tx>
            <c:strRef>
              <c:f>'[Cuadros y gráficos del Prospecto de Inversión 2023.xlsx]Gráficos Com Intl'!$A$75</c:f>
              <c:strCache>
                <c:ptCount val="1"/>
                <c:pt idx="0">
                  <c:v>Otros</c:v>
                </c:pt>
              </c:strCache>
            </c:strRef>
          </c:tx>
          <c:spPr>
            <a:solidFill>
              <a:srgbClr val="BCBDC0"/>
            </a:solidFill>
          </c:spPr>
          <c:invertIfNegative val="0"/>
          <c:dLbls>
            <c:spPr>
              <a:noFill/>
              <a:ln>
                <a:noFill/>
              </a:ln>
              <a:effectLst/>
            </c:spPr>
            <c:txPr>
              <a:bodyPr/>
              <a:lstStyle/>
              <a:p>
                <a:pPr>
                  <a:defRPr b="1">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Intl'!$F$57:$O$57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'[Cuadros y gráficos del Prospecto de Inversión 2023.xlsx]Gráficos Com Intl'!$F$75:$O$75</c:f>
              <c:numCache>
                <c:formatCode>#,##0</c:formatCode>
                <c:ptCount val="10"/>
                <c:pt idx="0">
                  <c:v>7.6123439327070468</c:v>
                </c:pt>
                <c:pt idx="1">
                  <c:v>6.9489306381334064</c:v>
                </c:pt>
                <c:pt idx="2">
                  <c:v>6.9731373674624839</c:v>
                </c:pt>
                <c:pt idx="3">
                  <c:v>6.0934405685784583</c:v>
                </c:pt>
                <c:pt idx="4">
                  <c:v>7.0329082825025759</c:v>
                </c:pt>
                <c:pt idx="5">
                  <c:v>7.3439859025891483</c:v>
                </c:pt>
                <c:pt idx="6">
                  <c:v>6.4662485401617866</c:v>
                </c:pt>
                <c:pt idx="7">
                  <c:v>6.2520135983404446</c:v>
                </c:pt>
                <c:pt idx="8">
                  <c:v>5.6714988235194772</c:v>
                </c:pt>
                <c:pt idx="9">
                  <c:v>4.6739542585134792</c:v>
                </c:pt>
              </c:numCache>
            </c:numRef>
          </c:val>
          <c:extLst>
            <c:ext xmlns:c16="http://schemas.microsoft.com/office/drawing/2014/chart" uri="{C3380CC4-5D6E-409C-BE32-E72D297353CC}">
              <c16:uniqueId val="{00000005-6DC5-47F7-AA4C-4D3B31FE71FC}"/>
            </c:ext>
          </c:extLst>
        </c:ser>
        <c:dLbls>
          <c:showLegendKey val="0"/>
          <c:showVal val="0"/>
          <c:showCatName val="0"/>
          <c:showSerName val="0"/>
          <c:showPercent val="0"/>
          <c:showBubbleSize val="0"/>
        </c:dLbls>
        <c:gapWidth val="85"/>
        <c:overlap val="100"/>
        <c:axId val="225975680"/>
        <c:axId val="225985664"/>
      </c:barChart>
      <c:catAx>
        <c:axId val="225975680"/>
        <c:scaling>
          <c:orientation val="minMax"/>
        </c:scaling>
        <c:delete val="0"/>
        <c:axPos val="b"/>
        <c:numFmt formatCode="General" sourceLinked="1"/>
        <c:majorTickMark val="out"/>
        <c:minorTickMark val="none"/>
        <c:tickLblPos val="nextTo"/>
        <c:crossAx val="225985664"/>
        <c:crosses val="autoZero"/>
        <c:auto val="1"/>
        <c:lblAlgn val="ctr"/>
        <c:lblOffset val="100"/>
        <c:noMultiLvlLbl val="0"/>
      </c:catAx>
      <c:valAx>
        <c:axId val="225985664"/>
        <c:scaling>
          <c:orientation val="minMax"/>
        </c:scaling>
        <c:delete val="0"/>
        <c:axPos val="l"/>
        <c:majorGridlines/>
        <c:numFmt formatCode="0%" sourceLinked="1"/>
        <c:majorTickMark val="out"/>
        <c:minorTickMark val="none"/>
        <c:tickLblPos val="nextTo"/>
        <c:crossAx val="225975680"/>
        <c:crosses val="autoZero"/>
        <c:crossBetween val="between"/>
        <c:majorUnit val="0.2"/>
      </c:valAx>
    </c:plotArea>
    <c:legend>
      <c:legendPos val="r"/>
      <c:layout>
        <c:manualLayout>
          <c:xMode val="edge"/>
          <c:yMode val="edge"/>
          <c:x val="0.81202327969873334"/>
          <c:y val="0.25610698951648386"/>
          <c:w val="0.17285384695533093"/>
          <c:h val="0.48778571753675298"/>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86625163233907"/>
          <c:y val="0.1002853859125148"/>
          <c:w val="0.81216147697446905"/>
          <c:h val="0.73817694953028568"/>
        </c:manualLayout>
      </c:layout>
      <c:barChart>
        <c:barDir val="col"/>
        <c:grouping val="clustered"/>
        <c:varyColors val="0"/>
        <c:ser>
          <c:idx val="0"/>
          <c:order val="0"/>
          <c:tx>
            <c:v>Contratación Estatal</c:v>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FBA-4B03-A3B0-92340D6786F6}"/>
                </c:ext>
              </c:extLst>
            </c:dLbl>
            <c:dLbl>
              <c:idx val="2"/>
              <c:delete val="1"/>
              <c:extLst>
                <c:ext xmlns:c15="http://schemas.microsoft.com/office/drawing/2012/chart" uri="{CE6537A1-D6FC-4f65-9D91-7224C49458BB}"/>
                <c:ext xmlns:c16="http://schemas.microsoft.com/office/drawing/2014/chart" uri="{C3380CC4-5D6E-409C-BE32-E72D297353CC}">
                  <c16:uniqueId val="{00000001-7FBA-4B03-A3B0-92340D6786F6}"/>
                </c:ext>
              </c:extLst>
            </c:dLbl>
            <c:dLbl>
              <c:idx val="3"/>
              <c:delete val="1"/>
              <c:extLst>
                <c:ext xmlns:c15="http://schemas.microsoft.com/office/drawing/2012/chart" uri="{CE6537A1-D6FC-4f65-9D91-7224C49458BB}"/>
                <c:ext xmlns:c16="http://schemas.microsoft.com/office/drawing/2014/chart" uri="{C3380CC4-5D6E-409C-BE32-E72D297353CC}">
                  <c16:uniqueId val="{00000002-7FBA-4B03-A3B0-92340D6786F6}"/>
                </c:ext>
              </c:extLst>
            </c:dLbl>
            <c:dLbl>
              <c:idx val="4"/>
              <c:delete val="1"/>
              <c:extLst>
                <c:ext xmlns:c15="http://schemas.microsoft.com/office/drawing/2012/chart" uri="{CE6537A1-D6FC-4f65-9D91-7224C49458BB}"/>
                <c:ext xmlns:c16="http://schemas.microsoft.com/office/drawing/2014/chart" uri="{C3380CC4-5D6E-409C-BE32-E72D297353CC}">
                  <c16:uniqueId val="{00000003-7FBA-4B03-A3B0-92340D6786F6}"/>
                </c:ext>
              </c:extLst>
            </c:dLbl>
            <c:dLbl>
              <c:idx val="6"/>
              <c:delete val="1"/>
              <c:extLst>
                <c:ext xmlns:c15="http://schemas.microsoft.com/office/drawing/2012/chart" uri="{CE6537A1-D6FC-4f65-9D91-7224C49458BB}"/>
                <c:ext xmlns:c16="http://schemas.microsoft.com/office/drawing/2014/chart" uri="{C3380CC4-5D6E-409C-BE32-E72D297353CC}">
                  <c16:uniqueId val="{00000004-7FBA-4B03-A3B0-92340D6786F6}"/>
                </c:ext>
              </c:extLst>
            </c:dLbl>
            <c:dLbl>
              <c:idx val="7"/>
              <c:delete val="1"/>
              <c:extLst>
                <c:ext xmlns:c15="http://schemas.microsoft.com/office/drawing/2012/chart" uri="{CE6537A1-D6FC-4f65-9D91-7224C49458BB}"/>
                <c:ext xmlns:c16="http://schemas.microsoft.com/office/drawing/2014/chart" uri="{C3380CC4-5D6E-409C-BE32-E72D297353CC}">
                  <c16:uniqueId val="{00000005-7FBA-4B03-A3B0-92340D6786F6}"/>
                </c:ext>
              </c:extLst>
            </c:dLbl>
            <c:dLbl>
              <c:idx val="8"/>
              <c:delete val="1"/>
              <c:extLst>
                <c:ext xmlns:c15="http://schemas.microsoft.com/office/drawing/2012/chart" uri="{CE6537A1-D6FC-4f65-9D91-7224C49458BB}"/>
                <c:ext xmlns:c16="http://schemas.microsoft.com/office/drawing/2014/chart" uri="{C3380CC4-5D6E-409C-BE32-E72D297353CC}">
                  <c16:uniqueId val="{00000006-7FBA-4B03-A3B0-92340D6786F6}"/>
                </c:ext>
              </c:extLst>
            </c:dLbl>
            <c:dLbl>
              <c:idx val="9"/>
              <c:delete val="1"/>
              <c:extLst>
                <c:ext xmlns:c15="http://schemas.microsoft.com/office/drawing/2012/chart" uri="{CE6537A1-D6FC-4f65-9D91-7224C49458BB}"/>
                <c:ext xmlns:c16="http://schemas.microsoft.com/office/drawing/2014/chart" uri="{C3380CC4-5D6E-409C-BE32-E72D297353CC}">
                  <c16:uniqueId val="{00000007-7FBA-4B03-A3B0-92340D6786F6}"/>
                </c:ext>
              </c:extLst>
            </c:dLbl>
            <c:dLbl>
              <c:idx val="10"/>
              <c:delete val="1"/>
              <c:extLst>
                <c:ext xmlns:c15="http://schemas.microsoft.com/office/drawing/2012/chart" uri="{CE6537A1-D6FC-4f65-9D91-7224C49458BB}"/>
                <c:ext xmlns:c16="http://schemas.microsoft.com/office/drawing/2014/chart" uri="{C3380CC4-5D6E-409C-BE32-E72D297353CC}">
                  <c16:uniqueId val="{00000008-7FBA-4B03-A3B0-92340D6786F6}"/>
                </c:ext>
              </c:extLst>
            </c:dLbl>
            <c:dLbl>
              <c:idx val="11"/>
              <c:delete val="1"/>
              <c:extLst>
                <c:ext xmlns:c15="http://schemas.microsoft.com/office/drawing/2012/chart" uri="{CE6537A1-D6FC-4f65-9D91-7224C49458BB}"/>
                <c:ext xmlns:c16="http://schemas.microsoft.com/office/drawing/2014/chart" uri="{C3380CC4-5D6E-409C-BE32-E72D297353CC}">
                  <c16:uniqueId val="{00000009-7FBA-4B03-A3B0-92340D6786F6}"/>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Intl'!$E$98:$P$98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'[Cuadros y gráficos del Prospecto de Inversión 2023.xlsx]Gráficos Com Intl'!$E$99:$P$99</c:f>
              <c:numCache>
                <c:formatCode>0.0</c:formatCode>
                <c:ptCount val="12"/>
                <c:pt idx="0">
                  <c:v>1</c:v>
                </c:pt>
                <c:pt idx="1">
                  <c:v>0</c:v>
                </c:pt>
                <c:pt idx="2">
                  <c:v>0</c:v>
                </c:pt>
                <c:pt idx="3">
                  <c:v>0</c:v>
                </c:pt>
                <c:pt idx="4">
                  <c:v>0</c:v>
                </c:pt>
                <c:pt idx="5">
                  <c:v>0.15</c:v>
                </c:pt>
                <c:pt idx="6">
                  <c:v>0</c:v>
                </c:pt>
                <c:pt idx="7">
                  <c:v>0</c:v>
                </c:pt>
                <c:pt idx="8">
                  <c:v>0</c:v>
                </c:pt>
                <c:pt idx="9">
                  <c:v>0</c:v>
                </c:pt>
                <c:pt idx="10">
                  <c:v>0</c:v>
                </c:pt>
                <c:pt idx="11">
                  <c:v>0</c:v>
                </c:pt>
              </c:numCache>
            </c:numRef>
          </c:val>
          <c:extLst>
            <c:ext xmlns:c16="http://schemas.microsoft.com/office/drawing/2014/chart" uri="{C3380CC4-5D6E-409C-BE32-E72D297353CC}">
              <c16:uniqueId val="{0000000A-7FBA-4B03-A3B0-92340D6786F6}"/>
            </c:ext>
          </c:extLst>
        </c:ser>
        <c:ser>
          <c:idx val="1"/>
          <c:order val="1"/>
          <c:tx>
            <c:v>Concurso Internacional</c:v>
          </c:tx>
          <c:invertIfNegative val="0"/>
          <c:dLbls>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Intl'!$E$98:$P$98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'[Cuadros y gráficos del Prospecto de Inversión 2023.xlsx]Gráficos Com Intl'!$E$100:$P$100</c:f>
              <c:numCache>
                <c:formatCode>0.0</c:formatCode>
                <c:ptCount val="12"/>
                <c:pt idx="0">
                  <c:v>80</c:v>
                </c:pt>
                <c:pt idx="1">
                  <c:v>99</c:v>
                </c:pt>
                <c:pt idx="2">
                  <c:v>100</c:v>
                </c:pt>
                <c:pt idx="3">
                  <c:v>99.722373238531816</c:v>
                </c:pt>
                <c:pt idx="4">
                  <c:v>100</c:v>
                </c:pt>
                <c:pt idx="5">
                  <c:v>99.85</c:v>
                </c:pt>
                <c:pt idx="6">
                  <c:v>99.430665416743537</c:v>
                </c:pt>
                <c:pt idx="7">
                  <c:v>99.048139447308756</c:v>
                </c:pt>
                <c:pt idx="8">
                  <c:v>99.116131250862509</c:v>
                </c:pt>
                <c:pt idx="9">
                  <c:v>95.614610275918395</c:v>
                </c:pt>
                <c:pt idx="10">
                  <c:v>98.41776602902857</c:v>
                </c:pt>
                <c:pt idx="11">
                  <c:v>99.635702941116548</c:v>
                </c:pt>
              </c:numCache>
            </c:numRef>
          </c:val>
          <c:extLst>
            <c:ext xmlns:c16="http://schemas.microsoft.com/office/drawing/2014/chart" uri="{C3380CC4-5D6E-409C-BE32-E72D297353CC}">
              <c16:uniqueId val="{0000000B-7FBA-4B03-A3B0-92340D6786F6}"/>
            </c:ext>
          </c:extLst>
        </c:ser>
        <c:ser>
          <c:idx val="2"/>
          <c:order val="2"/>
          <c:tx>
            <c:strRef>
              <c:f>'[Cuadros y gráficos del Prospecto de Inversión 2023.xlsx]Gráficos Com Intl'!$A$101</c:f>
              <c:strCache>
                <c:ptCount val="1"/>
                <c:pt idx="0">
                  <c:v>Contratación Directa</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7FBA-4B03-A3B0-92340D6786F6}"/>
                </c:ext>
              </c:extLst>
            </c:dLbl>
            <c:dLbl>
              <c:idx val="3"/>
              <c:delete val="1"/>
              <c:extLst>
                <c:ext xmlns:c15="http://schemas.microsoft.com/office/drawing/2012/chart" uri="{CE6537A1-D6FC-4f65-9D91-7224C49458BB}"/>
                <c:ext xmlns:c16="http://schemas.microsoft.com/office/drawing/2014/chart" uri="{C3380CC4-5D6E-409C-BE32-E72D297353CC}">
                  <c16:uniqueId val="{0000000D-7FBA-4B03-A3B0-92340D6786F6}"/>
                </c:ext>
              </c:extLst>
            </c:dLbl>
            <c:dLbl>
              <c:idx val="4"/>
              <c:delete val="1"/>
              <c:extLst>
                <c:ext xmlns:c15="http://schemas.microsoft.com/office/drawing/2012/chart" uri="{CE6537A1-D6FC-4f65-9D91-7224C49458BB}"/>
                <c:ext xmlns:c16="http://schemas.microsoft.com/office/drawing/2014/chart" uri="{C3380CC4-5D6E-409C-BE32-E72D297353CC}">
                  <c16:uniqueId val="{0000000E-7FBA-4B03-A3B0-92340D6786F6}"/>
                </c:ext>
              </c:extLst>
            </c:dLbl>
            <c:dLbl>
              <c:idx val="5"/>
              <c:delete val="1"/>
              <c:extLst>
                <c:ext xmlns:c15="http://schemas.microsoft.com/office/drawing/2012/chart" uri="{CE6537A1-D6FC-4f65-9D91-7224C49458BB}"/>
                <c:ext xmlns:c16="http://schemas.microsoft.com/office/drawing/2014/chart" uri="{C3380CC4-5D6E-409C-BE32-E72D297353CC}">
                  <c16:uniqueId val="{0000000F-7FBA-4B03-A3B0-92340D6786F6}"/>
                </c:ext>
              </c:extLst>
            </c:dLbl>
            <c:dLbl>
              <c:idx val="11"/>
              <c:delete val="1"/>
              <c:extLst>
                <c:ext xmlns:c15="http://schemas.microsoft.com/office/drawing/2012/chart" uri="{CE6537A1-D6FC-4f65-9D91-7224C49458BB}"/>
                <c:ext xmlns:c16="http://schemas.microsoft.com/office/drawing/2014/chart" uri="{C3380CC4-5D6E-409C-BE32-E72D297353CC}">
                  <c16:uniqueId val="{00000010-7FBA-4B03-A3B0-92340D6786F6}"/>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y gráficos del Prospecto de Inversión 2023.xlsx]Gráficos Com Intl'!$E$98:$P$98</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'[Cuadros y gráficos del Prospecto de Inversión 2023.xlsx]Gráficos Com Intl'!$E$101:$P$101</c:f>
              <c:numCache>
                <c:formatCode>0.0</c:formatCode>
                <c:ptCount val="12"/>
                <c:pt idx="0">
                  <c:v>19</c:v>
                </c:pt>
                <c:pt idx="1">
                  <c:v>1</c:v>
                </c:pt>
                <c:pt idx="2">
                  <c:v>0</c:v>
                </c:pt>
                <c:pt idx="3">
                  <c:v>0.27762676146818199</c:v>
                </c:pt>
                <c:pt idx="4">
                  <c:v>0</c:v>
                </c:pt>
                <c:pt idx="5">
                  <c:v>0</c:v>
                </c:pt>
                <c:pt idx="6">
                  <c:v>0.56933458325646846</c:v>
                </c:pt>
                <c:pt idx="7">
                  <c:v>0.95186055269121994</c:v>
                </c:pt>
                <c:pt idx="8">
                  <c:v>0.88386874913724411</c:v>
                </c:pt>
                <c:pt idx="9">
                  <c:v>4.3853897240813655</c:v>
                </c:pt>
                <c:pt idx="10">
                  <c:v>1.5822339709714146</c:v>
                </c:pt>
                <c:pt idx="11">
                  <c:v>0.36429705888343999</c:v>
                </c:pt>
              </c:numCache>
            </c:numRef>
          </c:val>
          <c:extLst>
            <c:ext xmlns:c16="http://schemas.microsoft.com/office/drawing/2014/chart" uri="{C3380CC4-5D6E-409C-BE32-E72D297353CC}">
              <c16:uniqueId val="{00000011-7FBA-4B03-A3B0-92340D6786F6}"/>
            </c:ext>
          </c:extLst>
        </c:ser>
        <c:dLbls>
          <c:showLegendKey val="0"/>
          <c:showVal val="0"/>
          <c:showCatName val="0"/>
          <c:showSerName val="0"/>
          <c:showPercent val="0"/>
          <c:showBubbleSize val="0"/>
        </c:dLbls>
        <c:gapWidth val="84"/>
        <c:axId val="226020736"/>
        <c:axId val="226026624"/>
      </c:barChart>
      <c:catAx>
        <c:axId val="226020736"/>
        <c:scaling>
          <c:orientation val="minMax"/>
        </c:scaling>
        <c:delete val="0"/>
        <c:axPos val="b"/>
        <c:numFmt formatCode="General" sourceLinked="1"/>
        <c:majorTickMark val="out"/>
        <c:minorTickMark val="none"/>
        <c:tickLblPos val="nextTo"/>
        <c:crossAx val="226026624"/>
        <c:crosses val="autoZero"/>
        <c:auto val="1"/>
        <c:lblAlgn val="ctr"/>
        <c:lblOffset val="100"/>
        <c:noMultiLvlLbl val="0"/>
      </c:catAx>
      <c:valAx>
        <c:axId val="226026624"/>
        <c:scaling>
          <c:orientation val="minMax"/>
          <c:max val="100"/>
        </c:scaling>
        <c:delete val="0"/>
        <c:axPos val="l"/>
        <c:majorGridlines/>
        <c:numFmt formatCode="0" sourceLinked="0"/>
        <c:majorTickMark val="out"/>
        <c:minorTickMark val="none"/>
        <c:tickLblPos val="nextTo"/>
        <c:crossAx val="226020736"/>
        <c:crosses val="autoZero"/>
        <c:crossBetween val="between"/>
      </c:valAx>
    </c:plotArea>
    <c:legend>
      <c:legendPos val="r"/>
      <c:layout>
        <c:manualLayout>
          <c:xMode val="edge"/>
          <c:yMode val="edge"/>
          <c:x val="1.380555555555555E-2"/>
          <c:y val="0.93312404391549342"/>
          <c:w val="0.96952777777777777"/>
          <c:h val="6.2822109661710077E-2"/>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'[Capitulo 4 2023 y Prospecto.xlsx]Gráfico N°19'!$B$5</c:f>
              <c:strCache>
                <c:ptCount val="1"/>
                <c:pt idx="0">
                  <c:v>Serie A2</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2023 y Prospecto.xlsx]Gráfico N°19'!$C$3:$G$3</c:f>
              <c:numCache>
                <c:formatCode>General</c:formatCode>
                <c:ptCount val="5"/>
                <c:pt idx="0">
                  <c:v>2022</c:v>
                </c:pt>
                <c:pt idx="1">
                  <c:v>2025</c:v>
                </c:pt>
                <c:pt idx="2">
                  <c:v>2026</c:v>
                </c:pt>
                <c:pt idx="3">
                  <c:v>2028</c:v>
                </c:pt>
                <c:pt idx="4">
                  <c:v>2029</c:v>
                </c:pt>
              </c:numCache>
            </c:numRef>
          </c:cat>
          <c:val>
            <c:numRef>
              <c:f>'[Capitulo 4 2023 y Prospecto.xlsx]Gráfico N°19'!$C$5:$G$5</c:f>
              <c:numCache>
                <c:formatCode>General</c:formatCode>
                <c:ptCount val="5"/>
                <c:pt idx="3" formatCode="_(* #\ ##0_);_(* \(#\ ##0\);_(* &quot;-&quot;??_);_(@_)">
                  <c:v>29882</c:v>
                </c:pt>
              </c:numCache>
            </c:numRef>
          </c:val>
          <c:extLst>
            <c:ext xmlns:c16="http://schemas.microsoft.com/office/drawing/2014/chart" uri="{C3380CC4-5D6E-409C-BE32-E72D297353CC}">
              <c16:uniqueId val="{00000000-F9FB-4FE4-A5C1-9BCB7656E685}"/>
            </c:ext>
          </c:extLst>
        </c:ser>
        <c:ser>
          <c:idx val="2"/>
          <c:order val="1"/>
          <c:tx>
            <c:strRef>
              <c:f>'[Capitulo 4 2023 y Prospecto.xlsx]Gráfico N°19'!$B$6</c:f>
              <c:strCache>
                <c:ptCount val="1"/>
                <c:pt idx="0">
                  <c:v>Serie A4</c:v>
                </c:pt>
              </c:strCache>
            </c:strRef>
          </c:tx>
          <c:spPr>
            <a:solidFill>
              <a:srgbClr val="FFB62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2023 y Prospecto.xlsx]Gráfico N°19'!$C$3:$G$3</c:f>
              <c:numCache>
                <c:formatCode>General</c:formatCode>
                <c:ptCount val="5"/>
                <c:pt idx="0">
                  <c:v>2022</c:v>
                </c:pt>
                <c:pt idx="1">
                  <c:v>2025</c:v>
                </c:pt>
                <c:pt idx="2">
                  <c:v>2026</c:v>
                </c:pt>
                <c:pt idx="3">
                  <c:v>2028</c:v>
                </c:pt>
                <c:pt idx="4">
                  <c:v>2029</c:v>
                </c:pt>
              </c:numCache>
            </c:numRef>
          </c:cat>
          <c:val>
            <c:numRef>
              <c:f>'[Capitulo 4 2023 y Prospecto.xlsx]Gráfico N°19'!$C$6:$G$6</c:f>
              <c:numCache>
                <c:formatCode>General</c:formatCode>
                <c:ptCount val="5"/>
                <c:pt idx="4" formatCode="_(* #\ ##0_);_(* \(#\ ##0\);_(* &quot;-&quot;??_);_(@_)">
                  <c:v>23905.599999999999</c:v>
                </c:pt>
              </c:numCache>
            </c:numRef>
          </c:val>
          <c:extLst>
            <c:ext xmlns:c16="http://schemas.microsoft.com/office/drawing/2014/chart" uri="{C3380CC4-5D6E-409C-BE32-E72D297353CC}">
              <c16:uniqueId val="{00000001-F9FB-4FE4-A5C1-9BCB7656E685}"/>
            </c:ext>
          </c:extLst>
        </c:ser>
        <c:ser>
          <c:idx val="3"/>
          <c:order val="2"/>
          <c:tx>
            <c:strRef>
              <c:f>'[Capitulo 4 2023 y Prospecto.xlsx]Gráfico N°19'!$B$7</c:f>
              <c:strCache>
                <c:ptCount val="1"/>
                <c:pt idx="0">
                  <c:v>Serie A5</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2023 y Prospecto.xlsx]Gráfico N°19'!$C$3:$G$3</c:f>
              <c:numCache>
                <c:formatCode>General</c:formatCode>
                <c:ptCount val="5"/>
                <c:pt idx="0">
                  <c:v>2022</c:v>
                </c:pt>
                <c:pt idx="1">
                  <c:v>2025</c:v>
                </c:pt>
                <c:pt idx="2">
                  <c:v>2026</c:v>
                </c:pt>
                <c:pt idx="3">
                  <c:v>2028</c:v>
                </c:pt>
                <c:pt idx="4">
                  <c:v>2029</c:v>
                </c:pt>
              </c:numCache>
            </c:numRef>
          </c:cat>
          <c:val>
            <c:numRef>
              <c:f>'[Capitulo 4 2023 y Prospecto.xlsx]Gráfico N°19'!$C$7:$G$7</c:f>
              <c:numCache>
                <c:formatCode>_(* #\ ##0_);_(* \(#\ ##0\);_(* "-"??_);_(@_)</c:formatCode>
                <c:ptCount val="5"/>
                <c:pt idx="1">
                  <c:v>20000</c:v>
                </c:pt>
              </c:numCache>
            </c:numRef>
          </c:val>
          <c:extLst>
            <c:ext xmlns:c16="http://schemas.microsoft.com/office/drawing/2014/chart" uri="{C3380CC4-5D6E-409C-BE32-E72D297353CC}">
              <c16:uniqueId val="{00000002-F9FB-4FE4-A5C1-9BCB7656E685}"/>
            </c:ext>
          </c:extLst>
        </c:ser>
        <c:ser>
          <c:idx val="4"/>
          <c:order val="3"/>
          <c:tx>
            <c:strRef>
              <c:f>'[Capitulo 4 2023 y Prospecto.xlsx]Gráfico N°19'!$B$8</c:f>
              <c:strCache>
                <c:ptCount val="1"/>
                <c:pt idx="0">
                  <c:v>Serie A6</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'[Capitulo 4 2023 y Prospecto.xlsx]Gráfico N°19'!$C$3:$G$3</c:f>
              <c:numCache>
                <c:formatCode>General</c:formatCode>
                <c:ptCount val="5"/>
                <c:pt idx="0">
                  <c:v>2022</c:v>
                </c:pt>
                <c:pt idx="1">
                  <c:v>2025</c:v>
                </c:pt>
                <c:pt idx="2">
                  <c:v>2026</c:v>
                </c:pt>
                <c:pt idx="3">
                  <c:v>2028</c:v>
                </c:pt>
                <c:pt idx="4">
                  <c:v>2029</c:v>
                </c:pt>
              </c:numCache>
            </c:numRef>
          </c:cat>
          <c:val>
            <c:numRef>
              <c:f>'[Capitulo 4 2023 y Prospecto.xlsx]Gráfico N°19'!$C$8:$G$8</c:f>
              <c:numCache>
                <c:formatCode>General</c:formatCode>
                <c:ptCount val="5"/>
                <c:pt idx="2" formatCode="_(* #\ ##0_);_(* \(#\ ##0\);_(* &quot;-&quot;??_);_(@_)">
                  <c:v>5667</c:v>
                </c:pt>
              </c:numCache>
            </c:numRef>
          </c:val>
          <c:extLst>
            <c:ext xmlns:c16="http://schemas.microsoft.com/office/drawing/2014/chart" uri="{C3380CC4-5D6E-409C-BE32-E72D297353CC}">
              <c16:uniqueId val="{00000003-F9FB-4FE4-A5C1-9BCB7656E685}"/>
            </c:ext>
          </c:extLst>
        </c:ser>
        <c:dLbls>
          <c:dLblPos val="outEnd"/>
          <c:showLegendKey val="0"/>
          <c:showVal val="1"/>
          <c:showCatName val="0"/>
          <c:showSerName val="0"/>
          <c:showPercent val="0"/>
          <c:showBubbleSize val="0"/>
        </c:dLbls>
        <c:gapWidth val="10"/>
        <c:overlap val="90"/>
        <c:axId val="493882888"/>
        <c:axId val="493894696"/>
      </c:barChart>
      <c:catAx>
        <c:axId val="493882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493894696"/>
        <c:crosses val="autoZero"/>
        <c:auto val="1"/>
        <c:lblAlgn val="ctr"/>
        <c:lblOffset val="100"/>
        <c:noMultiLvlLbl val="0"/>
      </c:catAx>
      <c:valAx>
        <c:axId val="493894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00" b="1">
                    <a:effectLst/>
                  </a:rPr>
                  <a:t>millones de colones</a:t>
                </a:r>
              </a:p>
            </c:rich>
          </c:tx>
          <c:layout>
            <c:manualLayout>
              <c:xMode val="edge"/>
              <c:yMode val="edge"/>
              <c:x val="1.4111111111111111E-2"/>
              <c:y val="0.237903267973856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493882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DA0035"/>
              </a:solidFill>
              <a:ln w="19050">
                <a:solidFill>
                  <a:schemeClr val="lt1"/>
                </a:solidFill>
              </a:ln>
              <a:effectLst/>
            </c:spPr>
            <c:extLst>
              <c:ext xmlns:c16="http://schemas.microsoft.com/office/drawing/2014/chart" uri="{C3380CC4-5D6E-409C-BE32-E72D297353CC}">
                <c16:uniqueId val="{00000001-1BD6-407C-AEEB-FD8BF2EAF38B}"/>
              </c:ext>
            </c:extLst>
          </c:dPt>
          <c:dPt>
            <c:idx val="1"/>
            <c:bubble3D val="0"/>
            <c:spPr>
              <a:solidFill>
                <a:srgbClr val="F26225"/>
              </a:solidFill>
              <a:ln w="19050">
                <a:solidFill>
                  <a:schemeClr val="lt1"/>
                </a:solidFill>
              </a:ln>
              <a:effectLst/>
            </c:spPr>
            <c:extLst>
              <c:ext xmlns:c16="http://schemas.microsoft.com/office/drawing/2014/chart" uri="{C3380CC4-5D6E-409C-BE32-E72D297353CC}">
                <c16:uniqueId val="{00000003-1BD6-407C-AEEB-FD8BF2EAF38B}"/>
              </c:ext>
            </c:extLst>
          </c:dPt>
          <c:dPt>
            <c:idx val="2"/>
            <c:bubble3D val="0"/>
            <c:spPr>
              <a:solidFill>
                <a:srgbClr val="6EA516"/>
              </a:solidFill>
              <a:ln w="19050">
                <a:solidFill>
                  <a:schemeClr val="lt1"/>
                </a:solidFill>
              </a:ln>
              <a:effectLst/>
            </c:spPr>
            <c:extLst>
              <c:ext xmlns:c16="http://schemas.microsoft.com/office/drawing/2014/chart" uri="{C3380CC4-5D6E-409C-BE32-E72D297353CC}">
                <c16:uniqueId val="{00000005-1BD6-407C-AEEB-FD8BF2EAF38B}"/>
              </c:ext>
            </c:extLst>
          </c:dPt>
          <c:dPt>
            <c:idx val="3"/>
            <c:bubble3D val="0"/>
            <c:spPr>
              <a:solidFill>
                <a:srgbClr val="303030"/>
              </a:solidFill>
              <a:ln w="19050">
                <a:solidFill>
                  <a:schemeClr val="lt1"/>
                </a:solidFill>
              </a:ln>
              <a:effectLst/>
            </c:spPr>
            <c:extLst>
              <c:ext xmlns:c16="http://schemas.microsoft.com/office/drawing/2014/chart" uri="{C3380CC4-5D6E-409C-BE32-E72D297353CC}">
                <c16:uniqueId val="{00000007-1BD6-407C-AEEB-FD8BF2EAF38B}"/>
              </c:ext>
            </c:extLst>
          </c:dPt>
          <c:dPt>
            <c:idx val="4"/>
            <c:bubble3D val="0"/>
            <c:spPr>
              <a:solidFill>
                <a:srgbClr val="1A5572"/>
              </a:solidFill>
              <a:ln w="19050">
                <a:solidFill>
                  <a:schemeClr val="lt1"/>
                </a:solidFill>
              </a:ln>
              <a:effectLst/>
            </c:spPr>
            <c:extLst>
              <c:ext xmlns:c16="http://schemas.microsoft.com/office/drawing/2014/chart" uri="{C3380CC4-5D6E-409C-BE32-E72D297353CC}">
                <c16:uniqueId val="{00000009-1BD6-407C-AEEB-FD8BF2EAF38B}"/>
              </c:ext>
            </c:extLst>
          </c:dPt>
          <c:dPt>
            <c:idx val="5"/>
            <c:bubble3D val="0"/>
            <c:spPr>
              <a:solidFill>
                <a:srgbClr val="003186"/>
              </a:solidFill>
              <a:ln w="19050">
                <a:solidFill>
                  <a:schemeClr val="lt1"/>
                </a:solidFill>
              </a:ln>
              <a:effectLst/>
            </c:spPr>
            <c:extLst>
              <c:ext xmlns:c16="http://schemas.microsoft.com/office/drawing/2014/chart" uri="{C3380CC4-5D6E-409C-BE32-E72D297353CC}">
                <c16:uniqueId val="{0000000B-1BD6-407C-AEEB-FD8BF2EAF38B}"/>
              </c:ext>
            </c:extLst>
          </c:dPt>
          <c:dPt>
            <c:idx val="6"/>
            <c:bubble3D val="0"/>
            <c:spPr>
              <a:solidFill>
                <a:srgbClr val="319EA5"/>
              </a:solidFill>
              <a:ln w="19050">
                <a:solidFill>
                  <a:schemeClr val="lt1"/>
                </a:solidFill>
              </a:ln>
              <a:effectLst/>
            </c:spPr>
            <c:extLst>
              <c:ext xmlns:c16="http://schemas.microsoft.com/office/drawing/2014/chart" uri="{C3380CC4-5D6E-409C-BE32-E72D297353CC}">
                <c16:uniqueId val="{0000000D-1BD6-407C-AEEB-FD8BF2EAF38B}"/>
              </c:ext>
            </c:extLst>
          </c:dPt>
          <c:dLbls>
            <c:dLbl>
              <c:idx val="3"/>
              <c:layout>
                <c:manualLayout>
                  <c:x val="-0.15783540022547915"/>
                  <c:y val="-0.118401578687715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D6-407C-AEEB-FD8BF2EAF38B}"/>
                </c:ext>
              </c:extLst>
            </c:dLbl>
            <c:dLbl>
              <c:idx val="5"/>
              <c:layout>
                <c:manualLayout>
                  <c:x val="-0.18602029312288615"/>
                  <c:y val="-0.1184015786877158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BD6-407C-AEEB-FD8BF2EAF38B}"/>
                </c:ext>
              </c:extLst>
            </c:dLbl>
            <c:dLbl>
              <c:idx val="6"/>
              <c:layout>
                <c:manualLayout>
                  <c:x val="-0.14937993235625704"/>
                  <c:y val="-0.1652688702516033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17480270574971815"/>
                      <c:h val="0.12032560434139122"/>
                    </c:manualLayout>
                  </c15:layout>
                </c:ext>
                <c:ext xmlns:c16="http://schemas.microsoft.com/office/drawing/2014/chart" uri="{C3380CC4-5D6E-409C-BE32-E72D297353CC}">
                  <c16:uniqueId val="{0000000D-1BD6-407C-AEEB-FD8BF2EAF3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'Cap. de Almacenamiento'!$T$23:$T$29</c:f>
              <c:strCache>
                <c:ptCount val="7"/>
                <c:pt idx="0">
                  <c:v>Gas Super</c:v>
                </c:pt>
                <c:pt idx="1">
                  <c:v>Gas Plus</c:v>
                </c:pt>
                <c:pt idx="2">
                  <c:v>Diesel </c:v>
                </c:pt>
                <c:pt idx="3">
                  <c:v>Otros</c:v>
                </c:pt>
                <c:pt idx="4">
                  <c:v>Jet A1</c:v>
                </c:pt>
                <c:pt idx="5">
                  <c:v>Búnker</c:v>
                </c:pt>
                <c:pt idx="6">
                  <c:v>LPG</c:v>
                </c:pt>
              </c:strCache>
            </c:strRef>
          </c:cat>
          <c:val>
            <c:numRef>
              <c:f>'Cap. de Almacenamiento'!$U$23:$U$29</c:f>
              <c:numCache>
                <c:formatCode>_-* #,##0_-;\-* #,##0_-;_-* "-"??_-;_-@_-</c:formatCode>
                <c:ptCount val="7"/>
                <c:pt idx="0">
                  <c:v>142040.40700000001</c:v>
                </c:pt>
                <c:pt idx="1">
                  <c:v>107816.33499999999</c:v>
                </c:pt>
                <c:pt idx="2">
                  <c:v>205917.94500000001</c:v>
                </c:pt>
                <c:pt idx="3">
                  <c:v>28266.332000000002</c:v>
                </c:pt>
                <c:pt idx="4">
                  <c:v>59408.521000000001</c:v>
                </c:pt>
                <c:pt idx="5">
                  <c:v>44844.578000000001</c:v>
                </c:pt>
                <c:pt idx="6">
                  <c:v>20766.605</c:v>
                </c:pt>
              </c:numCache>
            </c:numRef>
          </c:val>
          <c:extLst>
            <c:ext xmlns:c16="http://schemas.microsoft.com/office/drawing/2014/chart" uri="{C3380CC4-5D6E-409C-BE32-E72D297353CC}">
              <c16:uniqueId val="{0000000E-1BD6-407C-AEEB-FD8BF2EAF38B}"/>
            </c:ext>
          </c:extLst>
        </c:ser>
        <c:dLbls>
          <c:showLegendKey val="0"/>
          <c:showVal val="1"/>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6074074074074"/>
          <c:y val="4.7877450980392158E-2"/>
          <c:w val="0.70490555555555545"/>
          <c:h val="0.83666771057537426"/>
        </c:manualLayout>
      </c:layout>
      <c:barChart>
        <c:barDir val="col"/>
        <c:grouping val="stacked"/>
        <c:varyColors val="0"/>
        <c:ser>
          <c:idx val="1"/>
          <c:order val="0"/>
          <c:tx>
            <c:strRef>
              <c:f>'[Estructura Precio para Prospecto 2023.xlsx]Precios 2022'!$O$34</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2022'!$Q$34:$T$34</c:f>
              <c:numCache>
                <c:formatCode>0.00</c:formatCode>
                <c:ptCount val="3"/>
                <c:pt idx="0">
                  <c:v>184.14298386601487</c:v>
                </c:pt>
                <c:pt idx="1">
                  <c:v>309.09284961175854</c:v>
                </c:pt>
                <c:pt idx="2">
                  <c:v>496.59798451445715</c:v>
                </c:pt>
              </c:numCache>
            </c:numRef>
          </c:val>
          <c:extLst>
            <c:ext xmlns:c16="http://schemas.microsoft.com/office/drawing/2014/chart" uri="{C3380CC4-5D6E-409C-BE32-E72D297353CC}">
              <c16:uniqueId val="{00000000-1B37-4EA9-B6EE-917F1F5FFA20}"/>
            </c:ext>
          </c:extLst>
        </c:ser>
        <c:ser>
          <c:idx val="2"/>
          <c:order val="1"/>
          <c:tx>
            <c:strRef>
              <c:f>'[Estructura Precio para Prospecto 2023.xlsx]Precios 2022'!$O$35</c:f>
              <c:strCache>
                <c:ptCount val="1"/>
                <c:pt idx="0">
                  <c:v>Impuesto Único</c:v>
                </c:pt>
              </c:strCache>
            </c:strRef>
          </c:tx>
          <c:spPr>
            <a:solidFill>
              <a:srgbClr val="C0000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2022'!$Q$35:$T$35</c:f>
              <c:numCache>
                <c:formatCode>0.00</c:formatCode>
                <c:ptCount val="3"/>
                <c:pt idx="0">
                  <c:v>261.95628415300547</c:v>
                </c:pt>
                <c:pt idx="1">
                  <c:v>264.49931506849316</c:v>
                </c:pt>
                <c:pt idx="2">
                  <c:v>276.02671232876713</c:v>
                </c:pt>
              </c:numCache>
            </c:numRef>
          </c:val>
          <c:extLst>
            <c:ext xmlns:c16="http://schemas.microsoft.com/office/drawing/2014/chart" uri="{C3380CC4-5D6E-409C-BE32-E72D297353CC}">
              <c16:uniqueId val="{00000001-1B37-4EA9-B6EE-917F1F5FFA20}"/>
            </c:ext>
          </c:extLst>
        </c:ser>
        <c:ser>
          <c:idx val="3"/>
          <c:order val="2"/>
          <c:tx>
            <c:strRef>
              <c:f>'[Estructura Precio para Prospecto 2023.xlsx]Precios 2022'!$O$36</c:f>
              <c:strCache>
                <c:ptCount val="1"/>
                <c:pt idx="0">
                  <c:v>Flete + Estación de Servicio</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2022'!$Q$36:$T$36</c:f>
              <c:numCache>
                <c:formatCode>0.00</c:formatCode>
                <c:ptCount val="3"/>
                <c:pt idx="0">
                  <c:v>62.550401639344273</c:v>
                </c:pt>
                <c:pt idx="1">
                  <c:v>67.239716986301374</c:v>
                </c:pt>
                <c:pt idx="2">
                  <c:v>69.45033972602738</c:v>
                </c:pt>
              </c:numCache>
            </c:numRef>
          </c:val>
          <c:extLst>
            <c:ext xmlns:c16="http://schemas.microsoft.com/office/drawing/2014/chart" uri="{C3380CC4-5D6E-409C-BE32-E72D297353CC}">
              <c16:uniqueId val="{00000002-1B37-4EA9-B6EE-917F1F5FFA20}"/>
            </c:ext>
          </c:extLst>
        </c:ser>
        <c:ser>
          <c:idx val="4"/>
          <c:order val="3"/>
          <c:tx>
            <c:strRef>
              <c:f>'[Estructura Precio para Prospecto 2023.xlsx]Precios 2022'!$O$37</c:f>
              <c:strCache>
                <c:ptCount val="1"/>
                <c:pt idx="0">
                  <c:v>Margen RECOPE</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2022'!$Q$37:$T$37</c:f>
              <c:numCache>
                <c:formatCode>0.00</c:formatCode>
                <c:ptCount val="3"/>
                <c:pt idx="0">
                  <c:v>47.33</c:v>
                </c:pt>
                <c:pt idx="1">
                  <c:v>47.33</c:v>
                </c:pt>
                <c:pt idx="2">
                  <c:v>42.630328767123295</c:v>
                </c:pt>
              </c:numCache>
            </c:numRef>
          </c:val>
          <c:extLst>
            <c:ext xmlns:c16="http://schemas.microsoft.com/office/drawing/2014/chart" uri="{C3380CC4-5D6E-409C-BE32-E72D297353CC}">
              <c16:uniqueId val="{00000003-1B37-4EA9-B6EE-917F1F5FFA20}"/>
            </c:ext>
          </c:extLst>
        </c:ser>
        <c:ser>
          <c:idx val="5"/>
          <c:order val="4"/>
          <c:tx>
            <c:strRef>
              <c:f>'[Estructura Precio para Prospecto 2023.xlsx]Precios 2022'!$O$38</c:f>
              <c:strCache>
                <c:ptCount val="1"/>
                <c:pt idx="0">
                  <c:v>Subsidios y canon</c:v>
                </c:pt>
              </c:strCache>
            </c:strRef>
          </c:tx>
          <c:spPr>
            <a:solidFill>
              <a:schemeClr val="accent4"/>
            </a:solidFill>
          </c:spPr>
          <c:invertIfNegative val="0"/>
          <c:dLbls>
            <c:dLbl>
              <c:idx val="0"/>
              <c:layout>
                <c:manualLayout>
                  <c:x val="4.703703703703703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7-4EA9-B6EE-917F1F5FFA20}"/>
                </c:ext>
              </c:extLst>
            </c:dLbl>
            <c:dLbl>
              <c:idx val="1"/>
              <c:layout>
                <c:manualLayout>
                  <c:x val="0"/>
                  <c:y val="-4.98039215686274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7-4EA9-B6EE-917F1F5FFA20}"/>
                </c:ext>
              </c:extLst>
            </c:dLbl>
            <c:dLbl>
              <c:idx val="2"/>
              <c:layout>
                <c:manualLayout>
                  <c:x val="4.7037037037037039E-3"/>
                  <c:y val="-4.15032679738562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37-4EA9-B6EE-917F1F5FFA2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2022'!$Q$38:$T$38</c:f>
              <c:numCache>
                <c:formatCode>0.00</c:formatCode>
                <c:ptCount val="3"/>
                <c:pt idx="0">
                  <c:v>13.239234972677597</c:v>
                </c:pt>
                <c:pt idx="1">
                  <c:v>10.734191780821918</c:v>
                </c:pt>
                <c:pt idx="2">
                  <c:v>4.5100547945205482</c:v>
                </c:pt>
              </c:numCache>
            </c:numRef>
          </c:val>
          <c:extLst>
            <c:ext xmlns:c16="http://schemas.microsoft.com/office/drawing/2014/chart" uri="{C3380CC4-5D6E-409C-BE32-E72D297353CC}">
              <c16:uniqueId val="{00000007-1B37-4EA9-B6EE-917F1F5FFA20}"/>
            </c:ext>
          </c:extLst>
        </c:ser>
        <c:dLbls>
          <c:dLblPos val="ctr"/>
          <c:showLegendKey val="0"/>
          <c:showVal val="1"/>
          <c:showCatName val="0"/>
          <c:showSerName val="0"/>
          <c:showPercent val="0"/>
          <c:showBubbleSize val="0"/>
        </c:dLbls>
        <c:gapWidth val="80"/>
        <c:overlap val="100"/>
        <c:axId val="167785984"/>
        <c:axId val="167787520"/>
      </c:barChart>
      <c:catAx>
        <c:axId val="167785984"/>
        <c:scaling>
          <c:orientation val="minMax"/>
        </c:scaling>
        <c:delete val="0"/>
        <c:axPos val="b"/>
        <c:numFmt formatCode="General" sourceLinked="1"/>
        <c:majorTickMark val="out"/>
        <c:minorTickMark val="none"/>
        <c:tickLblPos val="nextTo"/>
        <c:txPr>
          <a:bodyPr/>
          <a:lstStyle/>
          <a:p>
            <a:pPr>
              <a:defRPr sz="1200" b="1"/>
            </a:pPr>
            <a:endParaRPr lang="es-CR"/>
          </a:p>
        </c:txPr>
        <c:crossAx val="167787520"/>
        <c:crosses val="autoZero"/>
        <c:auto val="1"/>
        <c:lblAlgn val="ctr"/>
        <c:lblOffset val="100"/>
        <c:noMultiLvlLbl val="0"/>
      </c:catAx>
      <c:valAx>
        <c:axId val="167787520"/>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8810740740740742E-2"/>
              <c:y val="0.2752705882352941"/>
            </c:manualLayout>
          </c:layout>
          <c:overlay val="0"/>
        </c:title>
        <c:numFmt formatCode="0" sourceLinked="0"/>
        <c:majorTickMark val="out"/>
        <c:minorTickMark val="none"/>
        <c:tickLblPos val="nextTo"/>
        <c:txPr>
          <a:bodyPr/>
          <a:lstStyle/>
          <a:p>
            <a:pPr>
              <a:defRPr sz="900"/>
            </a:pPr>
            <a:endParaRPr lang="es-CR"/>
          </a:p>
        </c:txPr>
        <c:crossAx val="167785984"/>
        <c:crosses val="autoZero"/>
        <c:crossBetween val="between"/>
      </c:valAx>
    </c:plotArea>
    <c:legend>
      <c:legendPos val="r"/>
      <c:layout>
        <c:manualLayout>
          <c:xMode val="edge"/>
          <c:yMode val="edge"/>
          <c:x val="0.83053574074074077"/>
          <c:y val="0.18325113859918613"/>
          <c:w val="0.15763166666666667"/>
          <c:h val="0.63071960816018546"/>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9740740740741"/>
          <c:y val="3.777016205155688E-2"/>
          <c:w val="0.67820222222222226"/>
          <c:h val="0.85507570728815863"/>
        </c:manualLayout>
      </c:layout>
      <c:barChart>
        <c:barDir val="col"/>
        <c:grouping val="stacked"/>
        <c:varyColors val="0"/>
        <c:ser>
          <c:idx val="1"/>
          <c:order val="0"/>
          <c:tx>
            <c:strRef>
              <c:f>'[Estructura Precio para Prospecto 2023.xlsx]Precios 2022'!$O$42</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2022'!$Q$42:$T$42</c:f>
              <c:numCache>
                <c:formatCode>0.00</c:formatCode>
                <c:ptCount val="3"/>
                <c:pt idx="0">
                  <c:v>174.37533728541777</c:v>
                </c:pt>
                <c:pt idx="1">
                  <c:v>302.36458214191322</c:v>
                </c:pt>
                <c:pt idx="2">
                  <c:v>488.97248759168821</c:v>
                </c:pt>
              </c:numCache>
            </c:numRef>
          </c:val>
          <c:extLst>
            <c:ext xmlns:c16="http://schemas.microsoft.com/office/drawing/2014/chart" uri="{C3380CC4-5D6E-409C-BE32-E72D297353CC}">
              <c16:uniqueId val="{00000000-0B58-4EBE-A5B6-133A07436A0B}"/>
            </c:ext>
          </c:extLst>
        </c:ser>
        <c:ser>
          <c:idx val="2"/>
          <c:order val="1"/>
          <c:tx>
            <c:strRef>
              <c:f>'[Estructura Precio para Prospecto 2023.xlsx]Precios 2022'!$O$43</c:f>
              <c:strCache>
                <c:ptCount val="1"/>
                <c:pt idx="0">
                  <c:v>Impuesto Único</c:v>
                </c:pt>
              </c:strCache>
            </c:strRef>
          </c:tx>
          <c:spPr>
            <a:solidFill>
              <a:srgbClr val="C0000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2022'!$Q$43:$T$43</c:f>
              <c:numCache>
                <c:formatCode>0.00</c:formatCode>
                <c:ptCount val="3"/>
                <c:pt idx="0">
                  <c:v>250.20628415300547</c:v>
                </c:pt>
                <c:pt idx="1">
                  <c:v>252.66575342465754</c:v>
                </c:pt>
                <c:pt idx="2">
                  <c:v>263.87054794520549</c:v>
                </c:pt>
              </c:numCache>
            </c:numRef>
          </c:val>
          <c:extLst>
            <c:ext xmlns:c16="http://schemas.microsoft.com/office/drawing/2014/chart" uri="{C3380CC4-5D6E-409C-BE32-E72D297353CC}">
              <c16:uniqueId val="{00000001-0B58-4EBE-A5B6-133A07436A0B}"/>
            </c:ext>
          </c:extLst>
        </c:ser>
        <c:ser>
          <c:idx val="3"/>
          <c:order val="2"/>
          <c:tx>
            <c:strRef>
              <c:f>'[Estructura Precio para Prospecto 2023.xlsx]Precios 2022'!$O$44</c:f>
              <c:strCache>
                <c:ptCount val="1"/>
                <c:pt idx="0">
                  <c:v>Flete + Estación de Servicio</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2022'!$Q$44:$T$44</c:f>
              <c:numCache>
                <c:formatCode>0.00</c:formatCode>
                <c:ptCount val="3"/>
                <c:pt idx="0">
                  <c:v>62.550401639344273</c:v>
                </c:pt>
                <c:pt idx="1">
                  <c:v>67.239716986301374</c:v>
                </c:pt>
                <c:pt idx="2">
                  <c:v>69.45033972602738</c:v>
                </c:pt>
              </c:numCache>
            </c:numRef>
          </c:val>
          <c:extLst>
            <c:ext xmlns:c16="http://schemas.microsoft.com/office/drawing/2014/chart" uri="{C3380CC4-5D6E-409C-BE32-E72D297353CC}">
              <c16:uniqueId val="{00000002-0B58-4EBE-A5B6-133A07436A0B}"/>
            </c:ext>
          </c:extLst>
        </c:ser>
        <c:ser>
          <c:idx val="4"/>
          <c:order val="3"/>
          <c:tx>
            <c:strRef>
              <c:f>'[Estructura Precio para Prospecto 2023.xlsx]Precios 2022'!$O$45</c:f>
              <c:strCache>
                <c:ptCount val="1"/>
                <c:pt idx="0">
                  <c:v>Margen RECOPE</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2022'!$Q$45:$T$45</c:f>
              <c:numCache>
                <c:formatCode>0.00</c:formatCode>
                <c:ptCount val="3"/>
                <c:pt idx="0">
                  <c:v>47.010000000000012</c:v>
                </c:pt>
                <c:pt idx="1">
                  <c:v>47.01</c:v>
                </c:pt>
                <c:pt idx="2">
                  <c:v>42.473890410958901</c:v>
                </c:pt>
              </c:numCache>
            </c:numRef>
          </c:val>
          <c:extLst>
            <c:ext xmlns:c16="http://schemas.microsoft.com/office/drawing/2014/chart" uri="{C3380CC4-5D6E-409C-BE32-E72D297353CC}">
              <c16:uniqueId val="{00000003-0B58-4EBE-A5B6-133A07436A0B}"/>
            </c:ext>
          </c:extLst>
        </c:ser>
        <c:ser>
          <c:idx val="5"/>
          <c:order val="4"/>
          <c:tx>
            <c:strRef>
              <c:f>'[Estructura Precio para Prospecto 2023.xlsx]Precios 2022'!$O$46</c:f>
              <c:strCache>
                <c:ptCount val="1"/>
                <c:pt idx="0">
                  <c:v>Subsidios y canon</c:v>
                </c:pt>
              </c:strCache>
            </c:strRef>
          </c:tx>
          <c:spPr>
            <a:solidFill>
              <a:schemeClr val="accent4"/>
            </a:solidFill>
          </c:spPr>
          <c:invertIfNegative val="0"/>
          <c:dLbls>
            <c:dLbl>
              <c:idx val="0"/>
              <c:layout>
                <c:manualLayout>
                  <c:x val="0"/>
                  <c:y val="-3.902100297803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58-4EBE-A5B6-133A07436A0B}"/>
                </c:ext>
              </c:extLst>
            </c:dLbl>
            <c:dLbl>
              <c:idx val="1"/>
              <c:layout>
                <c:manualLayout>
                  <c:x val="-1.9697642735013042E-3"/>
                  <c:y val="-3.955012511230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58-4EBE-A5B6-133A07436A0B}"/>
                </c:ext>
              </c:extLst>
            </c:dLbl>
            <c:dLbl>
              <c:idx val="2"/>
              <c:layout>
                <c:manualLayout>
                  <c:x val="5.9092928205039122E-3"/>
                  <c:y val="-3.6254281352946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58-4EBE-A5B6-133A07436A0B}"/>
                </c:ext>
              </c:extLst>
            </c:dLbl>
            <c:dLbl>
              <c:idx val="3"/>
              <c:layout>
                <c:manualLayout>
                  <c:x val="0"/>
                  <c:y val="-2.9662593834228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58-4EBE-A5B6-133A07436A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2022'!$Q$46:$T$46</c:f>
              <c:numCache>
                <c:formatCode>0.00</c:formatCode>
                <c:ptCount val="3"/>
                <c:pt idx="0">
                  <c:v>13.240027322404373</c:v>
                </c:pt>
                <c:pt idx="1">
                  <c:v>10.74005479452055</c:v>
                </c:pt>
                <c:pt idx="2">
                  <c:v>4.5820547945205483</c:v>
                </c:pt>
              </c:numCache>
            </c:numRef>
          </c:val>
          <c:extLst>
            <c:ext xmlns:c16="http://schemas.microsoft.com/office/drawing/2014/chart" uri="{C3380CC4-5D6E-409C-BE32-E72D297353CC}">
              <c16:uniqueId val="{00000008-0B58-4EBE-A5B6-133A07436A0B}"/>
            </c:ext>
          </c:extLst>
        </c:ser>
        <c:dLbls>
          <c:showLegendKey val="0"/>
          <c:showVal val="0"/>
          <c:showCatName val="0"/>
          <c:showSerName val="0"/>
          <c:showPercent val="0"/>
          <c:showBubbleSize val="0"/>
        </c:dLbls>
        <c:gapWidth val="80"/>
        <c:overlap val="100"/>
        <c:axId val="167752448"/>
        <c:axId val="167753984"/>
      </c:barChart>
      <c:catAx>
        <c:axId val="167752448"/>
        <c:scaling>
          <c:orientation val="minMax"/>
        </c:scaling>
        <c:delete val="0"/>
        <c:axPos val="b"/>
        <c:numFmt formatCode="General" sourceLinked="1"/>
        <c:majorTickMark val="out"/>
        <c:minorTickMark val="none"/>
        <c:tickLblPos val="nextTo"/>
        <c:txPr>
          <a:bodyPr/>
          <a:lstStyle/>
          <a:p>
            <a:pPr>
              <a:defRPr sz="1200" b="1"/>
            </a:pPr>
            <a:endParaRPr lang="es-CR"/>
          </a:p>
        </c:txPr>
        <c:crossAx val="167753984"/>
        <c:crosses val="autoZero"/>
        <c:auto val="1"/>
        <c:lblAlgn val="ctr"/>
        <c:lblOffset val="100"/>
        <c:noMultiLvlLbl val="0"/>
      </c:catAx>
      <c:valAx>
        <c:axId val="167753984"/>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2.2828319657035596E-2"/>
              <c:y val="0.30294790518471604"/>
            </c:manualLayout>
          </c:layout>
          <c:overlay val="0"/>
        </c:title>
        <c:numFmt formatCode="0" sourceLinked="0"/>
        <c:majorTickMark val="out"/>
        <c:minorTickMark val="none"/>
        <c:tickLblPos val="nextTo"/>
        <c:txPr>
          <a:bodyPr/>
          <a:lstStyle/>
          <a:p>
            <a:pPr>
              <a:defRPr sz="900"/>
            </a:pPr>
            <a:endParaRPr lang="es-CR"/>
          </a:p>
        </c:txPr>
        <c:crossAx val="167752448"/>
        <c:crosses val="autoZero"/>
        <c:crossBetween val="between"/>
      </c:valAx>
    </c:plotArea>
    <c:legend>
      <c:legendPos val="r"/>
      <c:layout>
        <c:manualLayout>
          <c:xMode val="edge"/>
          <c:yMode val="edge"/>
          <c:x val="0.79099685185185187"/>
          <c:y val="0.14679868400625751"/>
          <c:w val="0.20900314814814816"/>
          <c:h val="0.64603858417224946"/>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0833242241831"/>
          <c:y val="3.5240360055664173E-2"/>
          <c:w val="0.68509127368536105"/>
          <c:h val="0.85760561808968494"/>
        </c:manualLayout>
      </c:layout>
      <c:barChart>
        <c:barDir val="col"/>
        <c:grouping val="stacked"/>
        <c:varyColors val="0"/>
        <c:ser>
          <c:idx val="1"/>
          <c:order val="0"/>
          <c:tx>
            <c:strRef>
              <c:f>'[Estructura Precio para Prospecto 2023.xlsx]Precios 2022'!$O$50</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2022'!$Q$50:$T$50</c:f>
              <c:numCache>
                <c:formatCode>0.00</c:formatCode>
                <c:ptCount val="3"/>
                <c:pt idx="0">
                  <c:v>190.92199688734934</c:v>
                </c:pt>
                <c:pt idx="1">
                  <c:v>294.9365235419753</c:v>
                </c:pt>
                <c:pt idx="2">
                  <c:v>562.82023499913964</c:v>
                </c:pt>
              </c:numCache>
            </c:numRef>
          </c:val>
          <c:extLst>
            <c:ext xmlns:c16="http://schemas.microsoft.com/office/drawing/2014/chart" uri="{C3380CC4-5D6E-409C-BE32-E72D297353CC}">
              <c16:uniqueId val="{00000000-E4DD-4DD5-820A-D7D752F86C6E}"/>
            </c:ext>
          </c:extLst>
        </c:ser>
        <c:ser>
          <c:idx val="2"/>
          <c:order val="1"/>
          <c:tx>
            <c:strRef>
              <c:f>'[Estructura Precio para Prospecto 2023.xlsx]Precios 2022'!$O$51</c:f>
              <c:strCache>
                <c:ptCount val="1"/>
                <c:pt idx="0">
                  <c:v>Impuesto Único</c:v>
                </c:pt>
              </c:strCache>
            </c:strRef>
          </c:tx>
          <c:spPr>
            <a:solidFill>
              <a:srgbClr val="C0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2022'!$Q$51:$T$51</c:f>
              <c:numCache>
                <c:formatCode>0.00</c:formatCode>
                <c:ptCount val="3"/>
                <c:pt idx="0">
                  <c:v>147.78142076502732</c:v>
                </c:pt>
                <c:pt idx="1">
                  <c:v>149.33287671232875</c:v>
                </c:pt>
                <c:pt idx="2">
                  <c:v>149.33287671232875</c:v>
                </c:pt>
              </c:numCache>
            </c:numRef>
          </c:val>
          <c:extLst>
            <c:ext xmlns:c16="http://schemas.microsoft.com/office/drawing/2014/chart" uri="{C3380CC4-5D6E-409C-BE32-E72D297353CC}">
              <c16:uniqueId val="{00000001-E4DD-4DD5-820A-D7D752F86C6E}"/>
            </c:ext>
          </c:extLst>
        </c:ser>
        <c:ser>
          <c:idx val="3"/>
          <c:order val="2"/>
          <c:tx>
            <c:strRef>
              <c:f>'[Estructura Precio para Prospecto 2023.xlsx]Precios 2022'!$O$52</c:f>
              <c:strCache>
                <c:ptCount val="1"/>
                <c:pt idx="0">
                  <c:v>Flete + Estación de Servicio</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2022'!$Q$52:$T$52</c:f>
              <c:numCache>
                <c:formatCode>0.00</c:formatCode>
                <c:ptCount val="3"/>
                <c:pt idx="0">
                  <c:v>62.550401639344273</c:v>
                </c:pt>
                <c:pt idx="1">
                  <c:v>67.239716986301374</c:v>
                </c:pt>
                <c:pt idx="2">
                  <c:v>67.239716986301374</c:v>
                </c:pt>
              </c:numCache>
            </c:numRef>
          </c:val>
          <c:extLst>
            <c:ext xmlns:c16="http://schemas.microsoft.com/office/drawing/2014/chart" uri="{C3380CC4-5D6E-409C-BE32-E72D297353CC}">
              <c16:uniqueId val="{00000002-E4DD-4DD5-820A-D7D752F86C6E}"/>
            </c:ext>
          </c:extLst>
        </c:ser>
        <c:ser>
          <c:idx val="4"/>
          <c:order val="3"/>
          <c:tx>
            <c:strRef>
              <c:f>'[Estructura Precio para Prospecto 2023.xlsx]Precios 2022'!$O$53</c:f>
              <c:strCache>
                <c:ptCount val="1"/>
                <c:pt idx="0">
                  <c:v>Margen RECOPE</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2022'!$Q$53:$T$53</c:f>
              <c:numCache>
                <c:formatCode>0.00</c:formatCode>
                <c:ptCount val="3"/>
                <c:pt idx="0">
                  <c:v>47.67</c:v>
                </c:pt>
                <c:pt idx="1">
                  <c:v>47.67</c:v>
                </c:pt>
                <c:pt idx="2">
                  <c:v>47.67</c:v>
                </c:pt>
              </c:numCache>
            </c:numRef>
          </c:val>
          <c:extLst>
            <c:ext xmlns:c16="http://schemas.microsoft.com/office/drawing/2014/chart" uri="{C3380CC4-5D6E-409C-BE32-E72D297353CC}">
              <c16:uniqueId val="{00000003-E4DD-4DD5-820A-D7D752F86C6E}"/>
            </c:ext>
          </c:extLst>
        </c:ser>
        <c:ser>
          <c:idx val="5"/>
          <c:order val="4"/>
          <c:tx>
            <c:strRef>
              <c:f>'[Estructura Precio para Prospecto 2023.xlsx]Precios 2022'!$O$54</c:f>
              <c:strCache>
                <c:ptCount val="1"/>
                <c:pt idx="0">
                  <c:v>Subsidios y canon</c:v>
                </c:pt>
              </c:strCache>
            </c:strRef>
          </c:tx>
          <c:spPr>
            <a:solidFill>
              <a:schemeClr val="accent4"/>
            </a:solidFill>
          </c:spPr>
          <c:invertIfNegative val="0"/>
          <c:dLbls>
            <c:dLbl>
              <c:idx val="0"/>
              <c:layout>
                <c:manualLayout>
                  <c:x val="-2.351851851851851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DD-4DD5-820A-D7D752F86C6E}"/>
                </c:ext>
              </c:extLst>
            </c:dLbl>
            <c:dLbl>
              <c:idx val="1"/>
              <c:layout>
                <c:manualLayout>
                  <c:x val="0"/>
                  <c:y val="-5.8104575163398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DD-4DD5-820A-D7D752F86C6E}"/>
                </c:ext>
              </c:extLst>
            </c:dLbl>
            <c:dLbl>
              <c:idx val="2"/>
              <c:layout>
                <c:manualLayout>
                  <c:x val="-4.7037037037037897E-3"/>
                  <c:y val="-2.90522875816993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DD-4DD5-820A-D7D752F86C6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2022'!$Q$54:$T$54</c:f>
              <c:numCache>
                <c:formatCode>0.00</c:formatCode>
                <c:ptCount val="3"/>
                <c:pt idx="0">
                  <c:v>13.238661202185794</c:v>
                </c:pt>
                <c:pt idx="1">
                  <c:v>10.733205479452055</c:v>
                </c:pt>
                <c:pt idx="2">
                  <c:v>10.733205479452055</c:v>
                </c:pt>
              </c:numCache>
            </c:numRef>
          </c:val>
          <c:extLst>
            <c:ext xmlns:c16="http://schemas.microsoft.com/office/drawing/2014/chart" uri="{C3380CC4-5D6E-409C-BE32-E72D297353CC}">
              <c16:uniqueId val="{00000007-E4DD-4DD5-820A-D7D752F86C6E}"/>
            </c:ext>
          </c:extLst>
        </c:ser>
        <c:dLbls>
          <c:dLblPos val="ctr"/>
          <c:showLegendKey val="0"/>
          <c:showVal val="1"/>
          <c:showCatName val="0"/>
          <c:showSerName val="0"/>
          <c:showPercent val="0"/>
          <c:showBubbleSize val="0"/>
        </c:dLbls>
        <c:gapWidth val="80"/>
        <c:overlap val="100"/>
        <c:axId val="167998976"/>
        <c:axId val="168000512"/>
      </c:barChart>
      <c:catAx>
        <c:axId val="167998976"/>
        <c:scaling>
          <c:orientation val="minMax"/>
        </c:scaling>
        <c:delete val="0"/>
        <c:axPos val="b"/>
        <c:numFmt formatCode="General" sourceLinked="1"/>
        <c:majorTickMark val="out"/>
        <c:minorTickMark val="none"/>
        <c:tickLblPos val="nextTo"/>
        <c:txPr>
          <a:bodyPr/>
          <a:lstStyle/>
          <a:p>
            <a:pPr>
              <a:defRPr sz="1200" b="1"/>
            </a:pPr>
            <a:endParaRPr lang="es-CR"/>
          </a:p>
        </c:txPr>
        <c:crossAx val="168000512"/>
        <c:crosses val="autoZero"/>
        <c:auto val="1"/>
        <c:lblAlgn val="ctr"/>
        <c:lblOffset val="100"/>
        <c:noMultiLvlLbl val="0"/>
      </c:catAx>
      <c:valAx>
        <c:axId val="168000512"/>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4939939613519068E-2"/>
              <c:y val="0.30599390441434116"/>
            </c:manualLayout>
          </c:layout>
          <c:overlay val="0"/>
        </c:title>
        <c:numFmt formatCode="0" sourceLinked="0"/>
        <c:majorTickMark val="out"/>
        <c:minorTickMark val="none"/>
        <c:tickLblPos val="nextTo"/>
        <c:txPr>
          <a:bodyPr/>
          <a:lstStyle/>
          <a:p>
            <a:pPr>
              <a:defRPr sz="900"/>
            </a:pPr>
            <a:endParaRPr lang="es-CR"/>
          </a:p>
        </c:txPr>
        <c:crossAx val="167998976"/>
        <c:crosses val="autoZero"/>
        <c:crossBetween val="between"/>
      </c:valAx>
    </c:plotArea>
    <c:legend>
      <c:legendPos val="r"/>
      <c:layout>
        <c:manualLayout>
          <c:xMode val="edge"/>
          <c:yMode val="edge"/>
          <c:x val="0.8014283333333333"/>
          <c:y val="0.19655294117647054"/>
          <c:w val="0.18446055555555554"/>
          <c:h val="0.54463888888888889"/>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43564417319"/>
          <c:y val="4.517560156079304E-2"/>
          <c:w val="0.69466526812178975"/>
          <c:h val="0.84767010533254494"/>
        </c:manualLayout>
      </c:layout>
      <c:barChart>
        <c:barDir val="col"/>
        <c:grouping val="stacked"/>
        <c:varyColors val="0"/>
        <c:ser>
          <c:idx val="1"/>
          <c:order val="0"/>
          <c:tx>
            <c:strRef>
              <c:f>'[Estructura Precio para Prospecto 2023.xlsx]Precios 2022'!$O$73</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2022'!$Q$73:$T$73</c:f>
              <c:numCache>
                <c:formatCode>0.00</c:formatCode>
                <c:ptCount val="3"/>
                <c:pt idx="0">
                  <c:v>182.24203193703735</c:v>
                </c:pt>
                <c:pt idx="1">
                  <c:v>296.51146490887476</c:v>
                </c:pt>
                <c:pt idx="2">
                  <c:v>296.51146490887476</c:v>
                </c:pt>
              </c:numCache>
            </c:numRef>
          </c:val>
          <c:extLst>
            <c:ext xmlns:c16="http://schemas.microsoft.com/office/drawing/2014/chart" uri="{C3380CC4-5D6E-409C-BE32-E72D297353CC}">
              <c16:uniqueId val="{00000000-E9D3-43B3-BFC7-0D837DE256F9}"/>
            </c:ext>
          </c:extLst>
        </c:ser>
        <c:ser>
          <c:idx val="2"/>
          <c:order val="1"/>
          <c:tx>
            <c:strRef>
              <c:f>'[Estructura Precio para Prospecto 2023.xlsx]Precios 2022'!$O$74</c:f>
              <c:strCache>
                <c:ptCount val="1"/>
                <c:pt idx="0">
                  <c:v>Impuesto Único</c:v>
                </c:pt>
              </c:strCache>
            </c:strRef>
          </c:tx>
          <c:spPr>
            <a:solidFill>
              <a:srgbClr val="C0000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2022'!$Q$74:$T$74</c:f>
              <c:numCache>
                <c:formatCode>0.00</c:formatCode>
                <c:ptCount val="3"/>
                <c:pt idx="0">
                  <c:v>150.03142076502732</c:v>
                </c:pt>
                <c:pt idx="1">
                  <c:v>151.58287671232875</c:v>
                </c:pt>
                <c:pt idx="2">
                  <c:v>151.58287671232875</c:v>
                </c:pt>
              </c:numCache>
            </c:numRef>
          </c:val>
          <c:extLst>
            <c:ext xmlns:c16="http://schemas.microsoft.com/office/drawing/2014/chart" uri="{C3380CC4-5D6E-409C-BE32-E72D297353CC}">
              <c16:uniqueId val="{00000001-E9D3-43B3-BFC7-0D837DE256F9}"/>
            </c:ext>
          </c:extLst>
        </c:ser>
        <c:ser>
          <c:idx val="3"/>
          <c:order val="2"/>
          <c:tx>
            <c:strRef>
              <c:f>'[Estructura Precio para Prospecto 2023.xlsx]Precios 2022'!$O$75</c:f>
              <c:strCache>
                <c:ptCount val="1"/>
                <c:pt idx="0">
                  <c:v>Flete + Estación de Servicio</c:v>
                </c:pt>
              </c:strCache>
            </c:strRef>
          </c:tx>
          <c:spPr>
            <a:solidFill>
              <a:schemeClr val="accent6"/>
            </a:solidFill>
          </c:spPr>
          <c:invertIfNegative val="0"/>
          <c:dLbls>
            <c:dLbl>
              <c:idx val="0"/>
              <c:layout>
                <c:manualLayout>
                  <c:x val="9.6425925925925887E-2"/>
                  <c:y val="-7.608844563851948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D3-43B3-BFC7-0D837DE256F9}"/>
                </c:ext>
              </c:extLst>
            </c:dLbl>
            <c:dLbl>
              <c:idx val="1"/>
              <c:layout>
                <c:manualLayout>
                  <c:x val="0.10112962962962962"/>
                  <c:y val="-3.804422281925974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D3-43B3-BFC7-0D837DE256F9}"/>
                </c:ext>
              </c:extLst>
            </c:dLbl>
            <c:dLbl>
              <c:idx val="2"/>
              <c:layout>
                <c:manualLayout>
                  <c:x val="0.1034814814814814"/>
                  <c:y val="4.15032679738562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D3-43B3-BFC7-0D837DE256F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2022'!$Q$75:$T$75</c:f>
              <c:numCache>
                <c:formatCode>0.00</c:formatCode>
                <c:ptCount val="3"/>
                <c:pt idx="0">
                  <c:v>16.022407103825138</c:v>
                </c:pt>
                <c:pt idx="1">
                  <c:v>17.227277534246575</c:v>
                </c:pt>
                <c:pt idx="2">
                  <c:v>17.227277534246575</c:v>
                </c:pt>
              </c:numCache>
            </c:numRef>
          </c:val>
          <c:extLst>
            <c:ext xmlns:c16="http://schemas.microsoft.com/office/drawing/2014/chart" uri="{C3380CC4-5D6E-409C-BE32-E72D297353CC}">
              <c16:uniqueId val="{00000005-E9D3-43B3-BFC7-0D837DE256F9}"/>
            </c:ext>
          </c:extLst>
        </c:ser>
        <c:ser>
          <c:idx val="4"/>
          <c:order val="3"/>
          <c:tx>
            <c:strRef>
              <c:f>'[Estructura Precio para Prospecto 2023.xlsx]Precios 2022'!$O$76</c:f>
              <c:strCache>
                <c:ptCount val="1"/>
                <c:pt idx="0">
                  <c:v>Margen RECOPE</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2022'!$Q$76:$T$76</c:f>
              <c:numCache>
                <c:formatCode>0.00</c:formatCode>
                <c:ptCount val="3"/>
                <c:pt idx="0">
                  <c:v>77.430000000000007</c:v>
                </c:pt>
                <c:pt idx="1">
                  <c:v>77.430000000000007</c:v>
                </c:pt>
                <c:pt idx="2">
                  <c:v>77.430000000000007</c:v>
                </c:pt>
              </c:numCache>
            </c:numRef>
          </c:val>
          <c:extLst>
            <c:ext xmlns:c16="http://schemas.microsoft.com/office/drawing/2014/chart" uri="{C3380CC4-5D6E-409C-BE32-E72D297353CC}">
              <c16:uniqueId val="{00000006-E9D3-43B3-BFC7-0D837DE256F9}"/>
            </c:ext>
          </c:extLst>
        </c:ser>
        <c:ser>
          <c:idx val="5"/>
          <c:order val="4"/>
          <c:tx>
            <c:strRef>
              <c:f>'[Estructura Precio para Prospecto 2023.xlsx]Precios 2022'!$O$77</c:f>
              <c:strCache>
                <c:ptCount val="1"/>
                <c:pt idx="0">
                  <c:v>Subsidios y canon</c:v>
                </c:pt>
              </c:strCache>
            </c:strRef>
          </c:tx>
          <c:spPr>
            <a:solidFill>
              <a:schemeClr val="accent4"/>
            </a:solidFill>
          </c:spPr>
          <c:invertIfNegative val="0"/>
          <c:dLbls>
            <c:dLbl>
              <c:idx val="0"/>
              <c:layout>
                <c:manualLayout>
                  <c:x val="4.7037037037036605E-3"/>
                  <c:y val="-4.5653594771241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D3-43B3-BFC7-0D837DE256F9}"/>
                </c:ext>
              </c:extLst>
            </c:dLbl>
            <c:dLbl>
              <c:idx val="1"/>
              <c:layout>
                <c:manualLayout>
                  <c:x val="2.3518518518518519E-3"/>
                  <c:y val="-4.56535947712418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D3-43B3-BFC7-0D837DE256F9}"/>
                </c:ext>
              </c:extLst>
            </c:dLbl>
            <c:dLbl>
              <c:idx val="2"/>
              <c:layout>
                <c:manualLayout>
                  <c:x val="2.3518518518518519E-3"/>
                  <c:y val="-4.1503267973856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D3-43B3-BFC7-0D837DE256F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2022'!$Q$77:$T$77</c:f>
              <c:numCache>
                <c:formatCode>0.00</c:formatCode>
                <c:ptCount val="3"/>
                <c:pt idx="0">
                  <c:v>13.204781420765029</c:v>
                </c:pt>
                <c:pt idx="1">
                  <c:v>2.0134246575342467</c:v>
                </c:pt>
                <c:pt idx="2">
                  <c:v>2.0134246575342467</c:v>
                </c:pt>
              </c:numCache>
            </c:numRef>
          </c:val>
          <c:extLst>
            <c:ext xmlns:c16="http://schemas.microsoft.com/office/drawing/2014/chart" uri="{C3380CC4-5D6E-409C-BE32-E72D297353CC}">
              <c16:uniqueId val="{0000000A-E9D3-43B3-BFC7-0D837DE256F9}"/>
            </c:ext>
          </c:extLst>
        </c:ser>
        <c:dLbls>
          <c:dLblPos val="ctr"/>
          <c:showLegendKey val="0"/>
          <c:showVal val="1"/>
          <c:showCatName val="0"/>
          <c:showSerName val="0"/>
          <c:showPercent val="0"/>
          <c:showBubbleSize val="0"/>
        </c:dLbls>
        <c:gapWidth val="80"/>
        <c:overlap val="100"/>
        <c:axId val="168084992"/>
        <c:axId val="168086528"/>
      </c:barChart>
      <c:catAx>
        <c:axId val="168084992"/>
        <c:scaling>
          <c:orientation val="minMax"/>
        </c:scaling>
        <c:delete val="0"/>
        <c:axPos val="b"/>
        <c:numFmt formatCode="General" sourceLinked="1"/>
        <c:majorTickMark val="out"/>
        <c:minorTickMark val="none"/>
        <c:tickLblPos val="nextTo"/>
        <c:txPr>
          <a:bodyPr/>
          <a:lstStyle/>
          <a:p>
            <a:pPr>
              <a:defRPr sz="1200" b="1"/>
            </a:pPr>
            <a:endParaRPr lang="es-CR"/>
          </a:p>
        </c:txPr>
        <c:crossAx val="168086528"/>
        <c:crosses val="autoZero"/>
        <c:auto val="1"/>
        <c:lblAlgn val="ctr"/>
        <c:lblOffset val="100"/>
        <c:noMultiLvlLbl val="0"/>
      </c:catAx>
      <c:valAx>
        <c:axId val="168086528"/>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1.2967865464721496E-2"/>
              <c:y val="0.25678869427466472"/>
            </c:manualLayout>
          </c:layout>
          <c:overlay val="0"/>
        </c:title>
        <c:numFmt formatCode="0" sourceLinked="0"/>
        <c:majorTickMark val="out"/>
        <c:minorTickMark val="none"/>
        <c:tickLblPos val="nextTo"/>
        <c:txPr>
          <a:bodyPr/>
          <a:lstStyle/>
          <a:p>
            <a:pPr>
              <a:defRPr sz="900"/>
            </a:pPr>
            <a:endParaRPr lang="es-CR"/>
          </a:p>
        </c:txPr>
        <c:crossAx val="168084992"/>
        <c:crosses val="autoZero"/>
        <c:crossBetween val="between"/>
      </c:valAx>
    </c:plotArea>
    <c:legend>
      <c:legendPos val="r"/>
      <c:layout>
        <c:manualLayout>
          <c:xMode val="edge"/>
          <c:yMode val="edge"/>
          <c:x val="0.79049074074074077"/>
          <c:y val="0.35463333333333336"/>
          <c:w val="0.20217622822355577"/>
          <c:h val="0.44483905311022892"/>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62962962963"/>
          <c:y val="5.2818300653594774E-2"/>
          <c:w val="0.67888858315377432"/>
          <c:h val="0.88951804605210372"/>
        </c:manualLayout>
      </c:layout>
      <c:barChart>
        <c:barDir val="col"/>
        <c:grouping val="stacked"/>
        <c:varyColors val="0"/>
        <c:ser>
          <c:idx val="1"/>
          <c:order val="0"/>
          <c:tx>
            <c:strRef>
              <c:f>'[Estructura Precio para Prospecto 2023.xlsx]Precios 2022'!$O$58</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2022'!$Q$58:$T$58</c:f>
              <c:numCache>
                <c:formatCode>0.00</c:formatCode>
                <c:ptCount val="3"/>
                <c:pt idx="0">
                  <c:v>72.285415139167611</c:v>
                </c:pt>
                <c:pt idx="1">
                  <c:v>170.89373787891623</c:v>
                </c:pt>
                <c:pt idx="2">
                  <c:v>170.89373787891623</c:v>
                </c:pt>
              </c:numCache>
            </c:numRef>
          </c:val>
          <c:extLst>
            <c:ext xmlns:c16="http://schemas.microsoft.com/office/drawing/2014/chart" uri="{C3380CC4-5D6E-409C-BE32-E72D297353CC}">
              <c16:uniqueId val="{00000000-9DFD-4574-A1CC-AB81C75350C4}"/>
            </c:ext>
          </c:extLst>
        </c:ser>
        <c:ser>
          <c:idx val="2"/>
          <c:order val="1"/>
          <c:tx>
            <c:strRef>
              <c:f>'[Estructura Precio para Prospecto 2023.xlsx]Precios 2022'!$O$59</c:f>
              <c:strCache>
                <c:ptCount val="1"/>
                <c:pt idx="0">
                  <c:v>Impuesto Único</c:v>
                </c:pt>
              </c:strCache>
            </c:strRef>
          </c:tx>
          <c:spPr>
            <a:solidFill>
              <a:srgbClr val="C0000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2022'!$Q$59:$T$59</c:f>
              <c:numCache>
                <c:formatCode>0.00</c:formatCode>
                <c:ptCount val="3"/>
                <c:pt idx="0">
                  <c:v>40.12158469945355</c:v>
                </c:pt>
                <c:pt idx="1">
                  <c:v>51.395890410958906</c:v>
                </c:pt>
                <c:pt idx="2">
                  <c:v>51.395890410958906</c:v>
                </c:pt>
              </c:numCache>
            </c:numRef>
          </c:val>
          <c:extLst>
            <c:ext xmlns:c16="http://schemas.microsoft.com/office/drawing/2014/chart" uri="{C3380CC4-5D6E-409C-BE32-E72D297353CC}">
              <c16:uniqueId val="{00000001-9DFD-4574-A1CC-AB81C75350C4}"/>
            </c:ext>
          </c:extLst>
        </c:ser>
        <c:ser>
          <c:idx val="3"/>
          <c:order val="2"/>
          <c:tx>
            <c:strRef>
              <c:f>'[Estructura Precio para Prospecto 2023.xlsx]Precios 2022'!$O$60</c:f>
              <c:strCache>
                <c:ptCount val="1"/>
                <c:pt idx="0">
                  <c:v>Flete + Estación de Servicio</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2022'!$Q$60:$T$60</c:f>
              <c:numCache>
                <c:formatCode>0.00</c:formatCode>
                <c:ptCount val="3"/>
                <c:pt idx="0">
                  <c:v>61.52</c:v>
                </c:pt>
                <c:pt idx="1">
                  <c:v>61.520000000000017</c:v>
                </c:pt>
                <c:pt idx="2">
                  <c:v>61.520000000000017</c:v>
                </c:pt>
              </c:numCache>
            </c:numRef>
          </c:val>
          <c:extLst>
            <c:ext xmlns:c16="http://schemas.microsoft.com/office/drawing/2014/chart" uri="{C3380CC4-5D6E-409C-BE32-E72D297353CC}">
              <c16:uniqueId val="{00000002-9DFD-4574-A1CC-AB81C75350C4}"/>
            </c:ext>
          </c:extLst>
        </c:ser>
        <c:ser>
          <c:idx val="4"/>
          <c:order val="3"/>
          <c:tx>
            <c:strRef>
              <c:f>'[Estructura Precio para Prospecto 2023.xlsx]Precios 2022'!$O$61</c:f>
              <c:strCache>
                <c:ptCount val="1"/>
                <c:pt idx="0">
                  <c:v>Subsidios y canon</c:v>
                </c:pt>
              </c:strCache>
            </c:strRef>
          </c:tx>
          <c:spPr>
            <a:solidFill>
              <a:schemeClr val="accent3">
                <a:lumMod val="50000"/>
              </a:schemeClr>
            </a:solidFill>
          </c:spPr>
          <c:invertIfNegative val="0"/>
          <c:dLbls>
            <c:dLbl>
              <c:idx val="0"/>
              <c:layout>
                <c:manualLayout>
                  <c:x val="-2.3518518518518519E-3"/>
                  <c:y val="1.8360784313725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FD-4574-A1CC-AB81C75350C4}"/>
                </c:ext>
              </c:extLst>
            </c:dLbl>
            <c:dLbl>
              <c:idx val="1"/>
              <c:layout>
                <c:manualLayout>
                  <c:x val="0"/>
                  <c:y val="2.67316993464052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FD-4574-A1CC-AB81C75350C4}"/>
                </c:ext>
              </c:extLst>
            </c:dLbl>
            <c:dLbl>
              <c:idx val="2"/>
              <c:layout>
                <c:manualLayout>
                  <c:x val="-2.3518518518518519E-3"/>
                  <c:y val="2.09209150326797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FD-4574-A1CC-AB81C75350C4}"/>
                </c:ext>
              </c:extLst>
            </c:dLbl>
            <c:spPr>
              <a:noFill/>
              <a:ln>
                <a:noFill/>
              </a:ln>
              <a:effectLst/>
            </c:spPr>
            <c:txPr>
              <a:bodyPr wrap="square" lIns="38100" tIns="19050" rIns="38100" bIns="19050" anchor="ctr">
                <a:spAutoFit/>
              </a:bodyPr>
              <a:lstStyle/>
              <a:p>
                <a:pPr>
                  <a:defRPr>
                    <a:solidFill>
                      <a:schemeClr val="bg1"/>
                    </a:solidFill>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2022'!$Q$33:$T$33</c:f>
              <c:numCache>
                <c:formatCode>General</c:formatCode>
                <c:ptCount val="3"/>
                <c:pt idx="0">
                  <c:v>2020</c:v>
                </c:pt>
                <c:pt idx="1">
                  <c:v>2021</c:v>
                </c:pt>
                <c:pt idx="2">
                  <c:v>2022</c:v>
                </c:pt>
              </c:numCache>
            </c:numRef>
          </c:cat>
          <c:val>
            <c:numRef>
              <c:f>'[Estructura Precio para Prospecto 2023.xlsx]Precios 2022'!$Q$61:$T$61</c:f>
              <c:numCache>
                <c:formatCode>0.00</c:formatCode>
                <c:ptCount val="3"/>
                <c:pt idx="0">
                  <c:v>-47.408879781420758</c:v>
                </c:pt>
                <c:pt idx="1">
                  <c:v>-39.822109589041091</c:v>
                </c:pt>
                <c:pt idx="2">
                  <c:v>-39.822109589041091</c:v>
                </c:pt>
              </c:numCache>
            </c:numRef>
          </c:val>
          <c:extLst>
            <c:ext xmlns:c16="http://schemas.microsoft.com/office/drawing/2014/chart" uri="{C3380CC4-5D6E-409C-BE32-E72D297353CC}">
              <c16:uniqueId val="{00000006-9DFD-4574-A1CC-AB81C75350C4}"/>
            </c:ext>
          </c:extLst>
        </c:ser>
        <c:dLbls>
          <c:dLblPos val="ctr"/>
          <c:showLegendKey val="0"/>
          <c:showVal val="1"/>
          <c:showCatName val="0"/>
          <c:showSerName val="0"/>
          <c:showPercent val="0"/>
          <c:showBubbleSize val="0"/>
        </c:dLbls>
        <c:gapWidth val="80"/>
        <c:overlap val="100"/>
        <c:axId val="168059264"/>
        <c:axId val="168060800"/>
      </c:barChart>
      <c:catAx>
        <c:axId val="168059264"/>
        <c:scaling>
          <c:orientation val="minMax"/>
        </c:scaling>
        <c:delete val="0"/>
        <c:axPos val="b"/>
        <c:numFmt formatCode="General" sourceLinked="1"/>
        <c:majorTickMark val="out"/>
        <c:minorTickMark val="none"/>
        <c:tickLblPos val="nextTo"/>
        <c:txPr>
          <a:bodyPr anchor="b" anchorCtr="1"/>
          <a:lstStyle/>
          <a:p>
            <a:pPr>
              <a:defRPr sz="1200" b="1"/>
            </a:pPr>
            <a:endParaRPr lang="es-CR"/>
          </a:p>
        </c:txPr>
        <c:crossAx val="168060800"/>
        <c:crossesAt val="-50"/>
        <c:auto val="1"/>
        <c:lblAlgn val="ctr"/>
        <c:lblOffset val="100"/>
        <c:noMultiLvlLbl val="0"/>
      </c:catAx>
      <c:valAx>
        <c:axId val="168060800"/>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9.4766666666666662E-3"/>
              <c:y val="0.25299607843137256"/>
            </c:manualLayout>
          </c:layout>
          <c:overlay val="0"/>
        </c:title>
        <c:numFmt formatCode="0" sourceLinked="0"/>
        <c:majorTickMark val="out"/>
        <c:minorTickMark val="none"/>
        <c:tickLblPos val="nextTo"/>
        <c:txPr>
          <a:bodyPr/>
          <a:lstStyle/>
          <a:p>
            <a:pPr>
              <a:defRPr sz="900"/>
            </a:pPr>
            <a:endParaRPr lang="es-CR"/>
          </a:p>
        </c:txPr>
        <c:crossAx val="168059264"/>
        <c:crosses val="autoZero"/>
        <c:crossBetween val="between"/>
      </c:valAx>
    </c:plotArea>
    <c:legend>
      <c:legendPos val="r"/>
      <c:layout>
        <c:manualLayout>
          <c:xMode val="edge"/>
          <c:yMode val="edge"/>
          <c:x val="0.78996351851851854"/>
          <c:y val="0.21219221914387171"/>
          <c:w val="0.19827722222222222"/>
          <c:h val="0.58387507966857877"/>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2759259259259"/>
          <c:y val="6.4087768034360462E-2"/>
          <c:w val="0.68525777777777774"/>
          <c:h val="0.7843375809390557"/>
        </c:manualLayout>
      </c:layout>
      <c:barChart>
        <c:barDir val="col"/>
        <c:grouping val="stacked"/>
        <c:varyColors val="0"/>
        <c:ser>
          <c:idx val="1"/>
          <c:order val="0"/>
          <c:tx>
            <c:strRef>
              <c:f>'[Estructura Precio para Prospecto 2023.xlsx]Precios 2022'!$O$66</c:f>
              <c:strCache>
                <c:ptCount val="1"/>
                <c:pt idx="0">
                  <c:v>Precio internacional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2022'!$Q$65:$T$65</c:f>
              <c:numCache>
                <c:formatCode>General</c:formatCode>
                <c:ptCount val="3"/>
                <c:pt idx="0">
                  <c:v>2020</c:v>
                </c:pt>
                <c:pt idx="1">
                  <c:v>2021</c:v>
                </c:pt>
                <c:pt idx="2">
                  <c:v>2022</c:v>
                </c:pt>
              </c:numCache>
            </c:numRef>
          </c:cat>
          <c:val>
            <c:numRef>
              <c:f>'[Estructura Precio para Prospecto 2023.xlsx]Precios 2022'!$Q$66:$T$66</c:f>
              <c:numCache>
                <c:formatCode>0.00</c:formatCode>
                <c:ptCount val="3"/>
                <c:pt idx="0">
                  <c:v>152.23229033909931</c:v>
                </c:pt>
                <c:pt idx="1">
                  <c:v>209.23357498731576</c:v>
                </c:pt>
                <c:pt idx="2">
                  <c:v>209.23357498731576</c:v>
                </c:pt>
              </c:numCache>
            </c:numRef>
          </c:val>
          <c:extLst>
            <c:ext xmlns:c16="http://schemas.microsoft.com/office/drawing/2014/chart" uri="{C3380CC4-5D6E-409C-BE32-E72D297353CC}">
              <c16:uniqueId val="{00000000-098F-4D96-832D-7970AF08C5C3}"/>
            </c:ext>
          </c:extLst>
        </c:ser>
        <c:ser>
          <c:idx val="2"/>
          <c:order val="1"/>
          <c:tx>
            <c:strRef>
              <c:f>'[Estructura Precio para Prospecto 2023.xlsx]Precios 2022'!$O$67</c:f>
              <c:strCache>
                <c:ptCount val="1"/>
                <c:pt idx="0">
                  <c:v>Impuesto Único</c:v>
                </c:pt>
              </c:strCache>
            </c:strRef>
          </c:tx>
          <c:spPr>
            <a:solidFill>
              <a:srgbClr val="C00000"/>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2022'!$Q$65:$T$65</c:f>
              <c:numCache>
                <c:formatCode>General</c:formatCode>
                <c:ptCount val="3"/>
                <c:pt idx="0">
                  <c:v>2020</c:v>
                </c:pt>
                <c:pt idx="1">
                  <c:v>2021</c:v>
                </c:pt>
                <c:pt idx="2">
                  <c:v>2022</c:v>
                </c:pt>
              </c:numCache>
            </c:numRef>
          </c:cat>
          <c:val>
            <c:numRef>
              <c:f>'[Estructura Precio para Prospecto 2023.xlsx]Precios 2022'!$Q$67:$T$67</c:f>
              <c:numCache>
                <c:formatCode>0.00</c:formatCode>
                <c:ptCount val="3"/>
                <c:pt idx="0">
                  <c:v>24.168032786885245</c:v>
                </c:pt>
                <c:pt idx="1">
                  <c:v>24.312328767123287</c:v>
                </c:pt>
                <c:pt idx="2">
                  <c:v>24.312328767123287</c:v>
                </c:pt>
              </c:numCache>
            </c:numRef>
          </c:val>
          <c:extLst>
            <c:ext xmlns:c16="http://schemas.microsoft.com/office/drawing/2014/chart" uri="{C3380CC4-5D6E-409C-BE32-E72D297353CC}">
              <c16:uniqueId val="{00000001-098F-4D96-832D-7970AF08C5C3}"/>
            </c:ext>
          </c:extLst>
        </c:ser>
        <c:ser>
          <c:idx val="3"/>
          <c:order val="2"/>
          <c:tx>
            <c:strRef>
              <c:f>'[Estructura Precio para Prospecto 2023.xlsx]Precios 2022'!$O$68</c:f>
              <c:strCache>
                <c:ptCount val="1"/>
                <c:pt idx="0">
                  <c:v>Margen RECOPE</c:v>
                </c:pt>
              </c:strCache>
            </c:strRef>
          </c:tx>
          <c:spPr>
            <a:solidFill>
              <a:schemeClr val="accent3">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2022'!$Q$65:$T$65</c:f>
              <c:numCache>
                <c:formatCode>General</c:formatCode>
                <c:ptCount val="3"/>
                <c:pt idx="0">
                  <c:v>2020</c:v>
                </c:pt>
                <c:pt idx="1">
                  <c:v>2021</c:v>
                </c:pt>
                <c:pt idx="2">
                  <c:v>2022</c:v>
                </c:pt>
              </c:numCache>
            </c:numRef>
          </c:cat>
          <c:val>
            <c:numRef>
              <c:f>'[Estructura Precio para Prospecto 2023.xlsx]Precios 2022'!$Q$68:$T$68</c:f>
              <c:numCache>
                <c:formatCode>0.00</c:formatCode>
                <c:ptCount val="3"/>
                <c:pt idx="0">
                  <c:v>76.27</c:v>
                </c:pt>
                <c:pt idx="1">
                  <c:v>76.27</c:v>
                </c:pt>
                <c:pt idx="2">
                  <c:v>76.27</c:v>
                </c:pt>
              </c:numCache>
            </c:numRef>
          </c:val>
          <c:extLst>
            <c:ext xmlns:c16="http://schemas.microsoft.com/office/drawing/2014/chart" uri="{C3380CC4-5D6E-409C-BE32-E72D297353CC}">
              <c16:uniqueId val="{00000002-098F-4D96-832D-7970AF08C5C3}"/>
            </c:ext>
          </c:extLst>
        </c:ser>
        <c:ser>
          <c:idx val="4"/>
          <c:order val="3"/>
          <c:tx>
            <c:strRef>
              <c:f>'[Estructura Precio para Prospecto 2023.xlsx]Precios 2022'!$O$69</c:f>
              <c:strCache>
                <c:ptCount val="1"/>
                <c:pt idx="0">
                  <c:v>Subsidios y canon</c:v>
                </c:pt>
              </c:strCache>
            </c:strRef>
          </c:tx>
          <c:spPr>
            <a:solidFill>
              <a:schemeClr val="accent4"/>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'[Estructura Precio para Prospecto 2023.xlsx]Precios 2022'!$Q$65:$T$65</c:f>
              <c:numCache>
                <c:formatCode>General</c:formatCode>
                <c:ptCount val="3"/>
                <c:pt idx="0">
                  <c:v>2020</c:v>
                </c:pt>
                <c:pt idx="1">
                  <c:v>2021</c:v>
                </c:pt>
                <c:pt idx="2">
                  <c:v>2022</c:v>
                </c:pt>
              </c:numCache>
            </c:numRef>
          </c:cat>
          <c:val>
            <c:numRef>
              <c:f>'[Estructura Precio para Prospecto 2023.xlsx]Precios 2022'!$Q$69:$T$69</c:f>
              <c:numCache>
                <c:formatCode>0.00</c:formatCode>
                <c:ptCount val="3"/>
                <c:pt idx="0">
                  <c:v>-82.172185792349723</c:v>
                </c:pt>
                <c:pt idx="1">
                  <c:v>-29.222602739726028</c:v>
                </c:pt>
                <c:pt idx="2">
                  <c:v>-29.222602739726028</c:v>
                </c:pt>
              </c:numCache>
            </c:numRef>
          </c:val>
          <c:extLst>
            <c:ext xmlns:c16="http://schemas.microsoft.com/office/drawing/2014/chart" uri="{C3380CC4-5D6E-409C-BE32-E72D297353CC}">
              <c16:uniqueId val="{00000003-098F-4D96-832D-7970AF08C5C3}"/>
            </c:ext>
          </c:extLst>
        </c:ser>
        <c:dLbls>
          <c:dLblPos val="ctr"/>
          <c:showLegendKey val="0"/>
          <c:showVal val="1"/>
          <c:showCatName val="0"/>
          <c:showSerName val="0"/>
          <c:showPercent val="0"/>
          <c:showBubbleSize val="0"/>
        </c:dLbls>
        <c:gapWidth val="80"/>
        <c:overlap val="100"/>
        <c:axId val="167717120"/>
        <c:axId val="167727104"/>
      </c:barChart>
      <c:catAx>
        <c:axId val="167717120"/>
        <c:scaling>
          <c:orientation val="minMax"/>
        </c:scaling>
        <c:delete val="0"/>
        <c:axPos val="b"/>
        <c:numFmt formatCode="General" sourceLinked="1"/>
        <c:majorTickMark val="out"/>
        <c:minorTickMark val="in"/>
        <c:tickLblPos val="low"/>
        <c:txPr>
          <a:bodyPr/>
          <a:lstStyle/>
          <a:p>
            <a:pPr>
              <a:defRPr sz="1200" b="1"/>
            </a:pPr>
            <a:endParaRPr lang="es-CR"/>
          </a:p>
        </c:txPr>
        <c:crossAx val="167727104"/>
        <c:crossesAt val="0"/>
        <c:auto val="1"/>
        <c:lblAlgn val="ctr"/>
        <c:lblOffset val="100"/>
        <c:noMultiLvlLbl val="0"/>
      </c:catAx>
      <c:valAx>
        <c:axId val="167727104"/>
        <c:scaling>
          <c:orientation val="minMax"/>
        </c:scaling>
        <c:delete val="0"/>
        <c:axPos val="l"/>
        <c:title>
          <c:tx>
            <c:rich>
              <a:bodyPr rot="-5400000" vert="horz"/>
              <a:lstStyle/>
              <a:p>
                <a:pPr>
                  <a:defRPr b="0"/>
                </a:pPr>
                <a:r>
                  <a:rPr lang="es-CR" b="1"/>
                  <a:t>Colone</a:t>
                </a:r>
                <a:r>
                  <a:rPr lang="es-CR" b="1" baseline="0"/>
                  <a:t>s por litro</a:t>
                </a:r>
                <a:endParaRPr lang="es-CR" b="1"/>
              </a:p>
            </c:rich>
          </c:tx>
          <c:layout>
            <c:manualLayout>
              <c:xMode val="edge"/>
              <c:yMode val="edge"/>
              <c:x val="2.278685185185185E-2"/>
              <c:y val="0.25452320261437911"/>
            </c:manualLayout>
          </c:layout>
          <c:overlay val="0"/>
        </c:title>
        <c:numFmt formatCode="0" sourceLinked="0"/>
        <c:majorTickMark val="out"/>
        <c:minorTickMark val="none"/>
        <c:tickLblPos val="nextTo"/>
        <c:txPr>
          <a:bodyPr/>
          <a:lstStyle/>
          <a:p>
            <a:pPr>
              <a:defRPr sz="900"/>
            </a:pPr>
            <a:endParaRPr lang="es-CR"/>
          </a:p>
        </c:txPr>
        <c:crossAx val="167717120"/>
        <c:crosses val="autoZero"/>
        <c:crossBetween val="between"/>
      </c:valAx>
    </c:plotArea>
    <c:legend>
      <c:legendPos val="r"/>
      <c:layout>
        <c:manualLayout>
          <c:xMode val="edge"/>
          <c:yMode val="edge"/>
          <c:x val="0.81818935559060491"/>
          <c:y val="0.15278954248366014"/>
          <c:w val="0.16903117678363952"/>
          <c:h val="0.60311339869281044"/>
        </c:manualLayout>
      </c:layout>
      <c:overlay val="0"/>
      <c:txPr>
        <a:bodyPr/>
        <a:lstStyle/>
        <a:p>
          <a:pPr>
            <a:defRPr sz="8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05213366929853"/>
          <c:y val="6.2797609386665607E-2"/>
          <c:w val="0.7976264199184514"/>
          <c:h val="0.70570910625419803"/>
        </c:manualLayout>
      </c:layout>
      <c:areaChart>
        <c:grouping val="standard"/>
        <c:varyColors val="0"/>
        <c:ser>
          <c:idx val="0"/>
          <c:order val="0"/>
          <c:tx>
            <c:v>Ventas nacionales con ICE</c:v>
          </c:tx>
          <c:cat>
            <c:numRef>
              <c:f>'[Evolución de ventas de principales productos de RECOPE 1999-2021.xlsx]Ventas mes bbls'!$A$170:$A$290</c:f>
              <c:numCache>
                <c:formatCode>mmm\-yy</c:formatCode>
                <c:ptCount val="12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numCache>
            </c:numRef>
          </c:cat>
          <c:val>
            <c:numRef>
              <c:f>'[Evolución de ventas de principales productos de RECOPE 1999-2021.xlsx]Ventas mes bbls'!$R$170:$R$290</c:f>
              <c:numCache>
                <c:formatCode>#,##0</c:formatCode>
                <c:ptCount val="121"/>
                <c:pt idx="0">
                  <c:v>1686517.2112688462</c:v>
                </c:pt>
                <c:pt idx="1">
                  <c:v>1539784.980671376</c:v>
                </c:pt>
                <c:pt idx="2">
                  <c:v>1587445.1156446773</c:v>
                </c:pt>
                <c:pt idx="3">
                  <c:v>1916796.9973960132</c:v>
                </c:pt>
                <c:pt idx="4">
                  <c:v>1591353.5007076042</c:v>
                </c:pt>
                <c:pt idx="5">
                  <c:v>1476111.4095680781</c:v>
                </c:pt>
                <c:pt idx="6">
                  <c:v>1671173.5784435212</c:v>
                </c:pt>
                <c:pt idx="7">
                  <c:v>1533383.585469252</c:v>
                </c:pt>
                <c:pt idx="8">
                  <c:v>1469463.214331988</c:v>
                </c:pt>
                <c:pt idx="9">
                  <c:v>1494184.936416185</c:v>
                </c:pt>
                <c:pt idx="10">
                  <c:v>1485487.502946784</c:v>
                </c:pt>
                <c:pt idx="11">
                  <c:v>1560015.7577286197</c:v>
                </c:pt>
                <c:pt idx="12">
                  <c:v>1699541.8839213271</c:v>
                </c:pt>
                <c:pt idx="13">
                  <c:v>1603159.637479794</c:v>
                </c:pt>
                <c:pt idx="14">
                  <c:v>2047221.3677659151</c:v>
                </c:pt>
                <c:pt idx="15">
                  <c:v>1872028.540937308</c:v>
                </c:pt>
                <c:pt idx="16">
                  <c:v>1658883.8639259811</c:v>
                </c:pt>
                <c:pt idx="17">
                  <c:v>1772445.6434802841</c:v>
                </c:pt>
                <c:pt idx="18">
                  <c:v>1428102.841509056</c:v>
                </c:pt>
                <c:pt idx="19">
                  <c:v>1445199.0659236293</c:v>
                </c:pt>
                <c:pt idx="20">
                  <c:v>1355895.1160031958</c:v>
                </c:pt>
                <c:pt idx="21">
                  <c:v>1516321.1304760752</c:v>
                </c:pt>
                <c:pt idx="22">
                  <c:v>1412687.7771453019</c:v>
                </c:pt>
                <c:pt idx="23">
                  <c:v>1609091.5648889532</c:v>
                </c:pt>
                <c:pt idx="24">
                  <c:v>1539545.7825419691</c:v>
                </c:pt>
                <c:pt idx="25">
                  <c:v>1547555.9223898817</c:v>
                </c:pt>
                <c:pt idx="26">
                  <c:v>1693490.2536307999</c:v>
                </c:pt>
                <c:pt idx="27">
                  <c:v>1517019.7974111089</c:v>
                </c:pt>
                <c:pt idx="28">
                  <c:v>1698603.2039474924</c:v>
                </c:pt>
                <c:pt idx="29">
                  <c:v>1508588.7914860966</c:v>
                </c:pt>
                <c:pt idx="30">
                  <c:v>1578101.3682376542</c:v>
                </c:pt>
                <c:pt idx="31">
                  <c:v>1522067.0817425328</c:v>
                </c:pt>
                <c:pt idx="32">
                  <c:v>1494945.8834936188</c:v>
                </c:pt>
                <c:pt idx="33">
                  <c:v>1592315.3734959466</c:v>
                </c:pt>
                <c:pt idx="34">
                  <c:v>1555552.4912602911</c:v>
                </c:pt>
                <c:pt idx="35">
                  <c:v>1771885.3863460533</c:v>
                </c:pt>
                <c:pt idx="36">
                  <c:v>1607819.5079534815</c:v>
                </c:pt>
                <c:pt idx="37">
                  <c:v>1651493.2042745634</c:v>
                </c:pt>
                <c:pt idx="38">
                  <c:v>1955040.9881373956</c:v>
                </c:pt>
                <c:pt idx="39">
                  <c:v>1818361.9159491027</c:v>
                </c:pt>
                <c:pt idx="40">
                  <c:v>1723590.7648487</c:v>
                </c:pt>
                <c:pt idx="41">
                  <c:v>1748620.6448892043</c:v>
                </c:pt>
                <c:pt idx="42">
                  <c:v>1588473.6648153635</c:v>
                </c:pt>
                <c:pt idx="43">
                  <c:v>1649838.8633536068</c:v>
                </c:pt>
                <c:pt idx="44">
                  <c:v>1672993.1667431931</c:v>
                </c:pt>
                <c:pt idx="45">
                  <c:v>1554692.0626529218</c:v>
                </c:pt>
                <c:pt idx="46">
                  <c:v>1634111.6920880305</c:v>
                </c:pt>
                <c:pt idx="47">
                  <c:v>1874708.5318799645</c:v>
                </c:pt>
                <c:pt idx="48">
                  <c:v>1774847.6490782276</c:v>
                </c:pt>
                <c:pt idx="49">
                  <c:v>1616613.9746960441</c:v>
                </c:pt>
                <c:pt idx="50">
                  <c:v>1935811.1095498377</c:v>
                </c:pt>
                <c:pt idx="51">
                  <c:v>1699996.1716807035</c:v>
                </c:pt>
                <c:pt idx="52">
                  <c:v>1720981.1823922722</c:v>
                </c:pt>
                <c:pt idx="53">
                  <c:v>1738993.3626460026</c:v>
                </c:pt>
                <c:pt idx="54">
                  <c:v>1730434.0950895357</c:v>
                </c:pt>
                <c:pt idx="55">
                  <c:v>1834831.4323749742</c:v>
                </c:pt>
                <c:pt idx="56">
                  <c:v>1610044.1253498723</c:v>
                </c:pt>
                <c:pt idx="57">
                  <c:v>1612236.9351079008</c:v>
                </c:pt>
                <c:pt idx="58">
                  <c:v>1803012.359985407</c:v>
                </c:pt>
                <c:pt idx="59">
                  <c:v>1794808.9601225248</c:v>
                </c:pt>
                <c:pt idx="60">
                  <c:v>1897021.1999911941</c:v>
                </c:pt>
                <c:pt idx="61">
                  <c:v>1734536.49484549</c:v>
                </c:pt>
                <c:pt idx="62">
                  <c:v>1870137.194625976</c:v>
                </c:pt>
                <c:pt idx="63">
                  <c:v>1846690.2840924102</c:v>
                </c:pt>
                <c:pt idx="64">
                  <c:v>1938247.0033650547</c:v>
                </c:pt>
                <c:pt idx="65">
                  <c:v>1642702.1300169185</c:v>
                </c:pt>
                <c:pt idx="66">
                  <c:v>1742862.3583186043</c:v>
                </c:pt>
                <c:pt idx="67">
                  <c:v>1789387.3964412177</c:v>
                </c:pt>
                <c:pt idx="68">
                  <c:v>1546245.7770635339</c:v>
                </c:pt>
                <c:pt idx="69">
                  <c:v>1717003.6401152301</c:v>
                </c:pt>
                <c:pt idx="70">
                  <c:v>1696441.3180951895</c:v>
                </c:pt>
                <c:pt idx="71">
                  <c:v>1876873.692962317</c:v>
                </c:pt>
                <c:pt idx="72">
                  <c:v>1799695.1121412443</c:v>
                </c:pt>
                <c:pt idx="73">
                  <c:v>1860081.6168869152</c:v>
                </c:pt>
                <c:pt idx="74">
                  <c:v>2004848.2220244424</c:v>
                </c:pt>
                <c:pt idx="75">
                  <c:v>1799162.5392516372</c:v>
                </c:pt>
                <c:pt idx="76">
                  <c:v>1771375.0867806806</c:v>
                </c:pt>
                <c:pt idx="77">
                  <c:v>1802477.1935315474</c:v>
                </c:pt>
                <c:pt idx="78">
                  <c:v>1898694.5636309888</c:v>
                </c:pt>
                <c:pt idx="79">
                  <c:v>1727550.6743067047</c:v>
                </c:pt>
                <c:pt idx="80">
                  <c:v>1669901.3644700504</c:v>
                </c:pt>
                <c:pt idx="81">
                  <c:v>1834980.0276815083</c:v>
                </c:pt>
                <c:pt idx="82">
                  <c:v>1730339.5455037197</c:v>
                </c:pt>
                <c:pt idx="83">
                  <c:v>1886135.1024360477</c:v>
                </c:pt>
                <c:pt idx="84">
                  <c:v>1919695.453508778</c:v>
                </c:pt>
                <c:pt idx="85">
                  <c:v>1777753.0971022786</c:v>
                </c:pt>
                <c:pt idx="86">
                  <c:v>1699921.4419858225</c:v>
                </c:pt>
                <c:pt idx="87">
                  <c:v>1084114.3073773331</c:v>
                </c:pt>
                <c:pt idx="88">
                  <c:v>1262591.3965984641</c:v>
                </c:pt>
                <c:pt idx="89">
                  <c:v>1382847.1617805227</c:v>
                </c:pt>
                <c:pt idx="90">
                  <c:v>1136019.4304754487</c:v>
                </c:pt>
                <c:pt idx="91">
                  <c:v>1373177.2286287558</c:v>
                </c:pt>
                <c:pt idx="92">
                  <c:v>1297630.7231408863</c:v>
                </c:pt>
                <c:pt idx="93">
                  <c:v>1426416.7670501366</c:v>
                </c:pt>
                <c:pt idx="94">
                  <c:v>1442884.1768006177</c:v>
                </c:pt>
                <c:pt idx="95">
                  <c:v>1829208.4811965758</c:v>
                </c:pt>
                <c:pt idx="96">
                  <c:v>1618271.7815481776</c:v>
                </c:pt>
                <c:pt idx="97">
                  <c:v>1632835.3788045563</c:v>
                </c:pt>
                <c:pt idx="98">
                  <c:v>1942664.1112732489</c:v>
                </c:pt>
                <c:pt idx="99">
                  <c:v>1565691.329360263</c:v>
                </c:pt>
                <c:pt idx="100">
                  <c:v>1619857.0566084015</c:v>
                </c:pt>
                <c:pt idx="101">
                  <c:v>1583246.9885462346</c:v>
                </c:pt>
                <c:pt idx="102">
                  <c:v>1747850.6735267655</c:v>
                </c:pt>
                <c:pt idx="103">
                  <c:v>1567136.6158616741</c:v>
                </c:pt>
                <c:pt idx="104">
                  <c:v>1698384.9195971999</c:v>
                </c:pt>
                <c:pt idx="105">
                  <c:v>1700848.6897041902</c:v>
                </c:pt>
                <c:pt idx="106">
                  <c:v>1796341.8705428743</c:v>
                </c:pt>
                <c:pt idx="107">
                  <c:v>1936829.4430991218</c:v>
                </c:pt>
                <c:pt idx="108">
                  <c:v>1867462.1808764234</c:v>
                </c:pt>
                <c:pt idx="109">
                  <c:v>1779393.1305263953</c:v>
                </c:pt>
                <c:pt idx="110">
                  <c:v>2066328.0848245455</c:v>
                </c:pt>
                <c:pt idx="111">
                  <c:v>1754464.1112292209</c:v>
                </c:pt>
                <c:pt idx="112">
                  <c:v>1801424.6433859379</c:v>
                </c:pt>
                <c:pt idx="113">
                  <c:v>1639321.1484964178</c:v>
                </c:pt>
                <c:pt idx="114">
                  <c:v>1854840.8367099194</c:v>
                </c:pt>
                <c:pt idx="115">
                  <c:v>1627240</c:v>
                </c:pt>
                <c:pt idx="116">
                  <c:v>1693260</c:v>
                </c:pt>
                <c:pt idx="117">
                  <c:v>1735364</c:v>
                </c:pt>
                <c:pt idx="118">
                  <c:v>1809367.8017385099</c:v>
                </c:pt>
                <c:pt idx="119">
                  <c:v>2057287.9956348632</c:v>
                </c:pt>
              </c:numCache>
            </c:numRef>
          </c:val>
          <c:extLst>
            <c:ext xmlns:c16="http://schemas.microsoft.com/office/drawing/2014/chart" uri="{C3380CC4-5D6E-409C-BE32-E72D297353CC}">
              <c16:uniqueId val="{00000000-0AC9-4485-B517-75DAF6ED681A}"/>
            </c:ext>
          </c:extLst>
        </c:ser>
        <c:ser>
          <c:idx val="1"/>
          <c:order val="1"/>
          <c:tx>
            <c:v>Ventas nacionales sin ICE</c:v>
          </c:tx>
          <c:cat>
            <c:numRef>
              <c:f>'[Evolución de ventas de principales productos de RECOPE 1999-2021.xlsx]Ventas mes bbls'!$A$170:$A$290</c:f>
              <c:numCache>
                <c:formatCode>mmm\-yy</c:formatCode>
                <c:ptCount val="12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numCache>
            </c:numRef>
          </c:cat>
          <c:val>
            <c:numRef>
              <c:f>'[Evolución de ventas de principales productos de RECOPE 1999-2021.xlsx]Ventas mes bbls'!$S$170:$S$290</c:f>
              <c:numCache>
                <c:formatCode>#,##0</c:formatCode>
                <c:ptCount val="121"/>
                <c:pt idx="0">
                  <c:v>1588759.7845610022</c:v>
                </c:pt>
                <c:pt idx="1">
                  <c:v>1402956.227377082</c:v>
                </c:pt>
                <c:pt idx="2">
                  <c:v>1413113.2142942522</c:v>
                </c:pt>
                <c:pt idx="3">
                  <c:v>1472400.8455093801</c:v>
                </c:pt>
                <c:pt idx="4">
                  <c:v>1470765.6287432301</c:v>
                </c:pt>
                <c:pt idx="5">
                  <c:v>1345382.4883355242</c:v>
                </c:pt>
                <c:pt idx="6">
                  <c:v>1453285.3234289603</c:v>
                </c:pt>
                <c:pt idx="7">
                  <c:v>1435673.37016863</c:v>
                </c:pt>
                <c:pt idx="8">
                  <c:v>1287419.3931390611</c:v>
                </c:pt>
                <c:pt idx="9">
                  <c:v>1365166.1990351409</c:v>
                </c:pt>
                <c:pt idx="10">
                  <c:v>1485487.502946784</c:v>
                </c:pt>
                <c:pt idx="11">
                  <c:v>1560015.7577286197</c:v>
                </c:pt>
                <c:pt idx="12">
                  <c:v>1533584.7427714211</c:v>
                </c:pt>
                <c:pt idx="13">
                  <c:v>1466633.6070496331</c:v>
                </c:pt>
                <c:pt idx="14">
                  <c:v>1630789.734990909</c:v>
                </c:pt>
                <c:pt idx="15">
                  <c:v>1505946.8046947219</c:v>
                </c:pt>
                <c:pt idx="16">
                  <c:v>1501838.8539566121</c:v>
                </c:pt>
                <c:pt idx="17">
                  <c:v>1372917.8141609062</c:v>
                </c:pt>
                <c:pt idx="18">
                  <c:v>1422573.3013579741</c:v>
                </c:pt>
                <c:pt idx="19">
                  <c:v>1441054.7019190253</c:v>
                </c:pt>
                <c:pt idx="20">
                  <c:v>1355895.1160031958</c:v>
                </c:pt>
                <c:pt idx="21">
                  <c:v>1421614.5192437102</c:v>
                </c:pt>
                <c:pt idx="22">
                  <c:v>1412687.7771453019</c:v>
                </c:pt>
                <c:pt idx="23">
                  <c:v>1596556.9362715192</c:v>
                </c:pt>
                <c:pt idx="24">
                  <c:v>1539545.7825419691</c:v>
                </c:pt>
                <c:pt idx="25">
                  <c:v>1547555.9223898817</c:v>
                </c:pt>
                <c:pt idx="26">
                  <c:v>1693490.2536307999</c:v>
                </c:pt>
                <c:pt idx="27">
                  <c:v>1517019.7974111089</c:v>
                </c:pt>
                <c:pt idx="28">
                  <c:v>1601248.5460194857</c:v>
                </c:pt>
                <c:pt idx="29">
                  <c:v>1508588.7914860966</c:v>
                </c:pt>
                <c:pt idx="30">
                  <c:v>1578101.3682376542</c:v>
                </c:pt>
                <c:pt idx="31">
                  <c:v>1522067.0817425328</c:v>
                </c:pt>
                <c:pt idx="32">
                  <c:v>1494945.8834936188</c:v>
                </c:pt>
                <c:pt idx="33">
                  <c:v>1592315.3734959466</c:v>
                </c:pt>
                <c:pt idx="34">
                  <c:v>1555552.4912602911</c:v>
                </c:pt>
                <c:pt idx="35">
                  <c:v>1771885.3863460533</c:v>
                </c:pt>
                <c:pt idx="36">
                  <c:v>1607819.5079534815</c:v>
                </c:pt>
                <c:pt idx="37">
                  <c:v>1651493.2042745634</c:v>
                </c:pt>
                <c:pt idx="38">
                  <c:v>1868114.0897746363</c:v>
                </c:pt>
                <c:pt idx="39">
                  <c:v>1767989.711246832</c:v>
                </c:pt>
                <c:pt idx="40">
                  <c:v>1723590.7648487</c:v>
                </c:pt>
                <c:pt idx="41">
                  <c:v>1748620.6448892043</c:v>
                </c:pt>
                <c:pt idx="42">
                  <c:v>1507377.7450231791</c:v>
                </c:pt>
                <c:pt idx="43">
                  <c:v>1649838.8633536068</c:v>
                </c:pt>
                <c:pt idx="44">
                  <c:v>1672840.9090114287</c:v>
                </c:pt>
                <c:pt idx="45">
                  <c:v>1554692.0626529218</c:v>
                </c:pt>
                <c:pt idx="46">
                  <c:v>1634111.6920880305</c:v>
                </c:pt>
                <c:pt idx="47">
                  <c:v>1874708.5318799645</c:v>
                </c:pt>
                <c:pt idx="48">
                  <c:v>1774847.6490782276</c:v>
                </c:pt>
                <c:pt idx="49">
                  <c:v>1616613.9746960441</c:v>
                </c:pt>
                <c:pt idx="50">
                  <c:v>1935811.1095498377</c:v>
                </c:pt>
                <c:pt idx="51">
                  <c:v>1699996.1716807035</c:v>
                </c:pt>
                <c:pt idx="52">
                  <c:v>1720981.1823922722</c:v>
                </c:pt>
                <c:pt idx="53">
                  <c:v>1738993.3626460026</c:v>
                </c:pt>
                <c:pt idx="54">
                  <c:v>1730434.0950895357</c:v>
                </c:pt>
                <c:pt idx="55">
                  <c:v>1834831.4323749742</c:v>
                </c:pt>
                <c:pt idx="56">
                  <c:v>1610044.1253498723</c:v>
                </c:pt>
                <c:pt idx="57">
                  <c:v>1612236.9351079008</c:v>
                </c:pt>
                <c:pt idx="58">
                  <c:v>1803012.359985407</c:v>
                </c:pt>
                <c:pt idx="59">
                  <c:v>1794808.9601225248</c:v>
                </c:pt>
                <c:pt idx="60">
                  <c:v>1897021.1999911941</c:v>
                </c:pt>
                <c:pt idx="61">
                  <c:v>1734536.49484549</c:v>
                </c:pt>
                <c:pt idx="62">
                  <c:v>1870137.194625976</c:v>
                </c:pt>
                <c:pt idx="63">
                  <c:v>1846690.2840924102</c:v>
                </c:pt>
                <c:pt idx="64">
                  <c:v>1871135.4470742887</c:v>
                </c:pt>
                <c:pt idx="65">
                  <c:v>1642702.1300169185</c:v>
                </c:pt>
                <c:pt idx="66">
                  <c:v>1742862.3583186043</c:v>
                </c:pt>
                <c:pt idx="67">
                  <c:v>1789387.3964412177</c:v>
                </c:pt>
                <c:pt idx="68">
                  <c:v>1546245.7770635339</c:v>
                </c:pt>
                <c:pt idx="69">
                  <c:v>1717003.6401152301</c:v>
                </c:pt>
                <c:pt idx="70">
                  <c:v>1696441.3180951895</c:v>
                </c:pt>
                <c:pt idx="71">
                  <c:v>1876873.692962317</c:v>
                </c:pt>
                <c:pt idx="72">
                  <c:v>1799695.1121412443</c:v>
                </c:pt>
                <c:pt idx="73">
                  <c:v>1847644.1219973958</c:v>
                </c:pt>
                <c:pt idx="74">
                  <c:v>2004848.2220244424</c:v>
                </c:pt>
                <c:pt idx="75">
                  <c:v>1788432.2279683247</c:v>
                </c:pt>
                <c:pt idx="76">
                  <c:v>1755351.1540063028</c:v>
                </c:pt>
                <c:pt idx="77">
                  <c:v>1663598.0524696994</c:v>
                </c:pt>
                <c:pt idx="78">
                  <c:v>1898694.5636309888</c:v>
                </c:pt>
                <c:pt idx="79">
                  <c:v>1727550.6743067047</c:v>
                </c:pt>
                <c:pt idx="80">
                  <c:v>1669901.3644700504</c:v>
                </c:pt>
                <c:pt idx="81">
                  <c:v>1834980.0276815083</c:v>
                </c:pt>
                <c:pt idx="82">
                  <c:v>1730339.5455037197</c:v>
                </c:pt>
                <c:pt idx="83">
                  <c:v>1886135.1024360477</c:v>
                </c:pt>
                <c:pt idx="84">
                  <c:v>1919695.453508778</c:v>
                </c:pt>
                <c:pt idx="85">
                  <c:v>1777753.0971022786</c:v>
                </c:pt>
                <c:pt idx="86">
                  <c:v>1699921.4419858225</c:v>
                </c:pt>
                <c:pt idx="87">
                  <c:v>1084114.3073773331</c:v>
                </c:pt>
                <c:pt idx="88">
                  <c:v>1262591.3965984641</c:v>
                </c:pt>
                <c:pt idx="89">
                  <c:v>1382847.1617805227</c:v>
                </c:pt>
                <c:pt idx="90">
                  <c:v>1136019.4304754487</c:v>
                </c:pt>
                <c:pt idx="91">
                  <c:v>1373177.2286287558</c:v>
                </c:pt>
                <c:pt idx="92">
                  <c:v>1297630.7231408863</c:v>
                </c:pt>
                <c:pt idx="93">
                  <c:v>1426416.7670501366</c:v>
                </c:pt>
                <c:pt idx="94">
                  <c:v>1442884.1768006177</c:v>
                </c:pt>
                <c:pt idx="95">
                  <c:v>1829208.4811965758</c:v>
                </c:pt>
                <c:pt idx="96">
                  <c:v>1618271.7815481776</c:v>
                </c:pt>
                <c:pt idx="97">
                  <c:v>1632835.3788045563</c:v>
                </c:pt>
                <c:pt idx="98">
                  <c:v>1942664.1112732489</c:v>
                </c:pt>
                <c:pt idx="99">
                  <c:v>1565691.329360263</c:v>
                </c:pt>
                <c:pt idx="100">
                  <c:v>1619857.0566084015</c:v>
                </c:pt>
                <c:pt idx="101">
                  <c:v>1583246.9885462346</c:v>
                </c:pt>
                <c:pt idx="102">
                  <c:v>1747850.6735267655</c:v>
                </c:pt>
                <c:pt idx="103">
                  <c:v>1567136.6158616741</c:v>
                </c:pt>
                <c:pt idx="104">
                  <c:v>1698384.9195971999</c:v>
                </c:pt>
                <c:pt idx="105">
                  <c:v>1700848.6897041902</c:v>
                </c:pt>
                <c:pt idx="106">
                  <c:v>1796341.8705428743</c:v>
                </c:pt>
                <c:pt idx="107">
                  <c:v>1936829.4430991218</c:v>
                </c:pt>
                <c:pt idx="108">
                  <c:v>1867462.1808764234</c:v>
                </c:pt>
                <c:pt idx="109">
                  <c:v>1779393.1305263953</c:v>
                </c:pt>
                <c:pt idx="110">
                  <c:v>2066328.0848245455</c:v>
                </c:pt>
                <c:pt idx="111">
                  <c:v>1754464.1112292209</c:v>
                </c:pt>
                <c:pt idx="112">
                  <c:v>1801424.6433859379</c:v>
                </c:pt>
                <c:pt idx="113">
                  <c:v>1639321.1484964178</c:v>
                </c:pt>
                <c:pt idx="114">
                  <c:v>1854840.8367099194</c:v>
                </c:pt>
                <c:pt idx="115">
                  <c:v>1627240</c:v>
                </c:pt>
                <c:pt idx="116">
                  <c:v>1693260</c:v>
                </c:pt>
                <c:pt idx="117">
                  <c:v>1735364</c:v>
                </c:pt>
                <c:pt idx="118">
                  <c:v>1809367.8017385099</c:v>
                </c:pt>
                <c:pt idx="119">
                  <c:v>1962450.9509708341</c:v>
                </c:pt>
              </c:numCache>
            </c:numRef>
          </c:val>
          <c:extLst>
            <c:ext xmlns:c16="http://schemas.microsoft.com/office/drawing/2014/chart" uri="{C3380CC4-5D6E-409C-BE32-E72D297353CC}">
              <c16:uniqueId val="{00000001-0AC9-4485-B517-75DAF6ED681A}"/>
            </c:ext>
          </c:extLst>
        </c:ser>
        <c:dLbls>
          <c:showLegendKey val="0"/>
          <c:showVal val="0"/>
          <c:showCatName val="0"/>
          <c:showSerName val="0"/>
          <c:showPercent val="0"/>
          <c:showBubbleSize val="0"/>
        </c:dLbls>
        <c:axId val="150600704"/>
        <c:axId val="151126784"/>
      </c:areaChart>
      <c:dateAx>
        <c:axId val="150600704"/>
        <c:scaling>
          <c:orientation val="minMax"/>
        </c:scaling>
        <c:delete val="0"/>
        <c:axPos val="b"/>
        <c:numFmt formatCode="mmm\-yy" sourceLinked="1"/>
        <c:majorTickMark val="out"/>
        <c:minorTickMark val="none"/>
        <c:tickLblPos val="nextTo"/>
        <c:txPr>
          <a:bodyPr/>
          <a:lstStyle/>
          <a:p>
            <a:pPr>
              <a:defRPr sz="800"/>
            </a:pPr>
            <a:endParaRPr lang="es-CR"/>
          </a:p>
        </c:txPr>
        <c:crossAx val="151126784"/>
        <c:crosses val="autoZero"/>
        <c:auto val="1"/>
        <c:lblOffset val="100"/>
        <c:baseTimeUnit val="months"/>
        <c:majorUnit val="3"/>
        <c:majorTimeUnit val="months"/>
      </c:dateAx>
      <c:valAx>
        <c:axId val="151126784"/>
        <c:scaling>
          <c:orientation val="minMax"/>
          <c:max val="2100000"/>
          <c:min val="600000"/>
        </c:scaling>
        <c:delete val="0"/>
        <c:axPos val="l"/>
        <c:majorGridlines>
          <c:spPr>
            <a:ln>
              <a:prstDash val="sysDot"/>
            </a:ln>
          </c:spPr>
        </c:majorGridlines>
        <c:numFmt formatCode="#,##0" sourceLinked="1"/>
        <c:majorTickMark val="out"/>
        <c:minorTickMark val="none"/>
        <c:tickLblPos val="nextTo"/>
        <c:txPr>
          <a:bodyPr/>
          <a:lstStyle/>
          <a:p>
            <a:pPr>
              <a:defRPr sz="900"/>
            </a:pPr>
            <a:endParaRPr lang="es-CR"/>
          </a:p>
        </c:txPr>
        <c:crossAx val="150600704"/>
        <c:crosses val="autoZero"/>
        <c:crossBetween val="midCat"/>
      </c:valAx>
    </c:plotArea>
    <c:legend>
      <c:legendPos val="r"/>
      <c:layout>
        <c:manualLayout>
          <c:xMode val="edge"/>
          <c:yMode val="edge"/>
          <c:x val="2.483771420673023E-2"/>
          <c:y val="0.93350901258559515"/>
          <c:w val="0.94894615647345282"/>
          <c:h val="6.6490987414404817E-2"/>
        </c:manualLayout>
      </c:layout>
      <c:overlay val="0"/>
    </c:legend>
    <c:plotVisOnly val="1"/>
    <c:dispBlanksAs val="gap"/>
    <c:showDLblsOverMax val="0"/>
  </c:chart>
  <c:spPr>
    <a:ln>
      <a:no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0.01214</cdr:x>
      <cdr:y>0.03729</cdr:y>
    </cdr:from>
    <cdr:to>
      <cdr:x>0.0503</cdr:x>
      <cdr:y>0.77517</cdr:y>
    </cdr:to>
    <cdr:sp macro="" textlink="">
      <cdr:nvSpPr>
        <cdr:cNvPr id="2" name="TextBox 1"/>
        <cdr:cNvSpPr txBox="1"/>
      </cdr:nvSpPr>
      <cdr:spPr>
        <a:xfrm xmlns:a="http://schemas.openxmlformats.org/drawingml/2006/main">
          <a:off x="60614" y="121227"/>
          <a:ext cx="190500" cy="2398569"/>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CR" sz="1100" b="1"/>
            <a:t>barriles mensuales</a:t>
          </a:r>
        </a:p>
      </cdr:txBody>
    </cdr:sp>
  </cdr:relSizeAnchor>
  <cdr:relSizeAnchor xmlns:cdr="http://schemas.openxmlformats.org/drawingml/2006/chartDrawing">
    <cdr:from>
      <cdr:x>0.01214</cdr:x>
      <cdr:y>0.03729</cdr:y>
    </cdr:from>
    <cdr:to>
      <cdr:x>0.0503</cdr:x>
      <cdr:y>0.77517</cdr:y>
    </cdr:to>
    <cdr:sp macro="" textlink="">
      <cdr:nvSpPr>
        <cdr:cNvPr id="3" name="TextBox 1"/>
        <cdr:cNvSpPr txBox="1"/>
      </cdr:nvSpPr>
      <cdr:spPr>
        <a:xfrm xmlns:a="http://schemas.openxmlformats.org/drawingml/2006/main">
          <a:off x="60614" y="121227"/>
          <a:ext cx="190500" cy="2398569"/>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CR" sz="1100" b="1"/>
            <a:t>barriles mensuales</a:t>
          </a:r>
        </a:p>
      </cdr:txBody>
    </cdr:sp>
  </cdr:relSizeAnchor>
</c:userShapes>
</file>

<file path=word/drawings/drawing2.xml><?xml version="1.0" encoding="utf-8"?>
<c:userShapes xmlns:c="http://schemas.openxmlformats.org/drawingml/2006/chart">
  <cdr:relSizeAnchor xmlns:cdr="http://schemas.openxmlformats.org/drawingml/2006/chartDrawing">
    <cdr:from>
      <cdr:x>0.01517</cdr:x>
      <cdr:y>0.05167</cdr:y>
    </cdr:from>
    <cdr:to>
      <cdr:x>0.04621</cdr:x>
      <cdr:y>0.83359</cdr:y>
    </cdr:to>
    <cdr:sp macro="" textlink="">
      <cdr:nvSpPr>
        <cdr:cNvPr id="2" name="CuadroTexto 1">
          <a:extLst xmlns:a="http://schemas.openxmlformats.org/drawingml/2006/main">
            <a:ext uri="{FF2B5EF4-FFF2-40B4-BE49-F238E27FC236}">
              <a16:creationId xmlns:a16="http://schemas.microsoft.com/office/drawing/2014/main" id="{C6569760-7F89-4AD9-A54C-938833A3A390}"/>
            </a:ext>
          </a:extLst>
        </cdr:cNvPr>
        <cdr:cNvSpPr txBox="1"/>
      </cdr:nvSpPr>
      <cdr:spPr>
        <a:xfrm xmlns:a="http://schemas.openxmlformats.org/drawingml/2006/main">
          <a:off x="81915" y="158115"/>
          <a:ext cx="167640" cy="2392680"/>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CR" sz="1100"/>
            <a:t>US</a:t>
          </a:r>
          <a:r>
            <a:rPr lang="es-CR" sz="1100" baseline="0"/>
            <a:t> dóalres  por barril</a:t>
          </a:r>
          <a:endParaRPr lang="es-CR" sz="1100"/>
        </a:p>
      </cdr:txBody>
    </cdr:sp>
  </cdr:relSizeAnchor>
</c:userShapes>
</file>

<file path=word/drawings/drawing3.xml><?xml version="1.0" encoding="utf-8"?>
<c:userShapes xmlns:c="http://schemas.openxmlformats.org/drawingml/2006/chart">
  <cdr:relSizeAnchor xmlns:cdr="http://schemas.openxmlformats.org/drawingml/2006/chartDrawing">
    <cdr:from>
      <cdr:x>0.01141</cdr:x>
      <cdr:y>0.05116</cdr:y>
    </cdr:from>
    <cdr:to>
      <cdr:x>0.03281</cdr:x>
      <cdr:y>0.80233</cdr:y>
    </cdr:to>
    <cdr:sp macro="" textlink="">
      <cdr:nvSpPr>
        <cdr:cNvPr id="2" name="1 CuadroTexto"/>
        <cdr:cNvSpPr txBox="1"/>
      </cdr:nvSpPr>
      <cdr:spPr>
        <a:xfrm xmlns:a="http://schemas.openxmlformats.org/drawingml/2006/main">
          <a:off x="76200" y="209550"/>
          <a:ext cx="142875" cy="3076575"/>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s-ES" sz="1000" b="1"/>
            <a:t>US dólares por barril</a:t>
          </a:r>
        </a:p>
      </cdr:txBody>
    </cdr:sp>
  </cdr:relSizeAnchor>
  <cdr:relSizeAnchor xmlns:cdr="http://schemas.openxmlformats.org/drawingml/2006/chartDrawing">
    <cdr:from>
      <cdr:x>0.9515</cdr:x>
      <cdr:y>0.03023</cdr:y>
    </cdr:from>
    <cdr:to>
      <cdr:x>0.99429</cdr:x>
      <cdr:y>0.82558</cdr:y>
    </cdr:to>
    <cdr:sp macro="" textlink="">
      <cdr:nvSpPr>
        <cdr:cNvPr id="3" name="2 CuadroTexto"/>
        <cdr:cNvSpPr txBox="1"/>
      </cdr:nvSpPr>
      <cdr:spPr>
        <a:xfrm xmlns:a="http://schemas.openxmlformats.org/drawingml/2006/main">
          <a:off x="6353176" y="123826"/>
          <a:ext cx="285750" cy="3257550"/>
        </a:xfrm>
        <a:prstGeom xmlns:a="http://schemas.openxmlformats.org/drawingml/2006/main" prst="rect">
          <a:avLst/>
        </a:prstGeom>
      </cdr:spPr>
      <cdr:txBody>
        <a:bodyPr xmlns:a="http://schemas.openxmlformats.org/drawingml/2006/main" vertOverflow="clip" vert="vert" wrap="square" rtlCol="0" anchor="ctr" anchorCtr="1"/>
        <a:lstStyle xmlns:a="http://schemas.openxmlformats.org/drawingml/2006/main"/>
        <a:p xmlns:a="http://schemas.openxmlformats.org/drawingml/2006/main">
          <a:r>
            <a:rPr lang="es-ES" sz="900" b="1"/>
            <a:t>TWDUSD</a:t>
          </a:r>
          <a:r>
            <a:rPr lang="es-ES" sz="900" b="1" baseline="0"/>
            <a:t> mensual 100= enero 2007</a:t>
          </a:r>
          <a:endParaRPr lang="es-ES" sz="900" b="1"/>
        </a:p>
      </cdr:txBody>
    </cdr:sp>
  </cdr:relSizeAnchor>
</c:userShapes>
</file>

<file path=word/drawings/drawing4.xml><?xml version="1.0" encoding="utf-8"?>
<c:userShapes xmlns:c="http://schemas.openxmlformats.org/drawingml/2006/chart">
  <cdr:relSizeAnchor xmlns:cdr="http://schemas.openxmlformats.org/drawingml/2006/chartDrawing">
    <cdr:from>
      <cdr:x>0.94447</cdr:x>
      <cdr:y>0.05817</cdr:y>
    </cdr:from>
    <cdr:to>
      <cdr:x>0.97569</cdr:x>
      <cdr:y>0.80018</cdr:y>
    </cdr:to>
    <cdr:sp macro="" textlink="">
      <cdr:nvSpPr>
        <cdr:cNvPr id="2" name="1 CuadroTexto"/>
        <cdr:cNvSpPr txBox="1"/>
      </cdr:nvSpPr>
      <cdr:spPr>
        <a:xfrm xmlns:a="http://schemas.openxmlformats.org/drawingml/2006/main">
          <a:off x="5270120" y="178003"/>
          <a:ext cx="174207" cy="2270550"/>
        </a:xfrm>
        <a:prstGeom xmlns:a="http://schemas.openxmlformats.org/drawingml/2006/main" prst="rect">
          <a:avLst/>
        </a:prstGeom>
      </cdr:spPr>
      <cdr:txBody>
        <a:bodyPr xmlns:a="http://schemas.openxmlformats.org/drawingml/2006/main" vertOverflow="clip" vert="vert" wrap="square" rtlCol="0" anchor="ctr" anchorCtr="1"/>
        <a:lstStyle xmlns:a="http://schemas.openxmlformats.org/drawingml/2006/main"/>
        <a:p xmlns:a="http://schemas.openxmlformats.org/drawingml/2006/main">
          <a:r>
            <a:rPr lang="es-CR" sz="1100" b="0"/>
            <a:t>US</a:t>
          </a:r>
          <a:r>
            <a:rPr lang="es-CR" sz="1100" b="0" baseline="0"/>
            <a:t> d</a:t>
          </a:r>
          <a:r>
            <a:rPr lang="es-CR" sz="1100" b="0"/>
            <a:t>ólares  por  barril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yEmPKPBQa+Y3rc5PWNm6y2j+B+Rv2vaznNsXB9l48d4=</DigestValue>
    </Reference>
    <Reference Type="http://uri.etsi.org/01903#SignedProperties" URI="#idSignedProperties">
      <Transforms>
        <Transform Algorithm="http://www.w3.org/TR/2001/REC-xml-c14n-20010315"/>
      </Transforms>
      <DigestMethod Algorithm="http://www.w3.org/2001/04/xmlenc#sha256"/>
      <DigestValue>5i9q9FREv/gx+hATyw0Oru2Wo5Cm0HYTweupjSeMr4E=</DigestValue>
    </Reference>
  </SignedInfo>
  <SignatureValue>cAuM0JChnLqsskxIYx/BYBAqWssoTNCdn0+ixxYPI1+DLZTNjg8+JW67lwLsefTSSVy0ZPXe0FusOf7AA5nOgcYffcxV6MJa1Y+4cRQ5TOFtRJZxRoTveMnB0S3JM8ylC0Pyng4R1c/MbOpeTJJeaPv4eSEu1FMuN3jVwU7hGjRLRgg9vuWwQh+T/TB8TM6QqKy7E9i1Y/KccU/w+IJnKJlwric/fcU27TblVL+gBigB1EbIQcZgmYb4YL99LxbR3ldkCNUq3m7HqXUFK5mmZx9clSUtnTvsBaophE11vDfdV8DlpdJ1G6w5Uj1pqf5vdd13HJdTaMTExYIKcMZb0w==</SignatureValue>
  <KeyInfo>
    <X509Data>
      <X509Certificate>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AFtV9aLv9BlVtCCKgErUEIoufnuuGvUuvX/OA2XulKd1ffuYq3+LqGixtugz9cCL2ch+1Vu7lprVYM2B33mrLaNoGZHR7hdoPXhtbrMLuAe2I8JyA6Ok1R02maEnNXmabztVZLAT5ZMbjmS/Ai/kTV2b721obmAKONDVvZ4e6lYgxdlGS1DrwOhgIC8AJxU3sX/b/RPBwu7k4t1De2TB8Y/biA4elQIKg/xvyYYeNCN03JDPWb4gMpe6CufbGzw/bUmQuWNV9oW+MLzCo+wfYYsQvpRAXKKLMDL5djY2e8k0MUAX8A6RCDTGflrwBekL5ZRBAzkieMSf9jm+E5Gi0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Transform>
          <Transform Algorithm="http://www.w3.org/TR/2001/REC-xml-c14n-20010315"/>
        </Transforms>
        <DigestMethod Algorithm="http://www.w3.org/2001/04/xmlenc#sha256"/>
        <DigestValue>rcdK347Rj0UqcqsFye96T9ygIKGDtpbYO2iHAJWNsPE=</DigestValue>
      </Reference>
      <Reference URI="/word/charts/_rels/chart1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WO2qzJsdithHaHHx9163F7i4Zc2pEvNuM8WamYKF//0=</DigestValue>
      </Reference>
      <Reference URI="/word/charts/_rels/chart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SeJlkL9N3LZHb99th/EzQ97fjeJ00GLP2IaIad/MHzU=</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QBvDYw4MbskasSeTe9KnBwhahi9edb55o9FEbrnIb3A=</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charts/_rels/chart1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1SxAXp4noTgHCuiE9JsZEB2BM0Ha1xOxzxp6ZrPQqkY=</DigestValue>
      </Reference>
      <Reference URI="/word/charts/_rels/chart1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iPjuJ7Y9zimcF+w/6KUVZcHh9JuWJVeBysannXPcMiU=</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charts/_rels/chart1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iPjuJ7Y9zimcF+w/6KUVZcHh9JuWJVeBysannXPcMiU=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charts/_rels/chart1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HOtYR880NmVt9qM1gKRrvCbs2oSCg6g4cwt7cet7FHk=</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2e88/f43SrkW6wKeAQsL/rxcSTnUghVMbGK7/++jqDY=</DigestValue>
      </Reference>
      <Reference URI="/word/charts/_rels/chart10.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3iPQKuPzMf9+5miETfM37XT7kiaunVcrhQUZy022OjU=</DigestValue>
      </Reference>
      <Reference URI="/word/charts/_rels/chart17.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ZQ3TClyk6ok3a/81oISb8usf242qLgoed+M8XvTlRJw=</DigestValue>
      </Reference>
      <Reference URI="/word/charts/_rels/chart1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GU03DtCLcimHA61XIqS2qaEvZvHaLfFu75EVz0dBS1U=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Fa3PFe9c1SQIxLcZgJLO/D2ioiesNsLDEsTo6NgxQRw=</DigestValue>
      </Reference>
      <Reference URI="/word/charts/_rels/chart9.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iceIEB0qruXNGFQPRup+0pA2n4n1Rm2aR7qanpOkBpI=</DigestValue>
      </Reference>
      <Reference URI="/word/document.xml?ContentType=application/vnd.openxmlformats-officedocument.wordprocessingml.document.main+xml">
        <DigestMethod Algorithm="http://www.w3.org/2001/04/xmlenc#sha256"/>
        <DigestValue>Y7yNyzpkG4fcKJf0WVvyIoDqahyJNcaJnLS/Jy+GTk4=</DigestValue>
      </Reference>
      <Reference URI="/word/footer1.xml?ContentType=application/vnd.openxmlformats-officedocument.wordprocessingml.footer+xml">
        <DigestMethod Algorithm="http://www.w3.org/2001/04/xmlenc#sha256"/>
        <DigestValue>T1dc1WP3sgUvDlTB7rdDjls/8E4VwGdyWx9AKosrvAw=</DigestValue>
      </Reference>
      <Reference URI="/word/charts/chart11.xml?ContentType=application/vnd.openxmlformats-officedocument.drawingml.chart+xml">
        <DigestMethod Algorithm="http://www.w3.org/2001/04/xmlenc#sha256"/>
        <DigestValue>9GOGM3jYY4WFSWxLaibBwiTCXGMEMxOF14rw5zxDx5w=</DigestValue>
      </Reference>
      <Reference URI="/word/theme/themeOverride2.xml?ContentType=application/vnd.openxmlformats-officedocument.themeOverride+xml">
        <DigestMethod Algorithm="http://www.w3.org/2001/04/xmlenc#sha256"/>
        <DigestValue>RDFDqkRgjsexWph0w6FpBr0nW9TRcaVeWpHxu4UqCic=</DigestValue>
      </Reference>
      <Reference URI="/word/charts/chart8.xml?ContentType=application/vnd.openxmlformats-officedocument.drawingml.chart+xml">
        <DigestMethod Algorithm="http://www.w3.org/2001/04/xmlenc#sha256"/>
        <DigestValue>jL+Po4r1wXDSiI1MwfUArUEJXqHKfIDc2utvY1fRWSE=</DigestValue>
      </Reference>
      <Reference URI="/word/header4.xml?ContentType=application/vnd.openxmlformats-officedocument.wordprocessingml.header+xml">
        <DigestMethod Algorithm="http://www.w3.org/2001/04/xmlenc#sha256"/>
        <DigestValue>QCNDWcPAKd3o9Sb6aHSJKZ20LiB9sCtPajthKuLIjYM=</DigestValue>
      </Reference>
      <Reference URI="/word/media/image10.jpeg?ContentType=image/jpeg">
        <DigestMethod Algorithm="http://www.w3.org/2001/04/xmlenc#sha256"/>
        <DigestValue>t2/gAtRMBaBwdJBalN3wifddQn1oQR/m6slUylyyR3E=</DigestValue>
      </Reference>
      <Reference URI="/word/endnotes.xml?ContentType=application/vnd.openxmlformats-officedocument.wordprocessingml.endnotes+xml">
        <DigestMethod Algorithm="http://www.w3.org/2001/04/xmlenc#sha256"/>
        <DigestValue>WgxudfN/2j/t+GDdOO8Qa4T/5z804TtFixd7UUKALfk=</DigestValue>
      </Reference>
      <Reference URI="/word/numbering.xml?ContentType=application/vnd.openxmlformats-officedocument.wordprocessingml.numbering+xml">
        <DigestMethod Algorithm="http://www.w3.org/2001/04/xmlenc#sha256"/>
        <DigestValue>K5duxfTHjnHbrjY1SysY6s4VMnUob7QDAuSCsIfeX5U=</DigestValue>
      </Reference>
      <Reference URI="/word/charts/chart3.xml?ContentType=application/vnd.openxmlformats-officedocument.drawingml.chart+xml">
        <DigestMethod Algorithm="http://www.w3.org/2001/04/xmlenc#sha256"/>
        <DigestValue>c0x+OtafRopEjr+m8nvGgWqaQnA0kAydkSymTON7p38=</DigestValue>
      </Reference>
      <Reference URI="/word/media/image4.jpeg?ContentType=image/jpeg">
        <DigestMethod Algorithm="http://www.w3.org/2001/04/xmlenc#sha256"/>
        <DigestValue>ntm+3vV5hjg/sZbds2fUv+jwlD7InVc7PeSO+bxaSNU=</DigestValue>
      </Reference>
      <Reference URI="/word/charts/chart2.xml?ContentType=application/vnd.openxmlformats-officedocument.drawingml.chart+xml">
        <DigestMethod Algorithm="http://www.w3.org/2001/04/xmlenc#sha256"/>
        <DigestValue>C7r+pyc3jI8P/n16ZJVWYOCdz2FE7XslReQL1D02paE=</DigestValue>
      </Reference>
      <Reference URI="/word/charts/colors2.xml?ContentType=application/vnd.ms-office.chartcolorstyle+xml">
        <DigestMethod Algorithm="http://www.w3.org/2001/04/xmlenc#sha256"/>
        <DigestValue>BP77p9MYU/oKpjblyLjjCPwxJqm0ih9EkJR//5HVqS8=</DigestValue>
      </Reference>
      <Reference URI="/word/charts/style2.xml?ContentType=application/vnd.ms-office.chartstyle+xml">
        <DigestMethod Algorithm="http://www.w3.org/2001/04/xmlenc#sha256"/>
        <DigestValue>wfntRu5YpC/YTrCFJ1yuDhOT1UtypaX+ns6BOBY2tp8=</DigestValue>
      </Reference>
      <Reference URI="/word/charts/chart6.xml?ContentType=application/vnd.openxmlformats-officedocument.drawingml.chart+xml">
        <DigestMethod Algorithm="http://www.w3.org/2001/04/xmlenc#sha256"/>
        <DigestValue>u9yDgGd6hDMaVAF73gURSfvrXGHg9qyEBZcp/UfDbX4=</DigestValue>
      </Reference>
      <Reference URI="/word/media/image9.jpeg?ContentType=image/jpeg">
        <DigestMethod Algorithm="http://www.w3.org/2001/04/xmlenc#sha256"/>
        <DigestValue>WD5X0ygggxjlFN023ifKJNLgphSeTr3RYoVqLXXiR1M=</DigestValue>
      </Reference>
      <Reference URI="/word/charts/chart12.xml?ContentType=application/vnd.openxmlformats-officedocument.drawingml.chart+xml">
        <DigestMethod Algorithm="http://www.w3.org/2001/04/xmlenc#sha256"/>
        <DigestValue>DXl5CmJYn+TbaPbAG8UrvcE4X+enhrctv5F3x6YzNGM=</DigestValue>
      </Reference>
      <Reference URI="/word/drawings/drawing2.xml?ContentType=application/vnd.openxmlformats-officedocument.drawingml.chartshapes+xml">
        <DigestMethod Algorithm="http://www.w3.org/2001/04/xmlenc#sha256"/>
        <DigestValue>710GobChLk7yS5kAhFexzRnduoWJ6WG2DZGuJJ11nhc=</DigestValue>
      </Reference>
      <Reference URI="/word/theme/themeOverride3.xml?ContentType=application/vnd.openxmlformats-officedocument.themeOverride+xml">
        <DigestMethod Algorithm="http://www.w3.org/2001/04/xmlenc#sha256"/>
        <DigestValue>RDFDqkRgjsexWph0w6FpBr0nW9TRcaVeWpHxu4UqCic=</DigestValue>
      </Reference>
      <Reference URI="/word/charts/chart16.xml?ContentType=application/vnd.openxmlformats-officedocument.drawingml.chart+xml">
        <DigestMethod Algorithm="http://www.w3.org/2001/04/xmlenc#sha256"/>
        <DigestValue>D54vEGarf3DNiFU5PgufP837G58/902WxrBIYEIuIXo=</DigestValue>
      </Reference>
      <Reference URI="/word/theme/theme1.xml?ContentType=application/vnd.openxmlformats-officedocument.theme+xml">
        <DigestMethod Algorithm="http://www.w3.org/2001/04/xmlenc#sha256"/>
        <DigestValue>SIpAFkXGAwt0HX6RKqVa2exrIZ02oyRzMkVMDehnuCc=</DigestValue>
      </Reference>
      <Reference URI="/word/webSettings.xml?ContentType=application/vnd.openxmlformats-officedocument.wordprocessingml.webSettings+xml">
        <DigestMethod Algorithm="http://www.w3.org/2001/04/xmlenc#sha256"/>
        <DigestValue>mVgPo7Wx/FHG9h8MKyIDzcGSuYWCfqJK7dZfQ9eXgZM=</DigestValue>
      </Reference>
      <Reference URI="/word/media/image3.png?ContentType=image/png">
        <DigestMethod Algorithm="http://www.w3.org/2001/04/xmlenc#sha256"/>
        <DigestValue>5+IgSTe1QOj/yiuLTxQEk6MifH50QPjflOHc1bd16A4=</DigestValue>
      </Reference>
      <Reference URI="/word/charts/chart5.xml?ContentType=application/vnd.openxmlformats-officedocument.drawingml.chart+xml">
        <DigestMethod Algorithm="http://www.w3.org/2001/04/xmlenc#sha256"/>
        <DigestValue>mwF+oUYp7isq0bpfgko+MDii8BL1fVHkrHSL51xVKGM=</DigestValue>
      </Reference>
      <Reference URI="/word/charts/chart15.xml?ContentType=application/vnd.openxmlformats-officedocument.drawingml.chart+xml">
        <DigestMethod Algorithm="http://www.w3.org/2001/04/xmlenc#sha256"/>
        <DigestValue>4kam06XvaiRx92Pxaf0YUZEArFmDGDDRi206DDKKlCg=</DigestValue>
      </Reference>
      <Reference URI="/word/fontTable.xml?ContentType=application/vnd.openxmlformats-officedocument.wordprocessingml.fontTable+xml">
        <DigestMethod Algorithm="http://www.w3.org/2001/04/xmlenc#sha256"/>
        <DigestValue>f9QFTENYlt20H80ts9sSoBxn1V5uClxInZ5Mm1GRVkg=</DigestValue>
      </Reference>
      <Reference URI="/word/settings.xml?ContentType=application/vnd.openxmlformats-officedocument.wordprocessingml.settings+xml">
        <DigestMethod Algorithm="http://www.w3.org/2001/04/xmlenc#sha256"/>
        <DigestValue>Ex3OJ7/va55vltmGnlC2nuMHF2SkqV+RjLRjXSqHDgU=</DigestValue>
      </Reference>
      <Reference URI="/word/media/image2.jpeg?ContentType=image/jpeg">
        <DigestMethod Algorithm="http://www.w3.org/2001/04/xmlenc#sha256"/>
        <DigestValue>79F4NLR6EtabVWJSXfMoTtiE0HNEkNJtM8/RZdyi8dw=</DigestValue>
      </Reference>
      <Reference URI="/word/media/image6.png?ContentType=image/png">
        <DigestMethod Algorithm="http://www.w3.org/2001/04/xmlenc#sha256"/>
        <DigestValue>4HFAkSbXndIdb5i3sin3WR/1qovwJhzYlZW9NCmbq1U=</DigestValue>
      </Reference>
      <Reference URI="/word/header2.xml?ContentType=application/vnd.openxmlformats-officedocument.wordprocessingml.header+xml">
        <DigestMethod Algorithm="http://www.w3.org/2001/04/xmlenc#sha256"/>
        <DigestValue>9g4fmYoAXewWu5Tz5XBY7ReNjnvkv2kH+qWZ951mjrQ=</DigestValue>
      </Reference>
      <Reference URI="/word/media/image7.png?ContentType=image/png">
        <DigestMethod Algorithm="http://www.w3.org/2001/04/xmlenc#sha256"/>
        <DigestValue>7bbboJzSRa90uobApgJGZvTfm802WrPedwtLklcCGlM=</DigestValue>
      </Reference>
      <Reference URI="/word/charts/chart4.xml?ContentType=application/vnd.openxmlformats-officedocument.drawingml.chart+xml">
        <DigestMethod Algorithm="http://www.w3.org/2001/04/xmlenc#sha256"/>
        <DigestValue>j7KjTOPcXBO47zfP/VBwvfSld9MfGXJw6uZPo+TqOfg=</DigestValue>
      </Reference>
      <Reference URI="/word/media/image8.png?ContentType=image/png">
        <DigestMethod Algorithm="http://www.w3.org/2001/04/xmlenc#sha256"/>
        <DigestValue>MK8Ni9Cc59vNZufmmbP6B2iycJ3y/D9c2YadSx3/m9k=</DigestValue>
      </Reference>
      <Reference URI="/word/charts/chart14.xml?ContentType=application/vnd.openxmlformats-officedocument.drawingml.chart+xml">
        <DigestMethod Algorithm="http://www.w3.org/2001/04/xmlenc#sha256"/>
        <DigestValue>+/IsGxaCIvuKL6D527PFZUuMQIlZS+ZhdTRakAjmW2M=</DigestValue>
      </Reference>
      <Reference URI="/word/drawings/drawing4.xml?ContentType=application/vnd.openxmlformats-officedocument.drawingml.chartshapes+xml">
        <DigestMethod Algorithm="http://www.w3.org/2001/04/xmlenc#sha256"/>
        <DigestValue>6YkcutJqNaWb7BkfTRNo2AsRiiOtkqNVEl4evLN0FrU=</DigestValue>
      </Reference>
      <Reference URI="/word/header3.xml?ContentType=application/vnd.openxmlformats-officedocument.wordprocessingml.header+xml">
        <DigestMethod Algorithm="http://www.w3.org/2001/04/xmlenc#sha256"/>
        <DigestValue>ETM7K4iR25bYVsBGfhwyJ/M6OIXa02PIB1Me2oCMEdg=</DigestValue>
      </Reference>
      <Reference URI="/word/media/image1.emf?ContentType=image/x-emf">
        <DigestMethod Algorithm="http://www.w3.org/2001/04/xmlenc#sha256"/>
        <DigestValue>s5cPFz7usaW2KIKwlU61E+BazJrBkkckzZOWOZ5fP1A=</DigestValue>
      </Reference>
      <Reference URI="/word/footer4.xml?ContentType=application/vnd.openxmlformats-officedocument.wordprocessingml.footer+xml">
        <DigestMethod Algorithm="http://www.w3.org/2001/04/xmlenc#sha256"/>
        <DigestValue>CMFqfDct2/3wXXDdEyQcn+Id6iJ4s++rTJTOQYNWecU=</DigestValue>
      </Reference>
      <Reference URI="/word/styles.xml?ContentType=application/vnd.openxmlformats-officedocument.wordprocessingml.styles+xml">
        <DigestMethod Algorithm="http://www.w3.org/2001/04/xmlenc#sha256"/>
        <DigestValue>9ooEMiiOuRioDvjM4yhrs2WuMLvSklfdev+yMu4xZHw=</DigestValue>
      </Reference>
      <Reference URI="/word/media/image5.emf?ContentType=image/x-emf">
        <DigestMethod Algorithm="http://www.w3.org/2001/04/xmlenc#sha256"/>
        <DigestValue>MCf58rWKOiNQpS0QxPmyqJxZZINm1ebvyaHfPf1BOHc=</DigestValue>
      </Reference>
      <Reference URI="/word/header1.xml?ContentType=application/vnd.openxmlformats-officedocument.wordprocessingml.header+xml">
        <DigestMethod Algorithm="http://www.w3.org/2001/04/xmlenc#sha256"/>
        <DigestValue>nrZpFGyGwzgmEIoaCrj3dT5knLwP+NLZvSttgdKTKCg=</DigestValue>
      </Reference>
      <Reference URI="/word/charts/chart7.xml?ContentType=application/vnd.openxmlformats-officedocument.drawingml.chart+xml">
        <DigestMethod Algorithm="http://www.w3.org/2001/04/xmlenc#sha256"/>
        <DigestValue>p2k659H1nhTla1+pT2x3iif/CmPEh8QXM9HoNIzMtg8=</DigestValue>
      </Reference>
      <Reference URI="/word/charts/chart10.xml?ContentType=application/vnd.openxmlformats-officedocument.drawingml.chart+xml">
        <DigestMethod Algorithm="http://www.w3.org/2001/04/xmlenc#sha256"/>
        <DigestValue>yqOLUnVEK15iK/qQ4vcFINKUijiK68EACprQWtmrdQo=</DigestValue>
      </Reference>
      <Reference URI="/word/theme/themeOverride1.xml?ContentType=application/vnd.openxmlformats-officedocument.themeOverride+xml">
        <DigestMethod Algorithm="http://www.w3.org/2001/04/xmlenc#sha256"/>
        <DigestValue>RDFDqkRgjsexWph0w6FpBr0nW9TRcaVeWpHxu4UqCic=</DigestValue>
      </Reference>
      <Reference URI="/word/charts/chart17.xml?ContentType=application/vnd.openxmlformats-officedocument.drawingml.chart+xml">
        <DigestMethod Algorithm="http://www.w3.org/2001/04/xmlenc#sha256"/>
        <DigestValue>apyKn+7jL1OEYMmaR/rpDBfVDJXU097KxdIxiBgBGaw=</DigestValue>
      </Reference>
      <Reference URI="/word/charts/colors3.xml?ContentType=application/vnd.ms-office.chartcolorstyle+xml">
        <DigestMethod Algorithm="http://www.w3.org/2001/04/xmlenc#sha256"/>
        <DigestValue>BP77p9MYU/oKpjblyLjjCPwxJqm0ih9EkJR//5HVqS8=</DigestValue>
      </Reference>
      <Reference URI="/word/charts/style3.xml?ContentType=application/vnd.ms-office.chartstyle+xml">
        <DigestMethod Algorithm="http://www.w3.org/2001/04/xmlenc#sha256"/>
        <DigestValue>Dg0kkgyxpLPV0Pr5oyMvec6dsPTz/Y1Z0wLFvQQwXmA=</DigestValue>
      </Reference>
      <Reference URI="/word/charts/chart13.xml?ContentType=application/vnd.openxmlformats-officedocument.drawingml.chart+xml">
        <DigestMethod Algorithm="http://www.w3.org/2001/04/xmlenc#sha256"/>
        <DigestValue>DNVnHz3J22mJDzCqgz1JpqesQXHBr+tySABVdYAIIjA=</DigestValue>
      </Reference>
      <Reference URI="/word/drawings/drawing3.xml?ContentType=application/vnd.openxmlformats-officedocument.drawingml.chartshapes+xml">
        <DigestMethod Algorithm="http://www.w3.org/2001/04/xmlenc#sha256"/>
        <DigestValue>UcbbPQ+HFrVYSlh43Kq2Ss9vDzW7uq0Q5Sl+1tHWZ9U=</DigestValue>
      </Reference>
      <Reference URI="/word/intelligence2.xml?ContentType=application/vnd.ms-office.intelligence2+xml">
        <DigestMethod Algorithm="http://www.w3.org/2001/04/xmlenc#sha256"/>
        <DigestValue>cZFcI8vq4QzmwKjz9+9Pm7akEt2aI2nc3JohJeJWt1Q=</DigestValue>
      </Reference>
      <Reference URI="/word/footnotes.xml?ContentType=application/vnd.openxmlformats-officedocument.wordprocessingml.footnotes+xml">
        <DigestMethod Algorithm="http://www.w3.org/2001/04/xmlenc#sha256"/>
        <DigestValue>eBW01vmFtfuJZpavKD/gUqUGrKGajWed8y/HjA4fuoY=</DigestValue>
      </Reference>
      <Reference URI="/word/charts/chart1.xml?ContentType=application/vnd.openxmlformats-officedocument.drawingml.chart+xml">
        <DigestMethod Algorithm="http://www.w3.org/2001/04/xmlenc#sha256"/>
        <DigestValue>K1/AI0u/uVOAs026pX9WpvUshWG3PwzWF1x+R00GIX8=</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footer2.xml?ContentType=application/vnd.openxmlformats-officedocument.wordprocessingml.footer+xml">
        <DigestMethod Algorithm="http://www.w3.org/2001/04/xmlenc#sha256"/>
        <DigestValue>ARbvTW6FDf61IbX8PMKg0SGfjmxnIkhevgEs4bJb1yg=</DigestValue>
      </Reference>
      <Reference URI="/word/charts/chart9.xml?ContentType=application/vnd.openxmlformats-officedocument.drawingml.chart+xml">
        <DigestMethod Algorithm="http://www.w3.org/2001/04/xmlenc#sha256"/>
        <DigestValue>s4CQMKDieUJ18jeESKdztGxVDCNTgCvtGq/o9pamNCI=</DigestValue>
      </Reference>
      <Reference URI="/word/drawings/drawing1.xml?ContentType=application/vnd.openxmlformats-officedocument.drawingml.chartshapes+xml">
        <DigestMethod Algorithm="http://www.w3.org/2001/04/xmlenc#sha256"/>
        <DigestValue>R+JK1IKwjbZEA+l9+7iHtyPwAeeT2XaJMX7/fGN37d8=</DigestValue>
      </Reference>
      <Reference URI="/word/footer3.xml?ContentType=application/vnd.openxmlformats-officedocument.wordprocessingml.footer+xml">
        <DigestMethod Algorithm="http://www.w3.org/2001/04/xmlenc#sha256"/>
        <DigestValue>jP+J74/GBhaNVw7Er4RpICjIKQeWtF/QvJlYWxCJF94=</DigestValue>
      </Reference>
    </Manifest>
    <SignatureProperties>
      <SignatureProperty Id="idSignatureTime" Target="#idPackageSignature">
        <mdssi:SignatureTime xmlns:mdssi="http://schemas.openxmlformats.org/package/2006/digital-signature">
          <mdssi:Format>YYYY-MM-DDThh:mm:ssTZD</mdssi:Format>
          <mdssi:Value>2023-06-01T20:16:09Z</mdssi:Value>
        </mdssi:SignatureTime>
      </SignatureProperty>
    </SignatureProperties>
  </Object>
  <Object>
    <xd:QualifyingProperties xmlns:xd="http://uri.etsi.org/01903/v1.3.2#" Target="#idPackageSignature">
      <xd:SignedProperties Id="idSignedProperties">
        <xd:SignedSignatureProperties>
          <xd:SigningTime>2023-06-01T20:16:09Z</xd:SigningTime>
          <xd:SigningCertificate>
            <xd:Cert>
              <xd:CertDigest>
                <DigestMethod Algorithm="http://www.w3.org/2001/04/xmlenc#sha256"/>
                <DigestValue>uYWjsGpg3KWFJ6+twzgEcFxdV52oGC6U7qWcqy+BE4c=</DigestValue>
              </xd:CertDigest>
              <xd:IssuerSerial>
                <X509IssuerName>CN=CA SINPE - PERSONA FISICA v2, OU=DIVISION SISTEMAS DE PAGO, O=BANCO CENTRAL DE COSTA RICA, C=CR, SERIALNUMBER=CPJ-4-000-004017</X509IssuerName>
                <X509SerialNumber>446018226961781745510003436957591894506456048</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xnfpFlLrLdwHDnIQMzPHYrzbQG80PLyV2pnf/os/YvsCBBR4+M4YDzIwMjMwNjAxMjAxNjE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</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</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+lYs/R4OFL1Y4ZP3DJ2j1aBBr1D4Sdtwii/SZgyKbLk=</DigestValue>
                </xd:DigestAlgAndValue>
                <xd:CRLIdentifier>
                  <xd:Issuer>SERIALNUMBER=CPJ-2-100-098311,C=CR,O=MICITT,OU=DCFD,CN=CA POLITICA PERSONA FISICA - COSTA RICA v2</xd:Issuer>
                  <xd:IssueTime>2023-04-27T19:05:50Z</xd:IssueTime>
                  <xd:Number>48</xd:Number>
                </xd:CRLIdentifier>
              </xd:CRLRef>
              <xd:CRLRef>
                <xd:DigestAlgAndValue>
                  <DigestMethod Algorithm="http://www.w3.org/2001/04/xmlenc#sha256"/>
                  <DigestValue>NGkoo+MZaRupSexO4vvkUrSnZytfNN9NDbP2dRCMT8M=</DigestValue>
                </xd:DigestAlgAndValue>
                <xd:CRLIdentifier>
                  <xd:Issuer>SERIALNUMBER=CPJ-2-100-098311,OU=DCFD,O=MICITT,C=CR,CN=CA RAIZ NACIONAL - COSTA RICA v2</xd:Issuer>
                  <xd:IssueTime>2023-03-07T15:16:54Z</xd:IssueTime>
                  <xd:Number>27</xd:Number>
                </xd:CRLIdentifier>
              </xd:CRLRef>
            </xd:CRLRefs>
            <xd:OCSPRefs>
              <xd:OCSPRef>
                <xd:OCSPIdentifier>
                  <xd:ResponderID>
                    <xd:ByKey>EarH/U/P8JdIykc21B9xzerEIRQ=</xd:ByKey>
                  </xd:ResponderID>
                  <xd:ProducedAt>2023-06-01T20:16:19Z</xd:ProducedAt>
                </xd:OCSPIdentifier>
                <xd:DigestAlgAndValue>
                  <DigestMethod Algorithm="http://www.w3.org/2001/04/xmlenc#sha256"/>
                  <DigestValue>g4WFOTVDTZLWtUyp+p9lS7bSPQIUXOuCPkL0g5CATjI=</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</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OCSPValues>
              <xd:EncapsulatedOCSPValue>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</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BKBkBGIwYAIBAQYIYIE8AQEBAQUwMTANBglghkgBZQMEAgEFAAQgZrNbaQKtCL3Zw0hUEJMb8xV+
oyICN4bKVAzAIBPwQ4UCBBR4+NAYDzIwMjMwNjAxMjAxNjE5WjAEgAIB9AEB/6CCB8Mwgge/MIIF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BgkqhkiG9w0BCQMxDQYLKoZIhvcNAQkQAQQwHAYJKoZIhvcNAQkFMQ8XDTIzMDYwMTIwMTYxOVow
LwYJKoZIhvcNAQkEMSIEII3UuafY5LumgftoB23+ae55JzKIO9Vs4adPg5ZqJSDSMDcGCyqGSIb3
DQEJEAIvMSgwJjAkMCIEIDcrk3iY5iZu+N7/iFpVKDYeTZ9u7elabVQcL5d9tumpMA0GCSqGSIb3
DQEBAQUABIIBAK4AItU5aOCpN24HC11DwuHoGOWpSBf8FA1smDT53WhiCoXCY9QPl1RZNZaJ1ySh
x0k/jITxXWFWBTJW7pJ7hIZAHH0NQ8EIl2lsINeMlxnA4EBVnPRrKHW+5b4Vf1VtlETfgsMpMtrb
7DDOvvJpvXNNNLoXlTBO7LvtQR06zJVL4f7jTBn0VRGNIjwdJqLTGdmoI1jvFZs1NkBA8Cg6qdOq
d4E+tT7SL3szNwfiNdimfjupn2/4MuJIc14FvTnUYkuuaS1Le7IpyU+P4VZD6AEZhJPAhXjFC1GY
95xDBK+E6F95x83Jpgbnzr3LMb+MIEVCx1uXY0zHIOn+FtOxY04=</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7F7EC-ED50-4C07-A67C-766B25E4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139</Pages>
  <Words>43511</Words>
  <Characters>239314</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Finanzas Corporativas</Company>
  <LinksUpToDate>false</LinksUpToDate>
  <CharactersWithSpaces>282261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Martínez;Luis Carlos Solera</dc:creator>
  <cp:keywords/>
  <cp:lastModifiedBy>Luis Sosa Aragon</cp:lastModifiedBy>
  <cp:revision>20</cp:revision>
  <cp:lastPrinted>2020-03-25T02:12:00Z</cp:lastPrinted>
  <dcterms:created xsi:type="dcterms:W3CDTF">2023-03-30T20:04:00Z</dcterms:created>
  <dcterms:modified xsi:type="dcterms:W3CDTF">2023-06-01T18:34:00Z</dcterms:modified>
</cp:coreProperties>
</file>